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ANNUAL AND TRANSITION REPORTS PURSUANT TO SECTIONS 13 OR 15(d)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5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07" w:lineRule="exact"/>
        <w:rPr>
          <w:sz w:val="24"/>
          <w:szCs w:val="24"/>
          <w:color w:val="auto"/>
        </w:rPr>
      </w:pPr>
    </w:p>
    <w:p>
      <w:pPr>
        <w:ind w:left="680" w:right="3420" w:hanging="656"/>
        <w:spacing w:after="0" w:line="420" w:lineRule="auto"/>
        <w:tabs>
          <w:tab w:leader="none" w:pos="680" w:val="left"/>
        </w:tabs>
        <w:numPr>
          <w:ilvl w:val="0"/>
          <w:numId w:val="1"/>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9" w:lineRule="exact"/>
        <w:rPr>
          <w:sz w:val="24"/>
          <w:szCs w:val="24"/>
          <w:color w:val="auto"/>
        </w:rPr>
      </w:pPr>
    </w:p>
    <w:p>
      <w:pPr>
        <w:ind w:left="680" w:hanging="656"/>
        <w:spacing w:after="0"/>
        <w:tabs>
          <w:tab w:leader="none" w:pos="680" w:val="left"/>
        </w:tabs>
        <w:numPr>
          <w:ilvl w:val="0"/>
          <w:numId w:val="2"/>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18"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720" w:type="dxa"/>
            <w:vAlign w:val="bottom"/>
            <w:tcBorders>
              <w:bottom w:val="single" w:sz="8" w:color="auto"/>
            </w:tcBorders>
          </w:tcPr>
          <w:p>
            <w:pPr>
              <w:spacing w:after="0"/>
              <w:rPr>
                <w:sz w:val="12"/>
                <w:szCs w:val="1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w:t>
            </w:r>
          </w:p>
        </w:tc>
        <w:tc>
          <w:tcPr>
            <w:tcW w:w="680" w:type="dxa"/>
            <w:vAlign w:val="bottom"/>
            <w:tcBorders>
              <w:bottom w:val="single" w:sz="8" w:color="auto"/>
            </w:tcBorders>
          </w:tcPr>
          <w:p>
            <w:pPr>
              <w:spacing w:after="0"/>
              <w:rPr>
                <w:sz w:val="12"/>
                <w:szCs w:val="12"/>
                <w:color w:val="auto"/>
              </w:rPr>
            </w:pPr>
          </w:p>
        </w:tc>
        <w:tc>
          <w:tcPr>
            <w:tcW w:w="1880" w:type="dxa"/>
            <w:vAlign w:val="bottom"/>
          </w:tcPr>
          <w:p>
            <w:pPr>
              <w:spacing w:after="0"/>
              <w:rPr>
                <w:sz w:val="12"/>
                <w:szCs w:val="12"/>
                <w:color w:val="auto"/>
              </w:rPr>
            </w:pPr>
          </w:p>
        </w:tc>
      </w:tr>
      <w:tr>
        <w:trPr>
          <w:trHeight w:val="189"/>
        </w:trPr>
        <w:tc>
          <w:tcPr>
            <w:tcW w:w="1660" w:type="dxa"/>
            <w:vAlign w:val="bottom"/>
          </w:tcPr>
          <w:p>
            <w:pPr>
              <w:spacing w:after="0"/>
              <w:rPr>
                <w:sz w:val="16"/>
                <w:szCs w:val="16"/>
                <w:color w:val="auto"/>
              </w:rPr>
            </w:pPr>
          </w:p>
        </w:tc>
        <w:tc>
          <w:tcPr>
            <w:tcW w:w="3480" w:type="dxa"/>
            <w:vAlign w:val="bottom"/>
            <w:gridSpan w:val="4"/>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001-33357</w:t>
            </w:r>
          </w:p>
        </w:tc>
      </w:tr>
      <w:tr>
        <w:trPr>
          <w:trHeight w:val="166"/>
        </w:trPr>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r>
    </w:tbl>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78"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2320" w:type="dxa"/>
            <w:vAlign w:val="bottom"/>
            <w:tcBorders>
              <w:top w:val="single" w:sz="8" w:color="auto"/>
            </w:tcBorders>
            <w:gridSpan w:val="2"/>
            <w:vMerge w:val="restart"/>
          </w:tcPr>
          <w:p>
            <w:pPr>
              <w:ind w:left="1880"/>
              <w:spacing w:after="0"/>
              <w:rPr>
                <w:sz w:val="20"/>
                <w:szCs w:val="20"/>
                <w:color w:val="auto"/>
              </w:rPr>
            </w:pPr>
            <w:r>
              <w:rPr>
                <w:rFonts w:ascii="Times New Roman" w:cs="Times New Roman" w:eastAsia="Times New Roman" w:hAnsi="Times New Roman"/>
                <w:sz w:val="13"/>
                <w:szCs w:val="13"/>
                <w:b w:val="1"/>
                <w:bCs w:val="1"/>
                <w:color w:val="auto"/>
                <w:w w:val="96"/>
              </w:rPr>
              <w:t>State or</w:t>
            </w:r>
          </w:p>
        </w:tc>
        <w:tc>
          <w:tcPr>
            <w:tcW w:w="1200" w:type="dxa"/>
            <w:vAlign w:val="bottom"/>
            <w:tcBorders>
              <w:top w:val="single" w:sz="8" w:color="auto"/>
            </w:tcBorders>
            <w:gridSpan w:val="4"/>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6"/>
          </w:tcPr>
          <w:p>
            <w:pPr>
              <w:jc w:val="right"/>
              <w:ind w:right="2277"/>
              <w:spacing w:after="0"/>
              <w:rPr>
                <w:sz w:val="20"/>
                <w:szCs w:val="20"/>
                <w:color w:val="auto"/>
              </w:rPr>
            </w:pPr>
            <w:r>
              <w:rPr>
                <w:rFonts w:ascii="Times New Roman" w:cs="Times New Roman" w:eastAsia="Times New Roman" w:hAnsi="Times New Roman"/>
                <w:sz w:val="13"/>
                <w:szCs w:val="13"/>
                <w:b w:val="1"/>
                <w:bCs w:val="1"/>
                <w:color w:val="auto"/>
              </w:rPr>
              <w:t>65-0643773</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320" w:type="dxa"/>
            <w:vAlign w:val="bottom"/>
            <w:gridSpan w:val="2"/>
            <w:vMerge w:val="continue"/>
          </w:tcPr>
          <w:p>
            <w:pPr>
              <w:spacing w:after="0"/>
              <w:rPr>
                <w:sz w:val="9"/>
                <w:szCs w:val="9"/>
                <w:color w:val="auto"/>
              </w:rPr>
            </w:pPr>
          </w:p>
        </w:tc>
        <w:tc>
          <w:tcPr>
            <w:tcW w:w="1200" w:type="dxa"/>
            <w:vAlign w:val="bottom"/>
            <w:gridSpan w:val="4"/>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other jurisdiction</w:t>
            </w: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6"/>
          </w:tcPr>
          <w:p>
            <w:pPr>
              <w:jc w:val="center"/>
              <w:ind w:right="2100"/>
              <w:spacing w:after="0" w:line="109"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66"/>
        </w:trPr>
        <w:tc>
          <w:tcPr>
            <w:tcW w:w="3520" w:type="dxa"/>
            <w:vAlign w:val="bottom"/>
            <w:gridSpan w:val="6"/>
          </w:tcPr>
          <w:p>
            <w:pPr>
              <w:jc w:val="center"/>
              <w:ind w:left="1557"/>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6"/>
          </w:tcPr>
          <w:p>
            <w:pPr>
              <w:jc w:val="center"/>
              <w:ind w:right="208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25"/>
        </w:trPr>
        <w:tc>
          <w:tcPr>
            <w:tcW w:w="3520" w:type="dxa"/>
            <w:vAlign w:val="bottom"/>
            <w:gridSpan w:val="6"/>
          </w:tcPr>
          <w:p>
            <w:pPr>
              <w:jc w:val="center"/>
              <w:ind w:left="1557"/>
              <w:spacing w:after="0"/>
              <w:rPr>
                <w:sz w:val="20"/>
                <w:szCs w:val="20"/>
                <w:color w:val="auto"/>
              </w:rPr>
            </w:pPr>
            <w:r>
              <w:rPr>
                <w:rFonts w:ascii="Times New Roman" w:cs="Times New Roman" w:eastAsia="Times New Roman" w:hAnsi="Times New Roman"/>
                <w:sz w:val="13"/>
                <w:szCs w:val="13"/>
                <w:b w:val="1"/>
                <w:bCs w:val="1"/>
                <w:color w:val="auto"/>
                <w:w w:val="96"/>
              </w:rPr>
              <w:t>2 University Plaza</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jc w:val="center"/>
              <w:ind w:right="7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Suite 100</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380" w:type="dxa"/>
            <w:vAlign w:val="bottom"/>
            <w:gridSpan w:val="5"/>
          </w:tcPr>
          <w:p>
            <w:pPr>
              <w:jc w:val="center"/>
              <w:ind w:right="5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Hackensack, NJ</w:t>
            </w: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gridSpan w:val="5"/>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07601</w:t>
            </w: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tcPr>
          <w:p>
            <w:pPr>
              <w:ind w:left="1520"/>
              <w:spacing w:after="0"/>
              <w:rPr>
                <w:sz w:val="20"/>
                <w:szCs w:val="20"/>
                <w:color w:val="auto"/>
              </w:rPr>
            </w:pPr>
            <w:r>
              <w:rPr>
                <w:rFonts w:ascii="Times New Roman" w:cs="Times New Roman" w:eastAsia="Times New Roman" w:hAnsi="Times New Roman"/>
                <w:sz w:val="13"/>
                <w:szCs w:val="13"/>
                <w:b w:val="1"/>
                <w:bCs w:val="1"/>
                <w:color w:val="auto"/>
                <w:w w:val="93"/>
              </w:rPr>
              <w:t>(Address of</w:t>
            </w:r>
          </w:p>
        </w:tc>
        <w:tc>
          <w:tcPr>
            <w:tcW w:w="860" w:type="dxa"/>
            <w:vAlign w:val="bottom"/>
            <w:gridSpan w:val="3"/>
            <w:shd w:val="clear" w:color="auto" w:fill="000000"/>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vMerge w:val="continue"/>
          </w:tcPr>
          <w:p>
            <w:pPr>
              <w:spacing w:after="0"/>
              <w:rPr>
                <w:sz w:val="13"/>
                <w:szCs w:val="13"/>
                <w:color w:val="auto"/>
              </w:rPr>
            </w:pPr>
          </w:p>
        </w:tc>
        <w:tc>
          <w:tcPr>
            <w:tcW w:w="468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principal executive offices)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5"/>
          </w:tcPr>
          <w:p>
            <w:pPr>
              <w:jc w:val="center"/>
              <w:ind w:right="2340"/>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85"/>
        </w:trPr>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gridSpan w:val="2"/>
          </w:tcPr>
          <w:p>
            <w:pPr>
              <w:jc w:val="center"/>
              <w:ind w:left="1157"/>
              <w:spacing w:after="0"/>
              <w:rPr>
                <w:sz w:val="20"/>
                <w:szCs w:val="20"/>
                <w:color w:val="auto"/>
              </w:rPr>
            </w:pPr>
            <w:r>
              <w:rPr>
                <w:rFonts w:ascii="Times New Roman" w:cs="Times New Roman" w:eastAsia="Times New Roman" w:hAnsi="Times New Roman"/>
                <w:sz w:val="13"/>
                <w:szCs w:val="13"/>
                <w:b w:val="1"/>
                <w:bCs w:val="1"/>
                <w:color w:val="auto"/>
                <w:w w:val="95"/>
              </w:rPr>
              <w:t>(201) 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including area code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Registrant’s telephone number,</w:t>
            </w:r>
          </w:p>
        </w:tc>
        <w:tc>
          <w:tcPr>
            <w:tcW w:w="1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3"/>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060" w:type="dxa"/>
            <w:vAlign w:val="bottom"/>
            <w:tcBorders>
              <w:left w:val="single" w:sz="8" w:color="auto"/>
              <w:bottom w:val="single" w:sz="8" w:color="auto"/>
              <w:right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Title of each class</w:t>
            </w:r>
          </w:p>
        </w:tc>
        <w:tc>
          <w:tcPr>
            <w:tcW w:w="46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Trading Symbol(s)</w:t>
            </w:r>
          </w:p>
        </w:tc>
        <w:tc>
          <w:tcPr>
            <w:tcW w:w="2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0" w:type="dxa"/>
            <w:vAlign w:val="bottom"/>
            <w:tcBorders>
              <w:bottom w:val="single" w:sz="8" w:color="auto"/>
              <w:right w:val="single" w:sz="8" w:color="auto"/>
            </w:tcBorders>
            <w:gridSpan w:val="3"/>
          </w:tcPr>
          <w:p>
            <w:pPr>
              <w:jc w:val="center"/>
              <w:ind w:right="197"/>
              <w:spacing w:after="0" w:line="129" w:lineRule="exact"/>
              <w:rPr>
                <w:sz w:val="20"/>
                <w:szCs w:val="20"/>
                <w:color w:val="auto"/>
              </w:rPr>
            </w:pPr>
            <w:r>
              <w:rPr>
                <w:rFonts w:ascii="Times New Roman" w:cs="Times New Roman" w:eastAsia="Times New Roman" w:hAnsi="Times New Roman"/>
                <w:sz w:val="13"/>
                <w:szCs w:val="13"/>
                <w:color w:val="auto"/>
                <w:w w:val="96"/>
              </w:rPr>
              <w:t>Name of each exchange on which registered</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left w:val="single" w:sz="8" w:color="auto"/>
              <w:bottom w:val="single" w:sz="8" w:color="auto"/>
              <w:right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Common stock, $0.001 par value</w:t>
            </w: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2"/>
          </w:tcPr>
          <w:p>
            <w:pPr>
              <w:jc w:val="center"/>
              <w:ind w:right="1137"/>
              <w:spacing w:after="0" w:line="129" w:lineRule="exact"/>
              <w:rPr>
                <w:sz w:val="20"/>
                <w:szCs w:val="20"/>
                <w:color w:val="auto"/>
              </w:rPr>
            </w:pPr>
            <w:r>
              <w:rPr>
                <w:rFonts w:ascii="Times New Roman" w:cs="Times New Roman" w:eastAsia="Times New Roman" w:hAnsi="Times New Roman"/>
                <w:sz w:val="13"/>
                <w:szCs w:val="13"/>
                <w:color w:val="auto"/>
                <w:w w:val="97"/>
              </w:rPr>
              <w:t>PLX</w:t>
            </w:r>
          </w:p>
        </w:tc>
        <w:tc>
          <w:tcPr>
            <w:tcW w:w="2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40" w:type="dxa"/>
            <w:vAlign w:val="bottom"/>
            <w:tcBorders>
              <w:bottom w:val="single" w:sz="8" w:color="auto"/>
              <w:right w:val="single" w:sz="8" w:color="auto"/>
            </w:tcBorders>
          </w:tcPr>
          <w:p>
            <w:pPr>
              <w:jc w:val="center"/>
              <w:ind w:right="657"/>
              <w:spacing w:after="0" w:line="129" w:lineRule="exact"/>
              <w:rPr>
                <w:sz w:val="20"/>
                <w:szCs w:val="20"/>
                <w:color w:val="auto"/>
              </w:rPr>
            </w:pPr>
            <w:r>
              <w:rPr>
                <w:rFonts w:ascii="Times New Roman" w:cs="Times New Roman" w:eastAsia="Times New Roman" w:hAnsi="Times New Roman"/>
                <w:sz w:val="13"/>
                <w:szCs w:val="13"/>
                <w:color w:val="auto"/>
                <w:w w:val="97"/>
              </w:rPr>
              <w:t>NYSE American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3"/>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jc w:val="center"/>
              <w:ind w:right="1257"/>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6820" w:type="dxa"/>
            <w:vAlign w:val="bottom"/>
            <w:gridSpan w:val="9"/>
          </w:tcPr>
          <w:p>
            <w:pPr>
              <w:ind w:left="660"/>
              <w:spacing w:after="0"/>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 Yes</w:t>
            </w:r>
          </w:p>
        </w:tc>
        <w:tc>
          <w:tcPr>
            <w:tcW w:w="3440" w:type="dxa"/>
            <w:vAlign w:val="bottom"/>
            <w:gridSpan w:val="7"/>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ind w:left="66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70" w:lineRule="exact"/>
        <w:rPr>
          <w:sz w:val="24"/>
          <w:szCs w:val="24"/>
          <w:color w:val="auto"/>
        </w:rPr>
      </w:pPr>
    </w:p>
    <w:p>
      <w:pPr>
        <w:ind w:left="20" w:right="12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28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320" w:firstLine="648"/>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20" w:type="dxa"/>
            <w:vAlign w:val="bottom"/>
          </w:tcPr>
          <w:p>
            <w:pPr>
              <w:ind w:left="4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Accelerated filer</w:t>
            </w:r>
          </w:p>
        </w:tc>
        <w:tc>
          <w:tcPr>
            <w:tcW w:w="660" w:type="dxa"/>
            <w:vAlign w:val="bottom"/>
          </w:tcPr>
          <w:p>
            <w:pPr>
              <w:ind w:left="5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8"/>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20" w:type="dxa"/>
            <w:vAlign w:val="bottom"/>
          </w:tcPr>
          <w:p>
            <w:pPr>
              <w:ind w:left="42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60" w:type="dxa"/>
            <w:vAlign w:val="bottom"/>
          </w:tcPr>
          <w:p>
            <w:pPr>
              <w:ind w:left="540"/>
              <w:spacing w:after="0" w:line="149" w:lineRule="exact"/>
              <w:rPr>
                <w:sz w:val="20"/>
                <w:szCs w:val="20"/>
                <w:color w:val="auto"/>
              </w:rPr>
            </w:pPr>
            <w:r>
              <w:rPr>
                <w:rFonts w:ascii="Arial Unicode MS" w:cs="Arial Unicode MS" w:eastAsia="Arial Unicode MS" w:hAnsi="Arial Unicode MS"/>
                <w:sz w:val="13"/>
                <w:szCs w:val="13"/>
                <w:color w:val="auto"/>
              </w:rPr>
              <w:t>☒</w:t>
            </w:r>
          </w:p>
        </w:tc>
      </w:tr>
      <w:tr>
        <w:trPr>
          <w:trHeight w:val="171"/>
        </w:trPr>
        <w:tc>
          <w:tcPr>
            <w:tcW w:w="1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Emerging growth company</w:t>
            </w:r>
          </w:p>
        </w:tc>
        <w:tc>
          <w:tcPr>
            <w:tcW w:w="660" w:type="dxa"/>
            <w:vAlign w:val="bottom"/>
          </w:tcPr>
          <w:p>
            <w:pPr>
              <w:ind w:left="540"/>
              <w:spacing w:after="0" w:line="171" w:lineRule="exact"/>
              <w:rPr>
                <w:sz w:val="20"/>
                <w:szCs w:val="20"/>
                <w:color w:val="auto"/>
              </w:rPr>
            </w:pPr>
            <w:r>
              <w:rPr>
                <w:rFonts w:ascii="Arial Unicode MS" w:cs="Arial Unicode MS" w:eastAsia="Arial Unicode MS" w:hAnsi="Arial Unicode MS"/>
                <w:sz w:val="13"/>
                <w:szCs w:val="13"/>
                <w:color w:val="auto"/>
              </w:rPr>
              <w:t>☐</w:t>
            </w:r>
          </w:p>
        </w:tc>
      </w:tr>
    </w:tbl>
    <w:p>
      <w:pPr>
        <w:ind w:left="20" w:right="240" w:firstLine="648"/>
        <w:spacing w:after="0" w:line="160"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20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20" w:right="26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20" w:right="500" w:firstLine="648"/>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ind w:left="66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ind w:left="20" w:right="20" w:firstLine="648"/>
        <w:spacing w:after="0"/>
        <w:rPr>
          <w:sz w:val="20"/>
          <w:szCs w:val="20"/>
          <w:color w:val="auto"/>
        </w:rPr>
      </w:pPr>
      <w:r>
        <w:rPr>
          <w:rFonts w:ascii="Times New Roman" w:cs="Times New Roman" w:eastAsia="Times New Roman" w:hAnsi="Times New Roman"/>
          <w:sz w:val="13"/>
          <w:szCs w:val="13"/>
          <w:color w:val="auto"/>
        </w:rPr>
        <w:t>The aggregate market value of the voting common stock held by non-affiliates of the Registrant as of June 30, 2024 was approximately $82.0 million, based on the closing price for shares of the Registrant’s common stock reported by the NYSE American for such date.</w:t>
      </w:r>
    </w:p>
    <w:p>
      <w:pPr>
        <w:spacing w:after="0" w:line="5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On March 14, 2025, approximately 78,032,585 shares of the Registrant’s common stock, par value $0.001 per share, were outstanding.</w:t>
      </w:r>
    </w:p>
    <w:p>
      <w:pPr>
        <w:spacing w:after="0" w:line="5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left="20" w:right="240" w:firstLine="648"/>
        <w:spacing w:after="0"/>
        <w:rPr>
          <w:sz w:val="20"/>
          <w:szCs w:val="20"/>
          <w:color w:val="auto"/>
        </w:rPr>
      </w:pPr>
      <w:r>
        <w:rPr>
          <w:rFonts w:ascii="Times New Roman" w:cs="Times New Roman" w:eastAsia="Times New Roman" w:hAnsi="Times New Roman"/>
          <w:sz w:val="13"/>
          <w:szCs w:val="13"/>
          <w:color w:val="auto"/>
        </w:rPr>
        <w:t>Portions of the registrant’s proxy statement related to its 2025 Annual Stockholders’ Meeting to be filed subsequently are incorporated by reference into Part III of this Annual Report on Form 10-K.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507365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70485</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104775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FORM 10-K ANNUAL REPORT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0000EE"/>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3560" w:type="dxa"/>
            <w:vAlign w:val="bottom"/>
            <w:tcBorders>
              <w:bottom w:val="single" w:sz="8" w:color="CCEEFF"/>
            </w:tcBorders>
            <w:gridSpan w:val="11"/>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1C.</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180" w:type="dxa"/>
            <w:vAlign w:val="bottom"/>
            <w:tcBorders>
              <w:top w:val="single" w:sz="8" w:color="CCEEFF"/>
            </w:tcBorders>
            <w:gridSpan w:val="14"/>
          </w:tcPr>
          <w:p>
            <w:pPr>
              <w:jc w:val="center"/>
              <w:ind w:right="352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6600" w:type="dxa"/>
            <w:vAlign w:val="bottom"/>
            <w:tcBorders>
              <w:top w:val="single" w:sz="8" w:color="0000EE"/>
              <w:bottom w:val="single" w:sz="8" w:color="CCEEFF"/>
            </w:tcBorders>
            <w:gridSpan w:val="28"/>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7A.</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9A.</w:t>
            </w:r>
          </w:p>
        </w:tc>
        <w:tc>
          <w:tcPr>
            <w:tcW w:w="12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760" w:type="dxa"/>
            <w:vAlign w:val="bottom"/>
            <w:tcBorders>
              <w:bottom w:val="single" w:sz="8" w:color="CCEEFF"/>
            </w:tcBorders>
            <w:gridSpan w:val="21"/>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9B.</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gridSpan w:val="11"/>
          </w:tcPr>
          <w:p>
            <w:pPr>
              <w:jc w:val="center"/>
              <w:ind w:right="70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2640" w:type="dxa"/>
            <w:vAlign w:val="bottom"/>
            <w:tcBorders>
              <w:top w:val="single" w:sz="8" w:color="CCEEFF"/>
            </w:tcBorders>
            <w:gridSpan w:val="6"/>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10.</w:t>
            </w:r>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410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440" w:type="dxa"/>
            <w:vAlign w:val="bottom"/>
            <w:tcBorders>
              <w:bottom w:val="single" w:sz="8" w:color="CCEEFF"/>
            </w:tcBorders>
            <w:gridSpan w:val="8"/>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12.</w:t>
            </w:r>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730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220" w:type="dxa"/>
            <w:vAlign w:val="bottom"/>
            <w:tcBorders>
              <w:top w:val="single" w:sz="8" w:color="CCEEFF"/>
            </w:tcBorders>
            <w:gridSpan w:val="16"/>
          </w:tcPr>
          <w:p>
            <w:pPr>
              <w:jc w:val="center"/>
              <w:ind w:right="350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15.</w:t>
            </w:r>
          </w:p>
        </w:tc>
        <w:tc>
          <w:tcPr>
            <w:tcW w:w="160" w:type="dxa"/>
            <w:vAlign w:val="bottom"/>
            <w:gridSpan w:val="3"/>
            <w:shd w:val="clear" w:color="auto" w:fill="CCEEFF"/>
          </w:tcPr>
          <w:p>
            <w:pPr>
              <w:spacing w:after="0"/>
              <w:rPr>
                <w:sz w:val="17"/>
                <w:szCs w:val="17"/>
                <w:color w:val="auto"/>
              </w:rPr>
            </w:pP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16.</w:t>
            </w:r>
          </w:p>
        </w:tc>
        <w:tc>
          <w:tcPr>
            <w:tcW w:w="160" w:type="dxa"/>
            <w:vAlign w:val="bottom"/>
            <w:tcBorders>
              <w:top w:val="single" w:sz="8" w:color="CCEEFF"/>
            </w:tcBorders>
            <w:gridSpan w:val="3"/>
          </w:tcPr>
          <w:p>
            <w:pPr>
              <w:spacing w:after="0"/>
              <w:rPr>
                <w:sz w:val="15"/>
                <w:szCs w:val="15"/>
                <w:color w:val="auto"/>
              </w:rPr>
            </w:pPr>
          </w:p>
        </w:tc>
        <w:tc>
          <w:tcPr>
            <w:tcW w:w="31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4380" w:type="dxa"/>
            <w:vAlign w:val="bottom"/>
            <w:tcBorders>
              <w:top w:val="single" w:sz="8" w:color="CCEEFF"/>
            </w:tcBorders>
            <w:gridSpan w:val="17"/>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Borders>
              <w:bottom w:val="single" w:sz="8" w:color="0000EE"/>
            </w:tcBorders>
            <w:vMerge w:val="continue"/>
          </w:tcPr>
          <w:p>
            <w:pPr>
              <w:spacing w:after="0"/>
              <w:rPr>
                <w:sz w:val="17"/>
                <w:szCs w:val="17"/>
                <w:color w:val="auto"/>
              </w:rPr>
            </w:pPr>
          </w:p>
        </w:tc>
        <w:tc>
          <w:tcPr>
            <w:tcW w:w="7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43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otherwise requires, the terms “we,” “us,” “our” or “the Company,” refer to the business of Protalix BioTherapeutics, Inc. and its consolidated subsidiaries, and “Protalix” or “Protalix Ltd.” refers to the business of Protalix Ltd., our wholly-owned subsidiary and sole operating unit.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statements set forth under the sections entitled “</w:t>
      </w: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Condition and Results of Operations</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000000"/>
        </w:rPr>
        <w:t>,” and other statements included elsewhere in this Annual Report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Form 10-K, particularly with respect to our plans and strategy for our business and related financing, include forward-looking statements within the meanings of Section 27A of the Securities Act of 1933, as amended, or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other words or phrases of similar import, as they relate to our company, our subsidiaries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77" w:lineRule="exact"/>
        <w:rPr>
          <w:sz w:val="20"/>
          <w:szCs w:val="20"/>
          <w:color w:val="auto"/>
        </w:rPr>
      </w:pPr>
    </w:p>
    <w:p>
      <w:pPr>
        <w:ind w:left="60" w:right="139" w:firstLine="638"/>
        <w:spacing w:after="0" w:line="217"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commercialization of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alfa-iwxj), our approved product for the treatment of adult patients with Fabry disease;</w:t>
      </w:r>
    </w:p>
    <w:p>
      <w:pPr>
        <w:spacing w:after="0" w:line="157" w:lineRule="exact"/>
        <w:rPr>
          <w:rFonts w:ascii="Times New Roman" w:cs="Times New Roman" w:eastAsia="Times New Roman" w:hAnsi="Times New Roman"/>
          <w:sz w:val="18"/>
          <w:szCs w:val="18"/>
          <w:color w:val="auto"/>
        </w:rPr>
      </w:pPr>
    </w:p>
    <w:p>
      <w:pPr>
        <w:ind w:left="60" w:right="99" w:firstLine="638"/>
        <w:spacing w:after="0" w:line="266"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Elfabrio’s market acceptance, competition, reimbursement and regulatory actions, including as a result of the boxed warning contained in the U.S. Food and Drug Administration, or FDA, approval received for the product;</w:t>
      </w:r>
    </w:p>
    <w:p>
      <w:pPr>
        <w:spacing w:after="0" w:line="148" w:lineRule="exact"/>
        <w:rPr>
          <w:rFonts w:ascii="Times New Roman" w:cs="Times New Roman" w:eastAsia="Times New Roman" w:hAnsi="Times New Roman"/>
          <w:sz w:val="18"/>
          <w:szCs w:val="18"/>
          <w:color w:val="auto"/>
        </w:rPr>
      </w:pPr>
    </w:p>
    <w:p>
      <w:pPr>
        <w:ind w:left="60" w:right="79" w:firstLine="638"/>
        <w:spacing w:after="0" w:line="258"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the war declared by Israel’s security cabinet against the Hamas terrorist organization located in the Gaza Strip, the military campaign against the Hezbollah and other terrorist activities and armed conflict, including as a result of the disruption of the operations of certain regulatory authorities and of certain of our suppliers, collaborative partners, licensees, clinical trial sites, distributors and customers, and the risk that the current hostilities will result in a greater regional conflict;</w:t>
      </w:r>
    </w:p>
    <w:p>
      <w:pPr>
        <w:spacing w:after="0" w:line="142" w:lineRule="exact"/>
        <w:rPr>
          <w:rFonts w:ascii="Times New Roman" w:cs="Times New Roman" w:eastAsia="Times New Roman" w:hAnsi="Times New Roman"/>
          <w:sz w:val="18"/>
          <w:szCs w:val="18"/>
          <w:color w:val="auto"/>
        </w:rPr>
      </w:pPr>
    </w:p>
    <w:p>
      <w:pPr>
        <w:ind w:left="60" w:right="71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and commercial success of our other product and product candidates, if approved;</w:t>
      </w:r>
    </w:p>
    <w:p>
      <w:pPr>
        <w:spacing w:after="0" w:line="12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projected market of our products and product</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candidates;</w:t>
      </w:r>
    </w:p>
    <w:p>
      <w:pPr>
        <w:spacing w:after="0" w:line="179" w:lineRule="exact"/>
        <w:rPr>
          <w:rFonts w:ascii="Times New Roman" w:cs="Times New Roman" w:eastAsia="Times New Roman" w:hAnsi="Times New Roman"/>
          <w:sz w:val="18"/>
          <w:szCs w:val="18"/>
          <w:color w:val="auto"/>
        </w:rPr>
      </w:pPr>
    </w:p>
    <w:p>
      <w:pPr>
        <w:ind w:left="60" w:right="239" w:firstLine="638"/>
        <w:spacing w:after="0" w:line="256"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46" w:lineRule="exact"/>
        <w:rPr>
          <w:rFonts w:ascii="Times New Roman" w:cs="Times New Roman" w:eastAsia="Times New Roman" w:hAnsi="Times New Roman"/>
          <w:sz w:val="18"/>
          <w:szCs w:val="18"/>
          <w:color w:val="auto"/>
        </w:rPr>
      </w:pPr>
    </w:p>
    <w:p>
      <w:pPr>
        <w:ind w:left="60" w:right="119" w:firstLine="638"/>
        <w:spacing w:after="0" w:line="266"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approval or potential rejection of any applications we file with the FDA, European Medicines Agency, or EMA, or other health regulatory authorities for our other product candidates, and other risks relating to the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38"/>
        <w:spacing w:after="0" w:line="261"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global conditions and developments such as new or increased tariffs, new trade restrictions,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52" w:lineRule="exact"/>
        <w:rPr>
          <w:rFonts w:ascii="Times New Roman" w:cs="Times New Roman" w:eastAsia="Times New Roman" w:hAnsi="Times New Roman"/>
          <w:sz w:val="18"/>
          <w:szCs w:val="18"/>
          <w:color w:val="auto"/>
        </w:rPr>
      </w:pPr>
    </w:p>
    <w:p>
      <w:pPr>
        <w:jc w:val="both"/>
        <w:ind w:left="60" w:right="419" w:firstLine="638"/>
        <w:spacing w:after="0" w:line="312" w:lineRule="auto"/>
        <w:tabs>
          <w:tab w:leader="none" w:pos="13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any transactions we may effect in the public or private equity or debt markets to raise capital to finance future research and development activities, general and administrative expenses and working capital;</w:t>
      </w:r>
    </w:p>
    <w:p>
      <w:pPr>
        <w:spacing w:after="0" w:line="99" w:lineRule="exact"/>
        <w:rPr>
          <w:rFonts w:ascii="Times New Roman" w:cs="Times New Roman" w:eastAsia="Times New Roman" w:hAnsi="Times New Roman"/>
          <w:sz w:val="17"/>
          <w:szCs w:val="17"/>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partnerships;</w:t>
      </w:r>
    </w:p>
    <w:p>
      <w:pPr>
        <w:spacing w:after="0" w:line="184" w:lineRule="exact"/>
        <w:rPr>
          <w:rFonts w:ascii="Times New Roman" w:cs="Times New Roman" w:eastAsia="Times New Roman" w:hAnsi="Times New Roman"/>
          <w:sz w:val="18"/>
          <w:szCs w:val="18"/>
          <w:color w:val="auto"/>
        </w:rPr>
      </w:pPr>
    </w:p>
    <w:p>
      <w:pPr>
        <w:ind w:left="60" w:right="15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148" w:lineRule="exact"/>
        <w:rPr>
          <w:rFonts w:ascii="Times New Roman" w:cs="Times New Roman" w:eastAsia="Times New Roman" w:hAnsi="Times New Roman"/>
          <w:sz w:val="18"/>
          <w:szCs w:val="18"/>
          <w:color w:val="auto"/>
        </w:rPr>
      </w:pPr>
    </w:p>
    <w:p>
      <w:pPr>
        <w:ind w:left="60" w:right="3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Inc., or Pfizer, and Chiesi Farmaceutici S.p.A., or Chiesi;</w:t>
      </w:r>
    </w:p>
    <w:p>
      <w:pPr>
        <w:spacing w:after="0" w:line="12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and cash equivalents and short-term bank</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w:t>
      </w:r>
    </w:p>
    <w:p>
      <w:pPr>
        <w:spacing w:after="0" w:line="166"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w:t>
      </w:r>
    </w:p>
    <w:p>
      <w:pPr>
        <w:spacing w:after="0" w:line="179" w:lineRule="exact"/>
        <w:rPr>
          <w:rFonts w:ascii="Times New Roman" w:cs="Times New Roman" w:eastAsia="Times New Roman" w:hAnsi="Times New Roman"/>
          <w:sz w:val="18"/>
          <w:szCs w:val="18"/>
          <w:color w:val="auto"/>
        </w:rPr>
      </w:pPr>
    </w:p>
    <w:p>
      <w:pPr>
        <w:jc w:val="both"/>
        <w:ind w:left="60" w:right="11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Fundação Oswaldo Cruz, or Fiocruz, an arm of the Brazilian Ministry of Health, or the Brazilian MoH, with its purchase obligations under our supply and technology transfer agreement, which may have a material adverse effect on us and may also result in the termination of such agreement;</w:t>
      </w:r>
    </w:p>
    <w:p>
      <w:pPr>
        <w:spacing w:after="0" w:line="13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60" w:right="4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 trial services;</w:t>
      </w:r>
    </w:p>
    <w:p>
      <w:pPr>
        <w:spacing w:after="0" w:line="13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and uncertainties in developing drug platforms and products of the type we are</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w:t>
      </w:r>
    </w:p>
    <w:p>
      <w:pPr>
        <w:spacing w:after="0" w:line="166"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products to Pfizer;</w:t>
      </w:r>
    </w:p>
    <w:p>
      <w:pPr>
        <w:spacing w:after="0" w:line="19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84" w:lineRule="exact"/>
        <w:rPr>
          <w:rFonts w:ascii="Times New Roman" w:cs="Times New Roman" w:eastAsia="Times New Roman" w:hAnsi="Times New Roman"/>
          <w:sz w:val="18"/>
          <w:szCs w:val="18"/>
          <w:color w:val="auto"/>
        </w:rPr>
      </w:pPr>
    </w:p>
    <w:p>
      <w:pPr>
        <w:jc w:val="both"/>
        <w:ind w:left="60" w:right="9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13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9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These and other risks and uncertainties are detailed under the “</w:t>
      </w:r>
      <w:r>
        <w:rPr>
          <w:rFonts w:ascii="Times New Roman" w:cs="Times New Roman" w:eastAsia="Times New Roman" w:hAnsi="Times New Roman"/>
          <w:sz w:val="17"/>
          <w:szCs w:val="17"/>
          <w:u w:val="single" w:color="auto"/>
          <w:color w:val="0000EE"/>
        </w:rPr>
        <w:t>Risk Factors</w:t>
      </w:r>
      <w:r>
        <w:rPr>
          <w:rFonts w:ascii="Times New Roman" w:cs="Times New Roman" w:eastAsia="Times New Roman" w:hAnsi="Times New Roman"/>
          <w:sz w:val="17"/>
          <w:szCs w:val="17"/>
          <w:color w:val="auto"/>
        </w:rPr>
        <w:t>” section of this Annual Report and are described from time to time in the reports we file with the U.S. Securities and Exchange Commission, or the Commission.</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0" w:right="139"/>
        <w:spacing w:after="0" w:line="233" w:lineRule="auto"/>
        <w:rPr>
          <w:sz w:val="20"/>
          <w:szCs w:val="20"/>
          <w:color w:val="auto"/>
        </w:rPr>
      </w:pPr>
      <w:r>
        <w:rPr>
          <w:rFonts w:ascii="Times New Roman" w:cs="Times New Roman" w:eastAsia="Times New Roman" w:hAnsi="Times New Roman"/>
          <w:sz w:val="18"/>
          <w:szCs w:val="18"/>
          <w:color w:val="auto"/>
        </w:rPr>
        <w:t>We are a commercial stage biopharmaceutical company focused on the development, production and commercialization of recombinant therapeutic proteins produced via our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plant cell-based protein expression system. We are the first and only company to gain FDA approval of a protein produced through plant cell-based expression in suspension. Our unique expression system represents a new method for developing recombinant proteins in an industrial-scale manner.</w:t>
      </w:r>
    </w:p>
    <w:p>
      <w:pPr>
        <w:spacing w:after="0" w:line="161" w:lineRule="exact"/>
        <w:rPr>
          <w:sz w:val="20"/>
          <w:szCs w:val="20"/>
          <w:color w:val="auto"/>
        </w:rPr>
      </w:pPr>
    </w:p>
    <w:p>
      <w:pPr>
        <w:ind w:left="60" w:right="79"/>
        <w:spacing w:after="0" w:line="221" w:lineRule="auto"/>
        <w:rPr>
          <w:sz w:val="20"/>
          <w:szCs w:val="20"/>
          <w:color w:val="auto"/>
        </w:rPr>
      </w:pPr>
      <w:r>
        <w:rPr>
          <w:rFonts w:ascii="Times New Roman" w:cs="Times New Roman" w:eastAsia="Times New Roman" w:hAnsi="Times New Roman"/>
          <w:sz w:val="18"/>
          <w:szCs w:val="18"/>
          <w:color w:val="auto"/>
        </w:rPr>
        <w:t>To date, we have successfully developed two commercial products, both of which are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with Gaucher disease. Elfabrio, which we referred to as PRX-102 during its development stage, has been approved for marketing in the United States, the European Union, Great Britain, Switzerland, Peru, Israel, Russia and Singapore. We have partnered with Chiesi for the development and commercialization of Elfabrio.</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licensed the rights to commercialize Elelyso worldwide (other than Brazil) to Pfizer, and in Brazil to Fiocruz.</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Elelyso is marketed as BioManguinhos alfataliglicerase in Brazil.</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are committed to leveraging our track record of success as we progress with the development of treatments for rare and orphan diseases. In addition, we continuously work on the further development and enhancement of our ProCellEx technology. Accordingly,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 molecules and antibodies, to take advantage of highly innovative opportunities. We are also exploring novel platform technologies.</w:t>
      </w:r>
    </w:p>
    <w:p>
      <w:pPr>
        <w:spacing w:after="0" w:line="14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Elfabrio was the subject of a phase III clinical program. The phase III clinical program included three separate studies, which are referred to as the BALANCE study, the BRIDGE study and the BRIGHT study. The phase III clinical program analyzed two potential dosing regimens: 1 mg/kg every two weeks and 2 mg/kg every four weeks. In addition, the phase III clinical program included two extension studies in which subjects that participated in our phase I/II clinical trials and phase III clinical trials had the opportunity to enroll and continue to be treated with PRX-102.</w:t>
      </w:r>
    </w:p>
    <w:p>
      <w:pPr>
        <w:spacing w:after="0" w:line="14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Biologics License Application, or BLA, for Elfabrio for the treatment of adult patients with Fabry disease was resubmitted to the FDA on November 9, 2022. An initial BLA for Elfabrio was submitted to the FDA on May 27, 2020 under the FDA’s Accelerated Approval pathway, but resulted in a Complete Response Letter, or CRL. A Marketing Authorization Application, or MAA, was submitted to the EMA on February 7, 2022, after the October 8, 2021 meeting we held, together with Chiesi, with the Rapporteur and Co-Rapporteur of the EMA regarding PRX-102.</w:t>
      </w:r>
    </w:p>
    <w:p>
      <w:pPr>
        <w:spacing w:after="0" w:line="15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May 5, 2023, the European Commission, or EC, announced that it had approved the MAA for Elfabrio and on May 9, 2023, the FDA announced that it had approved the Biologics License Application, or BLA, for Elfabrio (pegunigalsidase alfa-iwxj) injection BLA 761161, each for adult patients with a confirmed diagnosis of Fabry disease. Both approvals cover the 1 mg/kg every two weeks dosage. Elfabrio was approved by the FDA with a boxed warning for hypersensitivity reactions/anaphylaxis, consistent with Enzyme Replacement Therapy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 According to the EMA, overall, the benefit/risk balance of Elfabrio is positive in the claimed indication (Fabry disease).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The FDA publicly released the internal review documents for Elfabrio.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(our phase I\II clinical trial of Fabry Disease, Study PB-102-F01/02) with confirmatory evidence provided by our phase III BALANCE clinical trial of PRX-102 for the treatment of Fabry disease, or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(also referred to as Study PB-102-F20). The FDA review team also concluded that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met its primary efficacy endpoint, which assessed the 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a non-inferiority margin.</w:t>
      </w:r>
    </w:p>
    <w:p>
      <w:pPr>
        <w:spacing w:after="0" w:line="161" w:lineRule="exact"/>
        <w:rPr>
          <w:sz w:val="20"/>
          <w:szCs w:val="20"/>
          <w:color w:val="auto"/>
        </w:rPr>
      </w:pPr>
    </w:p>
    <w:p>
      <w:pPr>
        <w:jc w:val="both"/>
        <w:ind w:left="60" w:right="519"/>
        <w:spacing w:after="0" w:line="312" w:lineRule="auto"/>
        <w:rPr>
          <w:sz w:val="20"/>
          <w:szCs w:val="20"/>
          <w:color w:val="auto"/>
        </w:rPr>
      </w:pPr>
      <w:r>
        <w:rPr>
          <w:rFonts w:ascii="Times New Roman" w:cs="Times New Roman" w:eastAsia="Times New Roman" w:hAnsi="Times New Roman"/>
          <w:sz w:val="17"/>
          <w:szCs w:val="17"/>
          <w:color w:val="auto"/>
        </w:rPr>
        <w:t>In December 2024, the EMA validated Chiesi’s Variation Submission for pegunigalsidase alfa to label a less frequent dosing regimen at a dose of 2 mg/kg body weight administered every four weeks in adult patients with Fabry disease.</w:t>
      </w:r>
    </w:p>
    <w:p>
      <w:pPr>
        <w:spacing w:after="0" w:line="91" w:lineRule="exact"/>
        <w:rPr>
          <w:sz w:val="20"/>
          <w:szCs w:val="20"/>
          <w:color w:val="auto"/>
        </w:rPr>
      </w:pPr>
    </w:p>
    <w:p>
      <w:pPr>
        <w:ind w:left="60" w:right="259"/>
        <w:spacing w:after="0" w:line="217" w:lineRule="auto"/>
        <w:rPr>
          <w:sz w:val="20"/>
          <w:szCs w:val="20"/>
          <w:color w:val="auto"/>
        </w:rPr>
      </w:pPr>
      <w:r>
        <w:rPr>
          <w:rFonts w:ascii="Times New Roman" w:cs="Times New Roman" w:eastAsia="Times New Roman" w:hAnsi="Times New Roman"/>
          <w:sz w:val="18"/>
          <w:szCs w:val="18"/>
          <w:color w:val="auto"/>
        </w:rPr>
        <w:t>Our first product,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 ERT for the treatment of patients with Gaucher disease, was first approved by the FDA in May 2012 and is now approved for marketing in 23 markets including Brazil, Israel and others.</w:t>
      </w:r>
    </w:p>
    <w:p>
      <w:pPr>
        <w:spacing w:after="0" w:line="15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addition, we are developing PEGylated uricase, or PRX-115, for the treatment of uncontrolled gout, Long Acting (LA) DNase I, or PRX-119, for the treatment of NETs-related diseases, and a number of other technologies and preclinical assets. We have completed a phase I First-in-Human clinical trial of PRX-115 and we expect to commence a phase II clinical trial of PRX-115 in the second half of 2025.</w:t>
      </w:r>
    </w:p>
    <w:p>
      <w:pPr>
        <w:spacing w:after="0" w:line="153"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Our proprietary ProCellEx platform is being used to manufacture both of our approved and marketed products as well as PRX-115 and PRX-119.</w:t>
      </w:r>
    </w:p>
    <w:p>
      <w:pPr>
        <w:spacing w:after="0" w:line="121"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strategy moving forward is to develop proprietary recombinant proteins designed to address high, unmet needs in the genetic and non-genetic rare disease space that are therapeutically superior to existing recombinant proteins currently marketed for the same indications. Consistent with this strategy, we have a number of product candidates in varying stages of the clinical development process.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388620</wp:posOffset>
            </wp:positionV>
            <wp:extent cx="5554980" cy="1714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498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202"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ProCellEx is our proprietary platform used to produce and manufacture recombinant proteins through plant cell-based expression in suspension. We are the first and only company to receive FDA approval of a protein produced through plant cell-based expression, and with the approval of Elfabrio, we now produce two commercial proteins through our platform.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 The system plays an important role in the execution of our corporate strategy as its allows us to develop and produce tailored complex recombinant therapeutic proteins and to genetically engineer and/or chemically modify such proteins pre- and/or post-production. The engineering and modification of the therapeutic proteins have the potential to provide added clinical benefits by improving the biological characteristics (e.g., glycosylation, half-life, immunogenicity).</w:t>
      </w:r>
    </w:p>
    <w:p>
      <w:pPr>
        <w:spacing w:after="0" w:line="165"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3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We developed ProCellEx based on our plant cell culture technology for the development, expression and manufacture of recombinant proteins that are the essential foundation of modern biotechnology. We develop new, recombinant therapeutic proteins by using the natural capability of agrobacterium to transfer a DNA fragment into the plant chromosome, allowing the genome of the plant cell to code for specific proteins of interest. The agrobacterium-mediated transformed cells are then able to produce specific proteins, which are extracted and purified and can be used as therapies to treat a variety of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104775</wp:posOffset>
            </wp:positionV>
            <wp:extent cx="5554980" cy="1688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5498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Our ProCellEx technology can be utilized to express complex therapeutic proteins belonging to different drug classes, such as enzymes, hormones, monoclonal antibodies,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 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4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The ProCellEx reactors are easy to use and maintain, allow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we continuously work on the further development and enhancement of our ProCellEx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139700</wp:posOffset>
            </wp:positionV>
            <wp:extent cx="5554980" cy="2280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549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ProCellEx</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86360</wp:posOffset>
            </wp:positionV>
            <wp:extent cx="5554980" cy="2339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5498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8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We have two commercial products, each of which is an ERT; Elelyso and Elfabrio. Our pipeline of product candidates includes PEGylated uricase for the treatment of uncontrolled gout, Long Acting (LA) DNase I for the treatment of NETs and other technologies and preclinical assets.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Elelyso</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(taliglucerase alfa) for the Treatment of Gaucher Disease</w:t>
      </w:r>
    </w:p>
    <w:p>
      <w:pPr>
        <w:spacing w:after="0" w:line="104"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7"/>
          <w:szCs w:val="17"/>
          <w:color w:val="auto"/>
        </w:rPr>
        <w:t>Elelyso for the treatment of Gaucher disease is currently approved and marketed in 23 countries including the United States, Australia, Canada, Israel, Brazil, Russia and Turkey. In June 2012, the EMA’s Committee for Medicinal Products for Human Use, or the CHMP, issued a positive opinion regarding the benefit of Elelyso but did not immediately grant marketing authorization because of the ten-year market exclusivity granted to Vpriv</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(Takeda Shire) in August 2010 for</w:t>
      </w:r>
    </w:p>
    <w:p>
      <w:pPr>
        <w:sectPr>
          <w:pgSz w:w="11900" w:h="16838" w:orient="portrait"/>
          <w:cols w:equalWidth="0" w:num="1">
            <w:col w:w="9019"/>
          </w:cols>
          <w:pgMar w:left="1440" w:top="513" w:right="1440"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same condition, which was extended for an additional two years, and expired in August 2022. We have granted the marketing rights to Elelyso globally, excluding Brazil, to Pfizer through an exclusive licensing agreement. We maintain the distribution rights to Elelyso in Brazil, where it is currently marketed as BioManguinhos alfataliglicerase, through the Supply and Technology Transfer Agreement, or the Brazil Agreement, we entered into on June 18, 2013, with Fiocruz, an arm of the Brazilian MoH. In 2024, we generated $12.6 million from sales of Elelyso to Pfizer and $11.0 million from sales of BioManguinhos alfataliglicerase to the Brazilian MoH.</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Elfabrio</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(pegunigalsidase alfa or PRX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102) for the Treatment of Fabry Disease</w:t>
      </w:r>
    </w:p>
    <w:p>
      <w:pPr>
        <w:spacing w:after="0" w:line="10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Elfabrio for the treatment of adult patients with Fabry disease, is our proprietary, plant cell culture expressed enzyme, and a chemically modified stabilized version of, the recombinant α-Galactosidase-A protein, a lysosomal enzyme. Elfabrio has been approved by the FDA for marketing in the United States, the European Union, Great Britain, Switzerland, Peru, Israel, Russia and Singapore. In 2024, we generated $29.3 million from sales of Elfabrio to Chiesi.</w:t>
      </w:r>
    </w:p>
    <w:p>
      <w:pPr>
        <w:spacing w:after="0" w:line="13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Protalix Ltd., our wholly-owned subsidiary, has entered into two exclusive licensing and supply agreements with Chiesi for Elfabrio, one global excluding the United States and the second for the United States.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18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PRX-115 is our plant cell-expressed recombinant PEGylated Uricase (urate oxidase) – a chemically modified enzyme under development for the potential treatment of uncontrolled gout. Gout is the most common inflammatory arthritis, affecting a projected 14.9 million adults in the United States alone. Based on market research we have commissioned, we estimate that approximately 25% of the gout population in the US and Western Europe does not have their gout controlled. Some of those patients cannot be treated with existing therapies; others stop treatment with existing therapies due to adverse events. In addition, such research presents that there are gout patients treated with existing therapies that continue to suffer from tophi despite having reached urate target levels. The risk of gout increases with age, and is more common in males. Gout results from sustained elevation of serum urate levels (hyperuricaemia). Urate levels may increase due to diet, genetic predisposition and environmental factors leading to the deposition of monosodium urate crystals and\or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in a combination known as the metabolic syndrome.</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20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which we are designing to have an elongated half-life in the circulation for the potential treatment of NETs-related diseases. NETs, or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 NETs toxicity. Our proprietary modified DNase I, which we have designed for long and customized systemic circulation in the bloodstream, may potentially enable effective treatment for these conditions.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2024 Company Developments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2024 Developments</w:t>
      </w:r>
    </w:p>
    <w:p>
      <w:pPr>
        <w:spacing w:after="0" w:line="227" w:lineRule="exact"/>
        <w:rPr>
          <w:sz w:val="20"/>
          <w:szCs w:val="20"/>
          <w:color w:val="auto"/>
        </w:rPr>
      </w:pPr>
    </w:p>
    <w:p>
      <w:pPr>
        <w:ind w:left="60" w:right="199" w:firstLine="638"/>
        <w:spacing w:after="0" w:line="312" w:lineRule="auto"/>
        <w:tabs>
          <w:tab w:leader="none" w:pos="103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2024, we announced our decision to expand our phase I First-in-Human clinical trial of PRX-115 by adding an eighth cohort with eight new patients and to commence preparations for a phase II clinical trial of PRX-115.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38"/>
        <w:spacing w:after="0" w:line="254" w:lineRule="auto"/>
        <w:tabs>
          <w:tab w:leader="none" w:pos="10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27, 2024, we held our Annual Meeting of Stockholders at which our stockholders: (1) elected the seven persons nominated by our Board of Directors to serve as directors of the Company; (2) approved, on a non-binding, advisory basis, the compensation of our named executive officers; (3) adopted amendments to the Protalix BioTherapeutics, Inc. 2006 Stock Incentive Plan, as amended, to increase the number of shares of the Company’s common stock available under such plan from 12,475,171 shares to 17,475,171 shares and adopted certain other terms of said plan and (4) ratified the appointment of Kesselman &amp; Kesselman, Certified Public Accountants (Isr.), a member firm of PricewaterhouseCoopers International Limited, as our independent registered public accounting firm for the fiscal year ending December 31, 2024.</w:t>
      </w:r>
    </w:p>
    <w:p>
      <w:pPr>
        <w:spacing w:after="0" w:line="164" w:lineRule="exact"/>
        <w:rPr>
          <w:rFonts w:ascii="Times New Roman" w:cs="Times New Roman" w:eastAsia="Times New Roman" w:hAnsi="Times New Roman"/>
          <w:sz w:val="18"/>
          <w:szCs w:val="18"/>
          <w:color w:val="auto"/>
        </w:rPr>
      </w:pPr>
    </w:p>
    <w:p>
      <w:pPr>
        <w:ind w:left="60" w:right="479" w:firstLine="638"/>
        <w:spacing w:after="0" w:line="282" w:lineRule="auto"/>
        <w:tabs>
          <w:tab w:leader="none" w:pos="10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repaid in full all of the outstanding principal and interest payable under our 2024 Notes. The repayment of the convertible notes at maturity was financed entirely with available cash.</w:t>
      </w:r>
    </w:p>
    <w:p>
      <w:pPr>
        <w:spacing w:after="0" w:line="121" w:lineRule="exact"/>
        <w:rPr>
          <w:rFonts w:ascii="Times New Roman" w:cs="Times New Roman" w:eastAsia="Times New Roman" w:hAnsi="Times New Roman"/>
          <w:sz w:val="18"/>
          <w:szCs w:val="18"/>
          <w:color w:val="auto"/>
        </w:rPr>
      </w:pPr>
    </w:p>
    <w:p>
      <w:pPr>
        <w:ind w:left="60" w:right="679" w:firstLine="638"/>
        <w:spacing w:after="0" w:line="266" w:lineRule="auto"/>
        <w:tabs>
          <w:tab w:leader="none" w:pos="10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2024, we announced, together with Chiesi, that the EMA had validated the Variation Submission for pegunigalsidase alfa to label a less frequent dosing regimen at a dose of 2 mg/kg body weight administered every four weeks in adult patients with Fabry disease.</w:t>
      </w:r>
    </w:p>
    <w:p>
      <w:pPr>
        <w:spacing w:after="0" w:line="135" w:lineRule="exact"/>
        <w:rPr>
          <w:rFonts w:ascii="Times New Roman" w:cs="Times New Roman" w:eastAsia="Times New Roman" w:hAnsi="Times New Roman"/>
          <w:sz w:val="18"/>
          <w:szCs w:val="18"/>
          <w:color w:val="auto"/>
        </w:rPr>
      </w:pPr>
    </w:p>
    <w:p>
      <w:pPr>
        <w:ind w:left="60" w:right="919" w:firstLine="638"/>
        <w:spacing w:after="0" w:line="282" w:lineRule="auto"/>
        <w:tabs>
          <w:tab w:leader="none" w:pos="10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our Board of Directors unanimously approved and adopted an amendment and restatement of our company Bylaws.</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Our Marketed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Elelyso for the Treatment of Gaucher Disease</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23 markets including the United States, Brazil, Israel and others.</w:t>
      </w:r>
    </w:p>
    <w:p>
      <w:pPr>
        <w:spacing w:after="0" w:line="15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40" w:lineRule="exact"/>
        <w:rPr>
          <w:sz w:val="20"/>
          <w:szCs w:val="20"/>
          <w:color w:val="auto"/>
        </w:rPr>
      </w:pPr>
    </w:p>
    <w:p>
      <w:pPr>
        <w:ind w:left="60" w:right="159"/>
        <w:spacing w:after="0" w:line="211" w:lineRule="auto"/>
        <w:rPr>
          <w:sz w:val="20"/>
          <w:szCs w:val="20"/>
          <w:color w:val="auto"/>
        </w:rPr>
      </w:pPr>
      <w:r>
        <w:rPr>
          <w:rFonts w:ascii="Times New Roman" w:cs="Times New Roman" w:eastAsia="Times New Roman" w:hAnsi="Times New Roman"/>
          <w:sz w:val="18"/>
          <w:szCs w:val="18"/>
          <w:color w:val="auto"/>
        </w:rPr>
        <w:t>The global market for Gaucher disease, that includes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(acquired by Takeda Pharmaceutical Company Limited)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was $1.7 billion in 2024, is forecasted to be approximately $1.7 billion in 2025 and is forecasted to grow at a compound annual growth rate (CAGR) of approximately -0.46% from 2024-2030.</w:t>
      </w:r>
    </w:p>
    <w:p>
      <w:pPr>
        <w:spacing w:after="0" w:line="158"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Cerezyme and Vpriv.</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Elfabrio for the Treatment of Fabry Disease</w:t>
      </w:r>
    </w:p>
    <w:p>
      <w:pPr>
        <w:spacing w:after="0" w:line="18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Elfabrio, our second commercial product, was approved by the EC for marketing in the EU and by the FDA for marketing in the United States in May 2023 for adult patients with Fabry disease. Both approvals cover the 1 mg/kg every two weeks dosage. According to the EMA, overall, the benefit/risk balance of Elfabrio is positive in the claimed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 xml:space="preserve">indication (Fabry disease). Similarly, the FDA review team concluded that in the context of Fabry disease as a rare, serious disease with limited therapeutic options that may not be suitable to all individual patients, the benefit-risk of Elfabrio is favorable for the treatment of adults with confirmed Fabry disease. The FDA noted its determination that substantial evidence of effectiveness for Elfabrio in Fabry patients was established with one adequate and well-controlled study, our phase I\II clinical trial of Fabry disease, with confirmatory evidence provided by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FDA review team also concluded that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met its primary efficacy endpoint, which assessed the 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the non-inferiority margin.</w:t>
      </w:r>
    </w:p>
    <w:p>
      <w:pPr>
        <w:spacing w:after="0" w:line="161"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Since the approvals by the FDA and the EMA, Elfabrio has been approved for marketing in Great Britain, Switzerland, Peru, Israel, Russia and Singapore for long-term enzyme replacement therapy in adult patients with a confirmed diagnosis of Fabry disease.</w:t>
      </w:r>
    </w:p>
    <w:p>
      <w:pPr>
        <w:spacing w:after="0" w:line="135"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Fabry disease is a serious life-threatening rare genetic disorder. Fabry patients lack or have low levels of α-galactosidase-A resulting in the progressive accumulation of abnormal deposits of a fatty substance called globotriaosylceramide, or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in blood vessel walls throughout their body. The ultimate consequences of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4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standard of care for Fabry disease is ERT. Currently, the ERTs for Fabry disease are agalsidase alfa, agalsidase beta, and now Elfabrio. Through an ERT,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 conditions such as pain can have a significant impact on the psychological well-being of Fabry patients and their social functioning. Fabry disease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female patients with Fabry disease. This represents a 20- and 10-year reduction of their respective lifespans.</w:t>
      </w:r>
    </w:p>
    <w:p>
      <w:pPr>
        <w:spacing w:after="0" w:line="157" w:lineRule="exact"/>
        <w:rPr>
          <w:sz w:val="20"/>
          <w:szCs w:val="20"/>
          <w:color w:val="auto"/>
        </w:rPr>
      </w:pPr>
    </w:p>
    <w:p>
      <w:pPr>
        <w:ind w:left="60" w:right="79"/>
        <w:spacing w:after="0" w:line="201" w:lineRule="auto"/>
        <w:rPr>
          <w:sz w:val="20"/>
          <w:szCs w:val="20"/>
          <w:color w:val="auto"/>
        </w:rPr>
      </w:pPr>
      <w:r>
        <w:rPr>
          <w:rFonts w:ascii="Times New Roman" w:cs="Times New Roman" w:eastAsia="Times New Roman" w:hAnsi="Times New Roman"/>
          <w:sz w:val="18"/>
          <w:szCs w:val="18"/>
          <w:color w:val="auto"/>
        </w:rPr>
        <w:t>The global market for Fabry disease, that includes agalsidase beta, Sanofi’s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agalsidase alfa, Shire’s Replagal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Amicus Therapeutics’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is forecasted to be approximately $2.3 billion in 2025 and is forecasted to grow at a CAGR of 6.6% from 2024-2030 reaching approximately $3.1 billion in annual sales in 2030.</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Background</w:t>
      </w:r>
    </w:p>
    <w:p>
      <w:pPr>
        <w:spacing w:after="0" w:line="18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On November 9, 2022, we, together with Chiesi, resubmitted to the FDA a BLA for PRX-102, the name we assigned to Elfabrio internally prior to its approvals, for the potential treatment of adult patients with Fabry disease. The initial BLA for PRX-102 was submitted to the FDA in May 2020. However, in April 2021, the FDA issued a CRL in response thereto. No concerns relating to the potential safety or efficacy of PRX-102 in the submitted data package were raised in the CRL. The FDA noted in the CRL that an inspection of our manufacturing facility in Carmiel, Israel, including the FDA’s subsequent assessment of any related FDA findings, was required before the FDA can approve a new drug. Due to travel restrictions during the COVID-19 pandemic, the FDA was unable to conduct the required pre-approval inspection during the review cycle. In addition to the foregoing, the FDA noted that agalsidase beta had recently been converted to full approval, a change in regulatory circumstances which had to be addressed in the resubmitted BLA for PRX-102.</w:t>
      </w:r>
    </w:p>
    <w:p>
      <w:pPr>
        <w:spacing w:after="0" w:line="16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PRX-102 MAA was submitted to the EMA in February 2022 after a meeting we held, together with Chiesi, with the Rapporteur and Co-Rapporteur of the EMA regarding PRX-102. In February 2023, we, together with Chiesi, announced that the CHMP had adopted a positive opinion, recommending marketing authorization for PRX-102. As disclosed above, Elfabrio was subsequently approved by the EC for marketing in the EU and in the United States in May 2023 for adult patients with Fabry disease. Both approvals cover the 1 mg/kg every two weeks dosage. Elfabrio was approved by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FDA with a boxed warning for hypersensitivity reactions/anaphylaxis, consistent with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In December 2024, the EMA validated Chiesi’s Variation Submission for PRX-102. The Variation Submission seeks to add an additional dose and dosing regimen, 2 mg/kg body weight administered every four weeks in adult patients with Fabry disease, to the current Elfabrio label.</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Key Trials and Design</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PRX-102 clinical development program was designed to show that PRX-102 has a potential clinical benefit in all adult Fabry patient populations when compared to the then marketed Fabry disease enzymes, agalsidase beta and agalsidase alfa.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w:t>
      </w:r>
    </w:p>
    <w:p>
      <w:pPr>
        <w:spacing w:after="0" w:line="15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 xml:space="preserve">The phase III clinical program included three individual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the phase III clinical program overall, two potential dosing regimens for PRX-102 were analyzed; 1 mg/kg every two weeks, with the potential for improved efficacy and safety offering a potential alternative to existing enzyme replacement therapies, and 2 mg/kg every four weeks. The phase III program was preceded by the phase I/II clinical trial, a dose range finding study in ERT-naïve adult patients with Fabry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103505</wp:posOffset>
            </wp:positionV>
            <wp:extent cx="4440555" cy="213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4055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BALANCE Study</w:t>
      </w:r>
    </w:p>
    <w:p>
      <w:pPr>
        <w:spacing w:after="0" w:line="185" w:lineRule="exact"/>
        <w:rPr>
          <w:sz w:val="20"/>
          <w:szCs w:val="20"/>
          <w:color w:val="auto"/>
        </w:rPr>
      </w:pPr>
    </w:p>
    <w:p>
      <w:pPr>
        <w:ind w:left="60" w:right="239"/>
        <w:spacing w:after="0" w:line="25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(PB-102-F20, NCT02795676) was a pivotal 24-month, randomized, double blind, active control study of PRX-102 in adult Fabry patients with deteriorating renal function designed to evaluate the safety and efficacy of 1 mg/kg of PRX-102 administered every two weeks compared to agalsidase beta. The Clinical Study Report for the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completed in July 2022, demonstrated a favorable tolerability profile. A total of 78 patients who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treated with agalsidase beta for at least one year with an eGFR slope at screening worse than</w:t>
      </w:r>
    </w:p>
    <w:p>
      <w:pPr>
        <w:spacing w:after="0" w:line="1" w:lineRule="exact"/>
        <w:rPr>
          <w:sz w:val="20"/>
          <w:szCs w:val="20"/>
          <w:color w:val="auto"/>
        </w:rPr>
      </w:pPr>
    </w:p>
    <w:p>
      <w:pPr>
        <w:ind w:left="60" w:right="259"/>
        <w:spacing w:after="0" w:line="222" w:lineRule="auto"/>
        <w:rPr>
          <w:sz w:val="20"/>
          <w:szCs w:val="20"/>
          <w:color w:val="auto"/>
        </w:rPr>
      </w:pPr>
      <w:r>
        <w:rPr>
          <w:rFonts w:ascii="Times New Roman" w:cs="Times New Roman" w:eastAsia="Times New Roman" w:hAnsi="Times New Roman"/>
          <w:sz w:val="18"/>
          <w:szCs w:val="18"/>
          <w:color w:val="auto"/>
        </w:rPr>
        <w:t>-2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4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TEAEs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35"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 Even with this reduction in use of premedication, there were fewer reported infusion-related reactions with PRX-102: 11 (21.2%) patients in the PRX-102 arm experienced a total of 13 events compared to six (24.0%) patients experiencing a total of 51 events in the agalsidase beta arm. The number of infusion-related reactions adjusted to 100 infusions is 0.5 for the PRX-102 arm and 3.9 for agalsidase beta arm.</w:t>
      </w:r>
    </w:p>
    <w:p>
      <w:pPr>
        <w:spacing w:after="0" w:line="14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that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61"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39"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Considering that in the trial patients in the PRX-102 arm were exposed for the first time to the novel enzyme, tolerability data appear favorable for PRX-102 and in-line with what was observed in the previous clinical studies of PRX-102.</w:t>
      </w:r>
    </w:p>
    <w:p>
      <w:pPr>
        <w:spacing w:after="0" w:line="9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4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BRIDGE Study</w:t>
      </w:r>
    </w:p>
    <w:p>
      <w:pPr>
        <w:spacing w:after="0" w:line="18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(PB-102-F30, NCT03018730) was a 12-month open-label, single arm switch-over study evaluating the safety and efficacy of PRX-102, 1 mg/kg infused every two weeks, in up to 22 Fabry patients previously treated with agalsidase alfa for at least two years and on a stable dose for at least six months. In the study, patients were screened and evaluated over three months while continuing agalsidase alfa treatment.</w:t>
      </w:r>
    </w:p>
    <w:p>
      <w:pPr>
        <w:spacing w:after="0" w:line="153" w:lineRule="exact"/>
        <w:rPr>
          <w:sz w:val="20"/>
          <w:szCs w:val="20"/>
          <w:color w:val="auto"/>
        </w:rPr>
      </w:pPr>
    </w:p>
    <w:p>
      <w:pPr>
        <w:ind w:left="60" w:right="79"/>
        <w:spacing w:after="0" w:line="238" w:lineRule="auto"/>
        <w:rPr>
          <w:sz w:val="20"/>
          <w:szCs w:val="20"/>
          <w:color w:val="auto"/>
        </w:rPr>
      </w:pPr>
      <w:r>
        <w:rPr>
          <w:rFonts w:ascii="Times New Roman" w:cs="Times New Roman" w:eastAsia="Times New Roman" w:hAnsi="Times New Roman"/>
          <w:sz w:val="18"/>
          <w:szCs w:val="18"/>
          <w:color w:val="auto"/>
        </w:rPr>
        <w:t xml:space="preserve">Final results of the data generated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showed substantial improvement in renal function as measured by mean annualized eGFR slope in both male and female patients. Twenty of 22 patients completed the 12-month treatment duration. In the study, the mean annualized eGFR slope of the study participants improved from -5.90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while on agalsidase alfa to -1.19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on PRX-102 in all patients. Male patients improved from -6.36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 -1.73mL/min/1.73m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and female patients improved from -</w:t>
      </w:r>
    </w:p>
    <w:p>
      <w:pPr>
        <w:sectPr>
          <w:pgSz w:w="11900" w:h="16838" w:orient="portrait"/>
          <w:cols w:equalWidth="0" w:num="1">
            <w:col w:w="9019"/>
          </w:cols>
          <w:pgMar w:left="1440" w:top="513" w:right="1440"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79"/>
        <w:spacing w:after="0" w:line="226" w:lineRule="auto"/>
        <w:rPr>
          <w:sz w:val="20"/>
          <w:szCs w:val="20"/>
          <w:color w:val="auto"/>
        </w:rPr>
      </w:pPr>
      <w:r>
        <w:rPr>
          <w:rFonts w:ascii="Times New Roman" w:cs="Times New Roman" w:eastAsia="Times New Roman" w:hAnsi="Times New Roman"/>
          <w:sz w:val="18"/>
          <w:szCs w:val="18"/>
          <w:color w:val="auto"/>
        </w:rPr>
        <w:t>5.03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to -0.21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Following the switch to PRX-102, there was a decrease in patients with progressing or fast progressing kidney disease which is consistent with the therapeutic goals for Fabry disease, as identified by Christoph Wanner, et. al., in 2019, and most patients achieved a stable status post-switch.</w:t>
      </w:r>
    </w:p>
    <w:p>
      <w:pPr>
        <w:spacing w:after="0" w:line="17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The majority of TEAEs were mild or moderate in severity, with two patients (9.1%) withdrawing from the therapy due to hypersensitivity reaction that was resolved. The most common moderate TEAEs were nasopharyngitis, headache and dyspnea. An immunogenicity assessment indicated that four out of 20 patients (20%) developed persistent ADAs over the course of the study, of which two had neutralizing activity.</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Phase III BRIGHT Study</w:t>
      </w:r>
    </w:p>
    <w:p>
      <w:pPr>
        <w:spacing w:after="0" w:line="185"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(PB-102-F50, NCT03180840) was a multicenter, multinational open-label, switch-over study designed to evaluate the safety, efficacy and pharmacokinetics of treatment with 2 mg/kg of PRX-102 administered every four weeks for 52 weeks (a total of 14 infusions). The 2 mg/kg every four weeks dosage has not been approved by the EMA, FDA or any other jurisdiction.</w:t>
      </w:r>
    </w:p>
    <w:p>
      <w:pPr>
        <w:spacing w:after="0" w:line="155" w:lineRule="exact"/>
        <w:rPr>
          <w:sz w:val="20"/>
          <w:szCs w:val="20"/>
          <w:color w:val="auto"/>
        </w:rPr>
      </w:pPr>
    </w:p>
    <w:p>
      <w:pPr>
        <w:ind w:left="60" w:right="59"/>
        <w:spacing w:after="0" w:line="243" w:lineRule="auto"/>
        <w:rPr>
          <w:sz w:val="20"/>
          <w:szCs w:val="20"/>
          <w:color w:val="auto"/>
        </w:rPr>
      </w:pPr>
      <w:r>
        <w:rPr>
          <w:rFonts w:ascii="Times New Roman" w:cs="Times New Roman" w:eastAsia="Times New Roman" w:hAnsi="Times New Roman"/>
          <w:sz w:val="18"/>
          <w:szCs w:val="18"/>
          <w:color w:val="auto"/>
        </w:rPr>
        <w:t>Enrollment in the study included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as a Fabry biomarker, as well as other parameters. In addition, participating patients were evaluated to assess the safety and tolerability of PRX-102.</w:t>
      </w:r>
    </w:p>
    <w:p>
      <w:pPr>
        <w:spacing w:after="0" w:line="158" w:lineRule="exact"/>
        <w:rPr>
          <w:sz w:val="20"/>
          <w:szCs w:val="20"/>
          <w:color w:val="auto"/>
        </w:rPr>
      </w:pPr>
    </w:p>
    <w:p>
      <w:pPr>
        <w:ind w:left="60" w:right="219"/>
        <w:spacing w:after="0" w:line="234" w:lineRule="auto"/>
        <w:rPr>
          <w:sz w:val="20"/>
          <w:szCs w:val="20"/>
          <w:color w:val="auto"/>
        </w:rPr>
      </w:pPr>
      <w:r>
        <w:rPr>
          <w:rFonts w:ascii="Times New Roman" w:cs="Times New Roman" w:eastAsia="Times New Roman" w:hAnsi="Times New Roman"/>
          <w:sz w:val="18"/>
          <w:szCs w:val="18"/>
          <w:color w:val="auto"/>
        </w:rPr>
        <w:t xml:space="preserve">The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58"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5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54" w:lineRule="exact"/>
        <w:rPr>
          <w:sz w:val="20"/>
          <w:szCs w:val="20"/>
          <w:color w:val="auto"/>
        </w:rPr>
      </w:pPr>
    </w:p>
    <w:p>
      <w:pPr>
        <w:jc w:val="both"/>
        <w:ind w:left="60" w:right="119"/>
        <w:spacing w:after="0" w:line="253" w:lineRule="auto"/>
        <w:rPr>
          <w:sz w:val="20"/>
          <w:szCs w:val="20"/>
          <w:color w:val="auto"/>
        </w:rPr>
      </w:pPr>
      <w:r>
        <w:rPr>
          <w:rFonts w:ascii="Times New Roman" w:cs="Times New Roman" w:eastAsia="Times New Roman" w:hAnsi="Times New Roman"/>
          <w:sz w:val="17"/>
          <w:szCs w:val="17"/>
          <w:color w:val="auto"/>
        </w:rPr>
        <w:t>Study outcome measures show that plasma lyso-Gb</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xml:space="preserve"> concentrations remained stable during the study with a mean change (±SE) of 3.01 nM (0.94) from baseline (19.36 nM ±3.35) to Week 52 (22.23 ±3.60 nM). Mean absolute eGFR values were stable during the 52-week treatment period, with a mean change from baseline of -1.27 mL/min/1.73 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(1.39). Mean (SE) eGFR slope, at the end of the study, for the overall population, was -2.92 (1.05) mL/min/1.73 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indicating stability.</w:t>
      </w:r>
    </w:p>
    <w:p>
      <w:pPr>
        <w:spacing w:after="0" w:line="3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two weeks may be successfully transitioned to PRX-102 2 mg/kg every four weeks as an effective and tolerable alternative treatment option.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Study</w:t>
      </w:r>
    </w:p>
    <w:p>
      <w:pPr>
        <w:spacing w:after="0" w:line="187"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The phase I/II clinical trial of PRX-102 (NCT01678898) was a worldwide, multi-center, open-label, dose ranging study designed to evaluate the safety, tolerability, pharmacokinetics, immunogenicity and efficacy parameters of PRX-102 in adult patients with Fabry disease. It was completed in 2015.</w:t>
      </w:r>
    </w:p>
    <w:p>
      <w:pPr>
        <w:spacing w:after="0" w:line="135" w:lineRule="exact"/>
        <w:rPr>
          <w:sz w:val="20"/>
          <w:szCs w:val="20"/>
          <w:color w:val="auto"/>
        </w:rPr>
      </w:pPr>
    </w:p>
    <w:p>
      <w:pPr>
        <w:ind w:left="60" w:right="139"/>
        <w:spacing w:after="0" w:line="212" w:lineRule="auto"/>
        <w:rPr>
          <w:sz w:val="20"/>
          <w:szCs w:val="20"/>
          <w:color w:val="auto"/>
        </w:rPr>
      </w:pPr>
      <w:r>
        <w:rPr>
          <w:rFonts w:ascii="Times New Roman" w:cs="Times New Roman" w:eastAsia="Times New Roman" w:hAnsi="Times New Roman"/>
          <w:sz w:val="18"/>
          <w:szCs w:val="18"/>
          <w:color w:val="auto"/>
        </w:rPr>
        <w:t>Sixteen adult, naïve Fabry patients (9 male and 7 female) completed the phase I/II study, each in one of three dosing groups, 0.2 mg/kg, 1 mg/kg and 2 mg/kg. Each patient received IV infusions of PRX-102 every two weeks for 12 weeks, with efficacy follow-up after six-month and twelve-month periods.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71"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45"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Extension Studies</w:t>
      </w:r>
    </w:p>
    <w:p>
      <w:pPr>
        <w:spacing w:after="0" w:line="18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 xml:space="preserve">Two long-term open-label extension studies were available for 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BRIGHT </w:t>
      </w:r>
      <w:r>
        <w:rPr>
          <w:rFonts w:ascii="Times New Roman" w:cs="Times New Roman" w:eastAsia="Times New Roman" w:hAnsi="Times New Roman"/>
          <w:sz w:val="18"/>
          <w:szCs w:val="18"/>
          <w:color w:val="auto"/>
        </w:rPr>
        <w:t>studies, and the extension of the phase I/II study. Overall, 126 patients who participated in our PRX-102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program initially opted, with the advice of the treating physician, to enroll in one of the extension studies: 97 patients in the 1 mg/kg every two weeks extension study (PB-102-F60, NCT03566017) (10 patients who completed an extension study from the phase I/II study, 18 patients who completed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69 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and 29 patients who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the 2 mg/kg every four weeks extension study (PB-102-F51, NCT03614234). Two of the patients in the 2 mg/kg every four weeks extension study were treated with 1 mg/kg every two weeks.</w:t>
      </w:r>
    </w:p>
    <w:p>
      <w:pPr>
        <w:spacing w:after="0" w:line="14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After the approval of Elfabrio in the US and the EU, sponsorship and administration of the extension studies was transferred to Chiesi. Over time, and as Elfabrio is approved for marketing in different jurisdictions, patients switch-out of the open-label extension studies. Most of them have transferred to a commercial setting; others withdraw for other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reasons. Accordingly, the 1 mg/kg every two weeks dosage extension study is now closed as most patients have transferred to commercial or expanded access programs. In addition, most of the patients that enrolled in the 2 mg/kg every four weeks dosage extension study are now being treated with Elfabrio on a commercial basis.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Pediatric FLY Study</w:t>
      </w:r>
    </w:p>
    <w:p>
      <w:pPr>
        <w:spacing w:after="0" w:line="18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Chiesi is sponsoring, with our collaborative efforts, a clinical trial entitled “Multi-Centre, Open-label Trial to Assess the Safety, Pharmacodynamics, Efficacy and Pharmacokinetics of pegunigalsidase alfa in Patients From 2 Years to Less Than 18 Years of Age With Confirmed Fabry Disease” (NCT06328608). Recruitment has commenced. The design of the study is based on the Initial Pediatric Study Plan (iPSP) agreed to with the FDA and the paediatric investigation plan (PIP) for Elfabrio, which has been accepted, as amended, by the Paediatric Committee (PDCO) of the EMA.</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Japanese RISE Study</w:t>
      </w:r>
    </w:p>
    <w:p>
      <w:pPr>
        <w:spacing w:after="0" w:line="20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 xml:space="preserve">Chiesi is currently enrolling patients in its clinical trial entitled “A Multicenter Open-Label Study to Evaluate the Safety, Pharmacokinetics, Pharmacodynamics, and Efficacy of Pegunigalsidase Alfa (PRX-102) in Japanese Patients With Fabry Disease,” or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(NCT05710692). The aim of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is to evaluate the safety and efficacy of pegunigalsidase alfa in Japanese patients (adults and adolescents) affected by Fabry disease. It is planned that a total of approximately 18-20 male and female Fabry disease patients between the ages of 13 and 60 years will be enrolled in the study which is being conducted in Japan. The study involves both the 1 mg/kg every two weeks and the 2 mg/kg every four weeks dosages.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Development Pipeline</w:t>
      </w:r>
    </w:p>
    <w:p>
      <w:pPr>
        <w:spacing w:after="0" w:line="189"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Our corporate strategy includes development of treatments for rare and orphan diseases. To execute on the strategy, we are turning our focus to new, early-stage product candidates that treat indications for which there are high unmet needs in terms of efficacy and safety, including renal diseases. Treatments of interest will address both genetic and non-genetic diseases.</w:t>
      </w:r>
    </w:p>
    <w:p>
      <w:pPr>
        <w:spacing w:after="0" w:line="2"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We intend to use our ProCellEx platform and PEGylation capabilities, as well as other modalities such as small molecules and antibodies, to take advantage of highly innovative opportunities. Our current pipeline of product candidates includes PEGylated uricase for the treatment of uncontrolled gout, Long Acting (LA) DNase I for the treatment of NETs and other technologies and preclinical assets.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18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PRX-115 is our recombinant PEGylated uricase (urate oxidase) – a chemically modified enzyme under development for the potential treatment of patients with uncontrolled gout. The uricase enzyme, which does not exist naturally in humans, converts urate to allantoin, which is easily eliminated through urine. This recombinant enzyme, expressed via our ProCellEx system, is designed to lower urate levels and improve clinical manifestation of the disease while having low immunogenicity and increased half-life of the drug in the blood. Pre-clinical data demonstrates long half-life, reduced immunogenic risk and high specific activity supports the potential of PRX-115 to be a safe and effective treatment for patients with gout. One-month multiple dosing toxicity studies in two animal species and a 6-month multiple dosing toxicity study in one animal species were conducted to support single- and multiple-dose studies in humans.</w:t>
      </w:r>
    </w:p>
    <w:p>
      <w:pPr>
        <w:spacing w:after="0" w:line="15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In March 2023, we initiated our phase I clinical trial of PRX-115 for the potential treatment of uncontrolled gout entitled “A Double-blind, Placebo-controlled, Single Ascending Dose Study to Evaluate the Safety, Tolerability, Pharmacokinetics, and Pharmacodynamics Properties of PRX-115 in Adult Volunteers With Elevated Uric Acid Levels” (NCT05745727), or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The study was conducted at New Zealand Clinical Research (NZCR) under the New Zealand Medicines and Medical Devices Safety Authority (MedSafe) and the Health and Disability Ethics Committee (HDEC) guidelines. The study was initially designed to include seven sequential dosing cohorts, each composed of eight subjects (six active and two placebo), a 3:1 ratio. Subjects in each cohort, males and females aged 18 through 65, received a single dose of PRX-115 and were analyzed for safety, pharmacokinetics (PK) and pharmacodynamics (PD) (concentrations of plasma urate) for 85 days.</w:t>
      </w:r>
    </w:p>
    <w:p>
      <w:pPr>
        <w:spacing w:after="0" w:line="161"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 xml:space="preserve">After a review of initial positive top-line results from the initial seven cohorts, and following the review and acceptance of the safety data from such seven cohorts by the safety and monitoring committee for dose escalation for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we decided to expand the study by adding an eighth cohort of eight new subjects to analyze a higher dose and its potential to result in increased exposure time.</w:t>
      </w:r>
    </w:p>
    <w:p>
      <w:pPr>
        <w:spacing w:after="0" w:line="135"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Overall, 64 randomized subjects were enrolled across the eight cohorts; 48 subjects were treated with PRX–115 and 16 subjects were treated with placebo.</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Key results from the full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are as follows:</w:t>
      </w:r>
    </w:p>
    <w:p>
      <w:pPr>
        <w:spacing w:after="0" w:line="187" w:lineRule="exact"/>
        <w:rPr>
          <w:sz w:val="20"/>
          <w:szCs w:val="20"/>
          <w:color w:val="auto"/>
        </w:rPr>
      </w:pPr>
    </w:p>
    <w:p>
      <w:pPr>
        <w:ind w:left="60" w:right="179" w:firstLine="638"/>
        <w:spacing w:after="0" w:line="282" w:lineRule="auto"/>
        <w:tabs>
          <w:tab w:leader="none" w:pos="13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PRX-115 increased in a dose-dependent manner. Detectable PRX-115 levels were observed in plasma for up to 12 weeks from subjects in cohorts 6, 7, and 8. See Figure 1.</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131445</wp:posOffset>
            </wp:positionV>
            <wp:extent cx="4732020" cy="2948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3202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right="99" w:firstLine="638"/>
        <w:spacing w:after="0" w:line="261" w:lineRule="auto"/>
        <w:tabs>
          <w:tab w:leader="none" w:pos="13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tested doses, a single dose of PRX-115 rapidly reduced plasma urate levels. The effect and duration of response were found to be dose dependent. Following a single dose, mean plasma urate levels remained below</w:t>
      </w: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mg/dL for up to 12 weeks at the highest doses. See Figure 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139700</wp:posOffset>
            </wp:positionV>
            <wp:extent cx="4749165" cy="3171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4916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340" w:hanging="642"/>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randomized participants completed the study. PRX-115 was found to be well-tolerated. See Figure 3.</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Figure 3. Overall Summary of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131445</wp:posOffset>
            </wp:positionV>
            <wp:extent cx="4749165" cy="1543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4916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*Number of subjects reporting at least one adverse event.</w:t>
      </w:r>
    </w:p>
    <w:p>
      <w:pPr>
        <w:spacing w:after="0" w:line="16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Only 25% of the subjects treated with PRX-115 in the study (12/48) having reported study drug-related adverse events. The majority of such adverse events were mild to moderate and transient in nature. One subject experienced an anaphylactic reaction in cohort 2 immediately following the commencement of the infusion (6 minutes) and, accordingly, was exposed to approximately 5% of the applicable PRX-115 dose. The reaction resolved completely and the subject continued in the study for follow-up safety assessments. Premedication with anti-histamines and steroids were administered to all subjects following the anaphylaxis event. No other subjects experienced a similar reaction and no other serious adverse events were reported in the study. No related adverse events were reported for subjects treated in cohorts 6 and 7, and only for one patient per cohort in cohorts 4, 5 and 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These results suggest that PRX-115 has the potential to be a promising treatment option for patients with gout. The results demonstrate that PRX-115 may offer an effective urate-lowering treatment with an added benefit of a potentially wide dosing interval, which may enhance patient compliance and treatment flexibility. Further studies are needed to confirm the long-term safety and efficacy of PRX-115 in the gout patient population.</w:t>
      </w:r>
    </w:p>
    <w:p>
      <w:pPr>
        <w:spacing w:after="0" w:line="153"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We have initiated preparations for a phase II clinical trial of PRX-115, and we expect to commence the study in the second half of 2025.</w:t>
      </w:r>
    </w:p>
    <w:p>
      <w:pPr>
        <w:spacing w:after="0" w:line="12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Gout is the most common inflammatory arthritis, affecting a projected 14.9 million adults in the United States alone. Based on market research we have commissioned, we estimate that approximately 25% of the gout population in the US and Western Europe do not have their gout controlled. Some of those patients cannot be treated with existing therapies; others stop treatment with existing therapies due to adverse events. In addition, such research shows that there are gout patients treated with existing therapies that continue to suffer from tophi despite having reached urate target levels. The risk of gout increases with age, and is more common in males. Gout results from sustained elevation of serum urate levels (hyperuricaemia). Urate levels may increase due to diet, genetic predisposition and environmental factors leading to the deposition of monosodium urate crystals and\or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occurs in a combination known as the metabolic syndrome.</w:t>
      </w:r>
    </w:p>
    <w:p>
      <w:pPr>
        <w:spacing w:after="0" w:line="14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Uncontrolled gout is when serum urate (sUA) levels are above the maximum medically appropriate level (6.8 mg/dL), as well as tophi formation and/or flares that cannot be treated with available urate lowering therapies. Currently available ULTs can be effective in treating gout. However, factors such as low adherence, under dosing, disease progression that cause high patient burden or patients that are not suitable for available therapy, require new, effective and safe therapies to treat these underserved uncontrolled gout patients.</w:t>
      </w:r>
    </w:p>
    <w:p>
      <w:pPr>
        <w:spacing w:after="0" w:line="149" w:lineRule="exact"/>
        <w:rPr>
          <w:sz w:val="20"/>
          <w:szCs w:val="20"/>
          <w:color w:val="auto"/>
        </w:rPr>
      </w:pPr>
    </w:p>
    <w:p>
      <w:pPr>
        <w:ind w:left="60" w:right="79"/>
        <w:spacing w:after="0" w:line="231" w:lineRule="auto"/>
        <w:rPr>
          <w:sz w:val="20"/>
          <w:szCs w:val="20"/>
          <w:color w:val="auto"/>
        </w:rPr>
      </w:pPr>
      <w:r>
        <w:rPr>
          <w:rFonts w:ascii="Times New Roman" w:cs="Times New Roman" w:eastAsia="Times New Roman" w:hAnsi="Times New Roman"/>
          <w:sz w:val="18"/>
          <w:szCs w:val="18"/>
          <w:color w:val="auto"/>
        </w:rPr>
        <w:t>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(pegloticase) for treatment of chronic gout refractory to conventional therapy (gout patients who have contraindication/failure of other lowering urate treatments) and (ii) 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and other major side-effects. The FDA label of Krystexxa was amended in 2022 to include co-treatment of methotrexate to prolong efficacy and increases 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 We believe that new effective, safe therapies are needed to treat severe gout, chronic refractory and uncontrolled gout, regardless of treatment history.</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18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which we are designing to have an elongated half-life in the circulation for the potential treatment of NETs-related diseases. NETs, or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 NETs toxicity. Our proprietary modified DNase I, which we have designed for long and customized systemic circulation in the bloodstream, may potentially enable effective treatment for these conditions.</w:t>
      </w:r>
    </w:p>
    <w:p>
      <w:pPr>
        <w:spacing w:after="0" w:line="18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administration of PRX-119 resulted in a decrease in circulating of DNA levels and significantly enhanced the survival of mice in both a CLP-induced sepsis model and an ARDS model.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We have a robust patent portfolio, which is a key element of our overall strategy. We work to continually enhance, strengthen, and protect our intellectual property and now hold a broad portfolio of approximately 75 patents globally, including in Europe, the United States, Israel and additional countries worldwide. Our patents are designed to protect our proprietary technology, proprietary products and product candidates, and their methods of use. Additionally, we have approximately 50 pending patent applications.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December 31, 2024, we received the following:</w:t>
      </w:r>
    </w:p>
    <w:p>
      <w:pPr>
        <w:spacing w:after="0" w:line="185" w:lineRule="exact"/>
        <w:rPr>
          <w:sz w:val="20"/>
          <w:szCs w:val="20"/>
          <w:color w:val="auto"/>
        </w:rPr>
      </w:pPr>
    </w:p>
    <w:p>
      <w:pPr>
        <w:ind w:left="720" w:right="9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patents in each of USA, Australia, Chile and Mexico for the patent family named “Therapeutic Regimen For the Treatment of Fabry Using Stabilized Alpha-galactosidase, adding to the single previously granted patent in such family.</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patent in Japan for the patent family named “Removal of Constructs from Transformed Cells.”</w:t>
      </w:r>
    </w:p>
    <w:p>
      <w:pPr>
        <w:spacing w:after="0" w:line="18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competitive position and future success depend, in part, on our ability, and that of our licensees, to obtain and leverage the intellectual property rights covering our product candidates, know-how, methods, processes and other technologies, to protect our trade secrets, to prevent others from using our intellectual property and to operate without infringing on the intellectual property rights of third parties. We seek to protect our competitive position by filing United States, European Union, Israeli and other foreign patent applications covering our technology, including both new technology and improvements to existing technology. Our patent strategy includes obtaining patents on methods of production, compositions of matter and methods of use. We also rely on know-how, continuing technological innovation, licensing and partnership opportunities to develop and maintain our competitive position.</w:t>
      </w:r>
    </w:p>
    <w:p>
      <w:pPr>
        <w:spacing w:after="0" w:line="151"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As of December 31, 2024, our patent portfolio consisted of several patent families (consisting of patents and/or patent applications) covering our technology, protein expression methodologies and system and product candidates, as follows: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00" w:type="dxa"/>
            <w:vAlign w:val="bottom"/>
            <w:gridSpan w:val="3"/>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Patent Name/Int. App. No.</w:t>
            </w: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Global Pending</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80" w:type="dxa"/>
            <w:vAlign w:val="bottom"/>
            <w:gridSpan w:val="2"/>
            <w:vMerge w:val="restart"/>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Granted Jurisdictions</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tcBorders>
            <w:gridSpan w:val="3"/>
            <w:vMerge w:val="continue"/>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Jurisdictions</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gridSpan w:val="2"/>
            <w:vMerge w:val="continue"/>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center"/>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Expiry</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Production of High Mannose</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center"/>
              <w:ind w:right="64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9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Russian Federation, Australia, USA</w:t>
            </w:r>
          </w:p>
        </w:tc>
        <w:tc>
          <w:tcPr>
            <w:tcW w:w="760" w:type="dxa"/>
            <w:vAlign w:val="bottom"/>
            <w:gridSpan w:val="4"/>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2025(1)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Proteins in Plant Culture/PCT/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Il2004 000181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Plant Cell/Tissue Culturing</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center"/>
              <w:ind w:right="64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64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w w:val="99"/>
              </w:rPr>
              <w:t>Israel</w:t>
            </w:r>
          </w:p>
        </w:tc>
        <w:tc>
          <w:tcPr>
            <w:tcW w:w="700" w:type="dxa"/>
            <w:vAlign w:val="bottom"/>
            <w:gridSpan w:val="3"/>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Device, System and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Method/PCT/Il2005/000228</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Large Scale Disposable</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center"/>
              <w:ind w:right="64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9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Australia, Canada, China, Europe,</w:t>
            </w:r>
          </w:p>
        </w:tc>
        <w:tc>
          <w:tcPr>
            <w:tcW w:w="760" w:type="dxa"/>
            <w:vAlign w:val="bottom"/>
            <w:gridSpan w:val="4"/>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2028(2)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Bioreactor/PCT/Il2008/000614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Hong Kong, India, Israel, Republic</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of Korea, Russian Federation,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Singapore, South Africa, USA,</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Brazil</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Stabilized Alpha-galactosidase and</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center"/>
              <w:ind w:right="640"/>
              <w:spacing w:after="0" w:line="198" w:lineRule="exact"/>
              <w:rPr>
                <w:sz w:val="20"/>
                <w:szCs w:val="20"/>
                <w:color w:val="auto"/>
              </w:rPr>
            </w:pPr>
            <w:r>
              <w:rPr>
                <w:rFonts w:ascii="Times New Roman" w:cs="Times New Roman" w:eastAsia="Times New Roman" w:hAnsi="Times New Roman"/>
                <w:sz w:val="18"/>
                <w:szCs w:val="18"/>
                <w:color w:val="auto"/>
                <w:w w:val="99"/>
              </w:rPr>
              <w:t>Brazil</w:t>
            </w:r>
          </w:p>
        </w:tc>
        <w:tc>
          <w:tcPr>
            <w:tcW w:w="292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Canada, South Africa, Russian</w:t>
            </w:r>
          </w:p>
        </w:tc>
        <w:tc>
          <w:tcPr>
            <w:tcW w:w="760" w:type="dxa"/>
            <w:vAlign w:val="bottom"/>
            <w:gridSpan w:val="4"/>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2031(3)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uses thereof/PCT/Il2011/ 000209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Federation, Singapore, Israel, India,</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New Zealand,</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Republic of Korea, Australia,</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 Japan, USA, Europe,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Hong Kong, India, Brazil</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Nucleic Acid Construct for</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center"/>
              <w:ind w:right="64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9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India, China, Republic of Korea,</w:t>
            </w:r>
          </w:p>
        </w:tc>
        <w:tc>
          <w:tcPr>
            <w:tcW w:w="760" w:type="dxa"/>
            <w:vAlign w:val="bottom"/>
            <w:gridSpan w:val="4"/>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2031(2)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Expression of Alpha-galactosidase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Japan, Israel, Europe, Hong Kong,</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 Plants and Plant Cells/PCT/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USA, Brazil</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Il2011/000719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Therapeutic Regimen For The</w:t>
            </w:r>
          </w:p>
        </w:tc>
        <w:tc>
          <w:tcPr>
            <w:tcW w:w="2300" w:type="dxa"/>
            <w:vAlign w:val="bottom"/>
            <w:gridSpan w:val="5"/>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Europe, Brazil, Japan,</w:t>
            </w:r>
          </w:p>
        </w:tc>
        <w:tc>
          <w:tcPr>
            <w:tcW w:w="292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South Africa, New Zealand, Russian</w:t>
            </w:r>
          </w:p>
        </w:tc>
        <w:tc>
          <w:tcPr>
            <w:tcW w:w="700" w:type="dxa"/>
            <w:vAlign w:val="bottom"/>
            <w:gridSpan w:val="3"/>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2038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Treatment of Fabry Using</w:t>
            </w:r>
          </w:p>
        </w:tc>
        <w:tc>
          <w:tcPr>
            <w:tcW w:w="23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 Israel, Republic of</w:t>
            </w:r>
          </w:p>
        </w:tc>
        <w:tc>
          <w:tcPr>
            <w:tcW w:w="2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Federation, USA, Chile, Mexico,</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Stabilized Alpha-galactosidase/</w:t>
            </w:r>
          </w:p>
        </w:tc>
        <w:tc>
          <w:tcPr>
            <w:tcW w:w="23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Korea, China, Hong Kong</w:t>
            </w:r>
          </w:p>
        </w:tc>
        <w:tc>
          <w:tcPr>
            <w:tcW w:w="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w w:val="99"/>
              </w:rPr>
              <w:t>Australia</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PCT/Il2018/050018</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Dry Powder Formulations of</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Israel, USA</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DNase 1/PCT/Il2013/050094</w:t>
            </w:r>
          </w:p>
        </w:tc>
        <w:tc>
          <w:tcPr>
            <w:tcW w:w="2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8"/>
        </w:trPr>
        <w:tc>
          <w:tcPr>
            <w:tcW w:w="2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DNase I Polypeptides,</w:t>
            </w:r>
          </w:p>
        </w:tc>
        <w:tc>
          <w:tcPr>
            <w:tcW w:w="2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Europe, Israel, Brazil</w:t>
            </w:r>
          </w:p>
        </w:tc>
        <w:tc>
          <w:tcPr>
            <w:tcW w:w="98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Polynucleotides Encoding Same,</w:t>
            </w:r>
          </w:p>
        </w:tc>
        <w:tc>
          <w:tcPr>
            <w:tcW w:w="25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Methods of Producing DNase I</w:t>
            </w:r>
          </w:p>
        </w:tc>
        <w:tc>
          <w:tcPr>
            <w:tcW w:w="25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uses thereof in Therapy/PCT/</w:t>
            </w:r>
          </w:p>
        </w:tc>
        <w:tc>
          <w:tcPr>
            <w:tcW w:w="25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Il2013/050097</w:t>
            </w:r>
          </w:p>
        </w:tc>
        <w:tc>
          <w:tcPr>
            <w:tcW w:w="25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Inhalable Liquid Formulations of</w:t>
            </w:r>
          </w:p>
        </w:tc>
        <w:tc>
          <w:tcPr>
            <w:tcW w:w="25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Israel, USA</w:t>
            </w:r>
          </w:p>
        </w:tc>
        <w:tc>
          <w:tcPr>
            <w:tcW w:w="98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2033</w:t>
            </w: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DNase I/PCT/Il2013/050096</w:t>
            </w:r>
          </w:p>
        </w:tc>
        <w:tc>
          <w:tcPr>
            <w:tcW w:w="2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8"/>
        </w:trPr>
        <w:tc>
          <w:tcPr>
            <w:tcW w:w="2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Modified DNase and uses thereof/</w:t>
            </w:r>
          </w:p>
        </w:tc>
        <w:tc>
          <w:tcPr>
            <w:tcW w:w="250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Europe, Canada, China,</w:t>
            </w:r>
          </w:p>
        </w:tc>
        <w:tc>
          <w:tcPr>
            <w:tcW w:w="2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USA, Australia, Mexico, Israel,</w:t>
            </w:r>
          </w:p>
        </w:tc>
        <w:tc>
          <w:tcPr>
            <w:tcW w:w="98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2036</w:t>
            </w:r>
          </w:p>
        </w:tc>
      </w:tr>
      <w:tr>
        <w:trPr>
          <w:trHeight w:val="234"/>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PCT/Il2016/050003</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New Zealand, South Africa</w:t>
            </w:r>
          </w:p>
        </w:tc>
        <w:tc>
          <w:tcPr>
            <w:tcW w:w="980" w:type="dxa"/>
            <w:vAlign w:val="bottom"/>
            <w:shd w:val="clear" w:color="auto" w:fill="CCEEFF"/>
          </w:tcPr>
          <w:p>
            <w:pPr>
              <w:spacing w:after="0"/>
              <w:rPr>
                <w:sz w:val="20"/>
                <w:szCs w:val="20"/>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Removal of Constructs from</w:t>
            </w:r>
          </w:p>
        </w:tc>
        <w:tc>
          <w:tcPr>
            <w:tcW w:w="2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USA, Israel, New Zealand,</w:t>
            </w:r>
          </w:p>
        </w:tc>
        <w:tc>
          <w:tcPr>
            <w:tcW w:w="2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Japan,</w:t>
            </w:r>
          </w:p>
        </w:tc>
        <w:tc>
          <w:tcPr>
            <w:tcW w:w="98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2040</w:t>
            </w: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Transformed Cells/PCT/IL2019/</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051266</w:t>
            </w:r>
          </w:p>
        </w:tc>
        <w:tc>
          <w:tcPr>
            <w:tcW w:w="2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8"/>
        </w:trPr>
        <w:tc>
          <w:tcPr>
            <w:tcW w:w="2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Long-Acting</w:t>
            </w:r>
          </w:p>
        </w:tc>
        <w:tc>
          <w:tcPr>
            <w:tcW w:w="2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Canada, Israel, USA, Japan,</w:t>
            </w:r>
          </w:p>
        </w:tc>
        <w:tc>
          <w:tcPr>
            <w:tcW w:w="2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98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2041</w:t>
            </w: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DNase/PCT/IL2021/051207</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Europe, Hong Kong, Republic</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 Korea, China</w:t>
            </w:r>
          </w:p>
        </w:tc>
        <w:tc>
          <w:tcPr>
            <w:tcW w:w="26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Dicer-Like Knock-Out Plant Cells/</w:t>
            </w:r>
          </w:p>
        </w:tc>
        <w:tc>
          <w:tcPr>
            <w:tcW w:w="2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Israel, USA, Japan, Europe,</w:t>
            </w:r>
          </w:p>
        </w:tc>
        <w:tc>
          <w:tcPr>
            <w:tcW w:w="2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98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2041</w:t>
            </w: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PCT/IL2021/051194</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 Republic of</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Korea, China</w:t>
            </w:r>
          </w:p>
        </w:tc>
        <w:tc>
          <w:tcPr>
            <w:tcW w:w="2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8"/>
        </w:trPr>
        <w:tc>
          <w:tcPr>
            <w:tcW w:w="2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Modified Uricase and Uses</w:t>
            </w:r>
          </w:p>
        </w:tc>
        <w:tc>
          <w:tcPr>
            <w:tcW w:w="2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Japan, Canada, Brazil, USA,</w:t>
            </w:r>
          </w:p>
        </w:tc>
        <w:tc>
          <w:tcPr>
            <w:tcW w:w="2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98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2041</w:t>
            </w: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Thereof/PCT/IL2021/051305</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 Mexico, Europe,</w:t>
            </w:r>
          </w:p>
        </w:tc>
        <w:tc>
          <w:tcPr>
            <w:tcW w:w="2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Republic of Korea, China</w:t>
            </w:r>
          </w:p>
        </w:tc>
        <w:tc>
          <w:tcPr>
            <w:tcW w:w="26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Methods of treating diseases</w:t>
            </w:r>
          </w:p>
        </w:tc>
        <w:tc>
          <w:tcPr>
            <w:tcW w:w="2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USA</w:t>
            </w:r>
          </w:p>
        </w:tc>
        <w:tc>
          <w:tcPr>
            <w:tcW w:w="2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associated with elevated uric acid</w:t>
            </w:r>
          </w:p>
        </w:tc>
        <w:tc>
          <w:tcPr>
            <w:tcW w:w="2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ind w:left="360" w:hanging="310"/>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granted in Australia expires in 2029.</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granted in the United States expires in 2032.</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PTE/SPC applications were submitted for some of the patents.</w:t>
      </w:r>
    </w:p>
    <w:p>
      <w:pPr>
        <w:spacing w:after="0" w:line="180"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We are aware of U.S. patents, and corresponding international counterparts of such patents, owned by third parties that contain claims covering methods of producing glucocerebrosidase. We do not believe that, if any claim of infringement were to be asserted against us based upon such patents, taliglucerase alfa would be found to infringe any valid claim under such patents. However, there can be no assurance that a court would find in our favor or that, if we choose or are required to seek a license to any one or more of such patents, a license would be available to us on acceptable terms or at all.</w:t>
      </w:r>
    </w:p>
    <w:p>
      <w:pPr>
        <w:spacing w:after="0" w:line="127"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In April 2005, Protalix Ltd. entered into a license agreement with Icon Genetics AG, or Icon, pursuant to which we received an exclusive worldwide license to develop, test, use and commercialize Icon’s technology to express certain proteins in our ProCellEx protein expression system. We are also entitled to a non-exclusive worldwide license to make and have made other proteins expressed by using Icon’s technology. As consideration for the license, we are obligated to make royalty payments equal to varying low, single-digit percentages of net sales of products by us, our affiliates, or any sublicensees under the agreement. In addition, we are obligated to make milestone payments equal to $350,000, in the aggregate, for each product developed under the license, upon the achievement of certain milestones.</w:t>
      </w:r>
    </w:p>
    <w:p>
      <w:pPr>
        <w:spacing w:after="0" w:line="148"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Our license agreement with Icon remains in effect until the earlier of the expiration of the last patent under the agreement or, if all of the patents under the agreement expire, 20 years after the first commercial sale of any product under the agreement. Icon may terminate the agreement upon written notice to us that we are in material breach of our obligations under the agreement and we are unable to remedy such material breach within 30 days after we receive such notice. Further, Icon may terminate the agreement in connection with certain events relating to a wind up or bankruptcy, if we make a general assignment for the benefit of our creditors, or if we cease to conduct operations for a certain period. Icon may also terminate the exclusivity granted to us by written notice if we fail to reach certain milestones within a designated period of time. Notwithstanding the termination date of the agreement, our obligation to pay royalties to Icon under the agreement may expire prior to the termination of the agreement, subject to certain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evolving technology and significant competition. Competition from numerous existing companies and others entering the fields in which we operate is intense and expected to increase. Most of these companies have substantially greater research and development, manufacturing, marketing, financial, technological personnel and managerial resources than we do. In addition, many specialized biotechnology companies have formed collaborations with large, established companies to support research, development and commercialization of products that may be competitive with our current and future product candidates and technologies. Acquisitions of competing companies by large pharmaceutical or biotechnology companies could further enhance such competitors’ financial, marketing and other resources. Academic institutions, governmental agencies and other public and private research organizations are also conducting research activities and seeking patent protection and may commercialize competitive products or technologies on their own through collaborations with pharmaceutical and biotechnology companies.</w:t>
      </w:r>
    </w:p>
    <w:p>
      <w:pPr>
        <w:spacing w:after="0" w:line="151" w:lineRule="exact"/>
        <w:rPr>
          <w:sz w:val="20"/>
          <w:szCs w:val="20"/>
          <w:color w:val="auto"/>
        </w:rPr>
      </w:pPr>
    </w:p>
    <w:p>
      <w:pPr>
        <w:ind w:left="60" w:right="79"/>
        <w:spacing w:after="0" w:line="236" w:lineRule="auto"/>
        <w:rPr>
          <w:sz w:val="20"/>
          <w:szCs w:val="20"/>
          <w:color w:val="auto"/>
        </w:rPr>
      </w:pPr>
      <w:r>
        <w:rPr>
          <w:rFonts w:ascii="Times New Roman" w:cs="Times New Roman" w:eastAsia="Times New Roman" w:hAnsi="Times New Roman"/>
          <w:sz w:val="18"/>
          <w:szCs w:val="18"/>
          <w:color w:val="auto"/>
        </w:rPr>
        <w:t>With respect to Gaucher disease, we face competition primarily from two ERTs, Sanofi Genzyme’s Cerezyme and Takeda’s (Shire) Vpriv. In addition, Actelion markets a small molecule drug for the treatment of mild to moderate Type 1 Gaucher disease (Zavesca or miglustat), an oral treatment approved by the FDA only for patients for whom ERT is not a therapeutic option. In addition, Sanofi Genzyme markets a small molecule oral drug,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for Gaucher patients with certain CYP2D6 metabolizer status. We are aware of other treatments and gene therapies in early clinical development and later stage clinical development for the treatment of Gaucher disease.</w:t>
      </w:r>
    </w:p>
    <w:p>
      <w:pPr>
        <w:spacing w:after="0" w:line="160" w:lineRule="exact"/>
        <w:rPr>
          <w:sz w:val="20"/>
          <w:szCs w:val="20"/>
          <w:color w:val="auto"/>
        </w:rPr>
      </w:pPr>
    </w:p>
    <w:p>
      <w:pPr>
        <w:jc w:val="both"/>
        <w:ind w:left="60" w:right="199"/>
        <w:spacing w:after="0" w:line="224" w:lineRule="auto"/>
        <w:rPr>
          <w:sz w:val="20"/>
          <w:szCs w:val="20"/>
          <w:color w:val="auto"/>
        </w:rPr>
      </w:pPr>
      <w:r>
        <w:rPr>
          <w:rFonts w:ascii="Times New Roman" w:cs="Times New Roman" w:eastAsia="Times New Roman" w:hAnsi="Times New Roman"/>
          <w:sz w:val="18"/>
          <w:szCs w:val="18"/>
          <w:color w:val="auto"/>
        </w:rPr>
        <w:t>With respect to Fabry disease, we face competition primarily from Sanofi Genzyme (Fabrazyme), Takeda (Replagal) and Amicus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we are aware of other late clinical stage, early clinical stage and experimental drugs that are being developed by other companies for the treatment of Fabry disease.</w:t>
      </w:r>
    </w:p>
    <w:p>
      <w:pPr>
        <w:spacing w:after="0" w:line="172"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With respect to uncontrolled gout, we face competition from Horizon Therapeutics Public Limited Company (Krsytexxa), which is indicated for treatment of chronic gout in adult patients refractory to conventional therapy. In addition, we are aware of other clinical stage, early clinical stage and experimental refractory or chronic gout treatments. For example, we are aware of a product candidate for chronic refractory gout that recently completed a phase III clinical trial and has met the primary endpoints of the trial, and of another product candidate that is the subject of a phase II clinical trial for hyperuricemia in gout patients with advanced CKD.</w:t>
      </w:r>
    </w:p>
    <w:p>
      <w:pPr>
        <w:spacing w:after="0" w:line="14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also face potential competition to our ProCellEx system from companies that are developing other platforms for the expression of recombinant therapeutic pharmaceuticals. We are aware of companies that are developing alternative technologies to develop and produce therapeutic proteins in anticipation of the expiration of certain patent claims covering marketed proteins. A number of companies have developed or are developing alternative expression technologies. Examples include Crucell N.V.’s (acquired by Johnson &amp; Johnson) expression system based on human-cell technology, Dyadic International Inc.’s expression system based on a fungus, Pfenex Inc.’s (acquired by Ligand Pharmaceuticals Incorporated) bacteria-based expression system, and others. Companies developing alternate plant-based technologies include iBio, Inc., Medicago, Inc., and eleva. Unlike ProCellEx, these alternate technologies are not cell-based. These companies base their product development on transgenic plants or whole plants.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Agreements and Partnerships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Elelyso – Pfizer</w:t>
      </w:r>
    </w:p>
    <w:p>
      <w:pPr>
        <w:spacing w:after="0" w:line="187"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We have licensed to Pfizer the global rights to Elelyso in all markets, excluding Brazil, pursuant to an Amended and Restated Exclusive License and Supply Agreement, or the Amended Pfizer Agreement, which we entered into with Pfizer in October 2015 to amend and restate our initial Exclusive License and Supply Agreement with Pfizer, or the Pfizer Agreement. Pursuant to the Amended Pfizer Agreement, Pfizer retains 100% of revenue and reimburses 100% of direct costs. For the first 10-year period after the execution of the Amended Pfizer Agreement, we have agreed to sell drug substance to Pfizer for the production of Elelyso, subject to certain terms and conditions,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Any failure to comply with our supply commitments may subject us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substantial financial penalties. The Amended Pfizer Agreement includes customary provisions regarding cooperation for regulatory matters, patent enforcement, termination, indemnification and insurance requirements. We retain distribution rights to taliglucerase alfa in Brazil.</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Elelyso – Fundação Oswaldo Cruz (Fiocruz)</w:t>
      </w:r>
    </w:p>
    <w:p>
      <w:pPr>
        <w:spacing w:after="0" w:line="18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Elelyso, marketed as BioManguinhos alfataliglicerase in Brazil, is commercialized in Brazil through the Brazil Agreement with Fiocruz, which became effective in January 2014. Gaucher patients in Brazil are entitled to receive ERT paid for by the Brazilian MoH. The Brazilian MoH clinical treatment guidelines (PCDT) state that BioManguinhos alfataliglicerase is the therapy of choice for newly diagnosed patients. BioManguinhos alfataliglicerase is currently estimated to be used by approximately 25% of Gaucher patients in Brazil.</w:t>
      </w:r>
    </w:p>
    <w:p>
      <w:pPr>
        <w:spacing w:after="0" w:line="14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Brazil Agreement provides for a staged technology transfer which is intended to transfer to Fiocruz the capacity and skills required for the Brazilian government to construct its own manufacturing facility, at its sole expense, and to produce a sustainable, high-quality, and cost-effective supply of BioManguinhos alfataliglicerase. Fiocruz has not satisfied certain purchase commitments under the Brazil Agreement. Accordingly, we and Fiocruz discuss on a continuous basis, potential steps to maximize sales of BioManguinhos alfataliglicerase sales to the Brazilian MoH.</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Elfabrio (pegunigalsidase alfa\PRX-102) – Chiesi Farmaceutici</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PRX-102 for the treatment of Fabry disease with Chiesi; the Exclusive License and Supply Agreement dated as of October 17, 2017, made by and between</w:t>
      </w:r>
    </w:p>
    <w:p>
      <w:pPr>
        <w:ind w:left="60" w:right="59"/>
        <w:spacing w:after="0" w:line="252" w:lineRule="auto"/>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auto"/>
          </w:rPr>
          <w:t xml:space="preserve">Protalix Ltd. and Chiesi, or the Chiesi Ex-US Agreement, and the </w:t>
        </w:r>
        <w:r>
          <w:rPr>
            <w:rFonts w:ascii="Times New Roman" w:cs="Times New Roman" w:eastAsia="Times New Roman" w:hAnsi="Times New Roman"/>
            <w:sz w:val="18"/>
            <w:szCs w:val="18"/>
            <w:u w:val="single" w:color="auto"/>
            <w:color w:val="0000EE"/>
          </w:rPr>
          <w:t>Exclusive License and Supply Agreement dated as of</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July 23, 2018, made by and between Protalix Ltd.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Chiesi, or the Chiesi US Agreement. The Chiesi Ex-US Agreement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 Chiesi US Agreement are referred to herein collectively as the Chiesi Agreements. Under the agreements, Protalix Ltd. has received $50.0 million in upfront payments and development cost reimbursements of $45 million, and is entitled to more than $1.0 billion in potential milestone payments tiered payments for drug product purchased from Protalix Ltd. equal to 15% - 35% (ex-US) and 15% - 40% (US), depending on the amount of annual net sales in the applicable territories.</w:t>
      </w:r>
    </w:p>
    <w:p>
      <w:pPr>
        <w:spacing w:after="0" w:line="148"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color w:val="auto"/>
        </w:rPr>
        <w:t>Under the Chiesi Ex-US Agreement, we granted to Chiesi an exclusive license for all markets outside of the United States to commercialize PRX-102.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the aggregate,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exclusive license to develop and commercialize PRX-102 in the United States were granted to Chiesi under the Chiesi</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 Agreement. Protalix Ltd. received an upfront, non-refundable, non-creditable payment of $25.0 million from Chiesi</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was entitled to additional payments of up to a maximum of $20.0 million to cover development costs for PRX-102,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capped at $7.5 million per year. Protalix Ltd. is also eligible to receive additional payments of up to a maximum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$760.0 million, in the aggregate, in regulatory and commercial milestone payments. Chiesi agreed to make tiered payments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15% to 40% of its net sales under the Chiesi US Agreement to Protalix Ltd., depending on the amount of annual sales,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subject to certain terms and conditions, as consideration for product supply.</w:t>
      </w:r>
    </w:p>
    <w:p>
      <w:pPr>
        <w:spacing w:after="0" w:line="16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August 29, 2022, we entered into the F/F Agreement and the Letter Agreement. Under the F/F Agreement, we agreed to supply Chiesi with drug substance for PRX-102 and, following relevant technology and technical information transfer activities, Chiesi has agreed, among other things, to provide us with commercial fill/finish services for PRX-102, including to support the anticipated global launch of PRX-102. The Letter Agreement changed the obligations of both us and Chiesi under the Chiesi Agreements with respect to, among other things, the evaluation, selection and establishment of an initial alternate source of commercial fill/finish services for PRX-102. In addition, the Letter Agreement amended certain provisions of the Chiesi Agreements to reflect the appointment of Chiesi as a supplier to our company of commercial fill/finish services and the potential establishment of an initial alternate source of commercial fill/finish services. Subsequently, in November 2024, we amended the agreement to provide that a different Chiesi facility may act as a secondary supplier of such services and that the F/F Agreement shall have an initial term of 10 years, unless terminated earlier in accordance with the terms of the F/F Agreement. Prior to expiration of the initial term, the term may be extended by mutual agreement for an additional period of seven years upon mutual written agreement.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use our current manufacturing facility in Carmiel, Israel, which has approximately 14,700 sq/ft of clean rooms built according to industry standards, to manufacture drug substance for Elfabrio and Elelyso for commercial purposes and, with respect to Elfabrio, in connection with clinical trials. We maintain an approximately 3,400 sq/ft pilot plant for protein development and to manufacture supplies for clinical trials (phase I and phase II). Elelyso, Elfabrio and our drug product candidates must be manufactured in a clean environment and in compliance with cGMPs set by the FDA and other relevant foreign regulatory authorities. We intend to use our manufacturing space to produce all of the drug substance needed in connection with the clinical trials for our other product candidates.</w:t>
      </w:r>
    </w:p>
    <w:p>
      <w:pPr>
        <w:spacing w:after="0" w:line="148"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Since 2017, our manufacturing facility has been approved by the FDA as a multi-product facility. Our facility’s current capacity can serve all of our current and expected commercial and clinical needs.</w:t>
      </w:r>
    </w:p>
    <w:p>
      <w:pPr>
        <w:spacing w:after="0" w:line="13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manufacturing facilities are subject to inspections by various regulatory authorities from time to time. We have undergone successful inspections by the FDA, the Irish Medicines Board (under the EMA’s centralized marketing authorization procedure), the Brazilian National Health Surveillance Agency (ANVISA), the Israeli Ministry of Health, the Turkish Ministry of Health, the Australian Therapeutic Goods Administration (TGA) and Health Canada.</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8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the raw materials that we require throughout the manufacturing process of Elfabrio and Elelyso, and our current and potential drug product candidates, are widely available from numerous suppliers and are generally considered to be generic industrial biological supplies. We rely on a single, approved supplier for certain materials relating to the current expression of our proprietary biotherapeutic proteins through ProCellEx. We have identified additional suppliers for most of the materials required for the production of our product candidates.</w:t>
      </w:r>
    </w:p>
    <w:p>
      <w:pPr>
        <w:spacing w:after="0" w:line="15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Development and regulatory approval of our pharmaceutical products are dependent upon our ability to procure active ingredients (DS) and certain packaging materials from sources approved by the FDA and other regulatory authorities. The FDA and other regulatory approval processes require manufacturers to specify their proposed suppliers of active ingredients (which is not relevant to our company), intermediate material and certain packaging materials in their applications. From time to time, we intend to continue to identify alternative approved suppliers to ensure the uninterrupted supply of necessary raw materials.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U.S. Drug Development Process</w:t>
      </w:r>
    </w:p>
    <w:p>
      <w:pPr>
        <w:spacing w:after="0" w:line="200"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FDA regulates drugs under the U.S. Federal Food, Drug, and Cosmetic Act, or the FFDCA, and the implementing regulations thereto. Drugs are also subject to other federal, state and local statutes and regulations. Biologics are subject to regulation by the FDA under the FFDCA, the Public Health Service Act, and related regulations and other federal, state and local laws and regulations. Biological products include a wide variety of products including vaccines, blood and blood components, gene therapies, tissue and proteins. Unlike most prescription products made through chemical processes, biological products generally are made from human and/or animal materials. To be lawfully marketed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interstate commerce, a biologic product must be the subject of a BLA issued by the FDA on the basis of a demonstration that the product is safe, pure and potent, and that the facility in which the product is manufactured meets standards to assure that the product continues to be safe, pure and potent. The FDA has developed, and is continuously updating, the requirements with respect to cell and gene therapy products and has issued documents concerning the regulation of cellular and tissue-based products. Manufacturers of cell and tissue-based products must comply with the FDA’s current good tissue practices, or cGTP, which are FDA regulations that govern the methods used in, and the facilities and controls used for, the manufacture of such products. The primary intent of the cGTP requirements is to ensure that cell and tissue-based products are manufactured in a manner designed to prevent the introduction, transmission and spread of communicable disease.</w:t>
      </w:r>
    </w:p>
    <w:p>
      <w:pPr>
        <w:spacing w:after="0" w:line="161"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and ensuring compliance with appropriate federal, state and local statutes and regulations in the United States, and foreign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product detention, total or partial suspension of production or distribution, injunctions, fines, refusals of government contracts, restitution, disgorgement or civil or criminal penalties. The process required by the FDA before a biological product or drug may be marketed in the United States generally involves the following:</w:t>
      </w:r>
    </w:p>
    <w:p>
      <w:pPr>
        <w:spacing w:after="0" w:line="148" w:lineRule="exact"/>
        <w:rPr>
          <w:sz w:val="20"/>
          <w:szCs w:val="20"/>
          <w:color w:val="auto"/>
        </w:rPr>
      </w:pPr>
    </w:p>
    <w:p>
      <w:pPr>
        <w:ind w:left="720" w:right="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 with certain studies conducted in accordance with Good Laboratory Practice regulations, or GLPs, and other applicable regulations;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134"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each trial may be initiated;</w:t>
      </w:r>
    </w:p>
    <w:p>
      <w:pPr>
        <w:spacing w:after="0" w:line="121"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according to Good Clinical Practices, or GCPs, to establish the safety and efficacy of a proposed drug candidate, and the safety, purity and potency of a proposed biological product candidate, for its intended use;</w:t>
      </w:r>
    </w:p>
    <w:p>
      <w:pPr>
        <w:spacing w:after="0" w:line="135"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a new biological product or a new drug application, or NDA, for a new drug;</w:t>
      </w:r>
    </w:p>
    <w:p>
      <w:pPr>
        <w:spacing w:after="0" w:line="134" w:lineRule="exact"/>
        <w:rPr>
          <w:rFonts w:ascii="Times New Roman" w:cs="Times New Roman" w:eastAsia="Times New Roman" w:hAnsi="Times New Roman"/>
          <w:sz w:val="18"/>
          <w:szCs w:val="18"/>
          <w:color w:val="auto"/>
        </w:rPr>
      </w:pPr>
    </w:p>
    <w:p>
      <w:pPr>
        <w:jc w:val="both"/>
        <w:ind w:left="720" w:right="51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cGMP to assure that the facilities, methods and controls are adequate to preserve the drug’s or biologic’s identity, strength, quality and purity;</w:t>
      </w:r>
    </w:p>
    <w:p>
      <w:pPr>
        <w:spacing w:after="0" w:line="135"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 of selected clinical investigation sites to assess compliance with GCPs;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or NDA.</w:t>
      </w:r>
    </w:p>
    <w:p>
      <w:pPr>
        <w:spacing w:after="0" w:line="19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tests include laboratory evaluations of product chemistry, toxicity and formulation, as well as animal studies. An IND sponsor must submit, among other things, the results of the preclinical tests, together with manufacturing information and analytical data, to the FDA as part of an IND. An IND is a request for authorization from the FDA to administer an investigational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IND on a clinical hold. In such a case, the IND sponsor and the FDA must resolve any outstanding concerns before the clinical trial can begin. Clinical holds also may be imposed by the FDA at any time before or during clinical trials due to safety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concerns or non-compliance with FDA requirements, in which case clinical trials may not begin or continue until the FDA notifies the sponsor that the hold has been lifted. FDA may also place a trial on a partial clinical hold. A partial clinical hold is a delay or suspension of only part of the clinical work requested or ongoing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begin or resume after the FDA has notified the sponsor that the investigation may proceed.</w:t>
      </w:r>
    </w:p>
    <w:p>
      <w:pPr>
        <w:spacing w:after="0" w:line="16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GCP regulations. These regulations include the requirement that all subjects participating in the clinical trial provide their informed consent regarding the trial. Further, an IRB must review and approve the plan for any clinical trial before it commences at any institution. An IRB considers, among other things, whether the risks to individuals participating in the trials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Once an IND is in effect, each new clinical protocol and any amendments to the protocol must be submitted to the FDA for review, and to the IRBs for approval.</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3" w:lineRule="exact"/>
        <w:rPr>
          <w:sz w:val="20"/>
          <w:szCs w:val="20"/>
          <w:color w:val="auto"/>
        </w:rPr>
      </w:pPr>
    </w:p>
    <w:p>
      <w:pPr>
        <w:ind w:left="720" w:right="31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 </w:t>
      </w:r>
      <w:r>
        <w:rPr>
          <w:rFonts w:ascii="Times New Roman" w:cs="Times New Roman" w:eastAsia="Times New Roman" w:hAnsi="Times New Roman"/>
          <w:sz w:val="18"/>
          <w:szCs w:val="18"/>
          <w:color w:val="auto"/>
        </w:rPr>
        <w:t>The product is initially introduced into healthy human subjects and tested for safety, dosage tolerance,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absorption, metabolism, distribution and excretion. In the case of some products for severe or life-threatening diseases, especially when the product may be too inherently toxic to ethically administer to healthy volunteers, the initial human testing may be conducted in patients having the specific disease.</w:t>
      </w:r>
    </w:p>
    <w:p>
      <w:pPr>
        <w:spacing w:after="0" w:line="152" w:lineRule="exact"/>
        <w:rPr>
          <w:rFonts w:ascii="Times New Roman" w:cs="Times New Roman" w:eastAsia="Times New Roman" w:hAnsi="Times New Roman"/>
          <w:sz w:val="18"/>
          <w:szCs w:val="18"/>
          <w:color w:val="auto"/>
        </w:rPr>
      </w:pPr>
    </w:p>
    <w:p>
      <w:pPr>
        <w:ind w:left="720" w:right="179" w:hanging="319"/>
        <w:spacing w:after="0" w:line="267"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 </w:t>
      </w:r>
      <w:r>
        <w:rPr>
          <w:rFonts w:ascii="Times New Roman" w:cs="Times New Roman" w:eastAsia="Times New Roman" w:hAnsi="Times New Roman"/>
          <w:sz w:val="18"/>
          <w:szCs w:val="18"/>
          <w:color w:val="auto"/>
        </w:rPr>
        <w:t>Phase II clinical trials involve investigations in a limited patient population to identify possible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and safety risks, to preliminarily evaluate the efficacy of the product for specific targeted diseases and to determine dosage tolerance and the optimal dosage and schedule.</w:t>
      </w:r>
    </w:p>
    <w:p>
      <w:pPr>
        <w:spacing w:after="0" w:line="132"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III. </w:t>
      </w:r>
      <w:r>
        <w:rPr>
          <w:rFonts w:ascii="Times New Roman" w:cs="Times New Roman" w:eastAsia="Times New Roman" w:hAnsi="Times New Roman"/>
          <w:sz w:val="18"/>
          <w:szCs w:val="18"/>
          <w:color w:val="auto"/>
        </w:rPr>
        <w:t>Phase III clinical trials are undertaken to further evaluate dosage, clinical efficacy and safety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patient population at geographically dispersed clinical trial sites. These trials are intended to establish the overall risk/benefit ratio of the product and provide an adequate basis for regulatory approval and product labeling.</w:t>
      </w:r>
    </w:p>
    <w:p>
      <w:pPr>
        <w:spacing w:after="0" w:line="141"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Post-approval studies, also called Phase IV trials, may be conducted after initial marketing approvals. These studies are used to obtain additional experience from the treatment of patients in the intended therapeutic indication and may be required by the FDA as part of the approval process.</w:t>
      </w:r>
    </w:p>
    <w:p>
      <w:pPr>
        <w:spacing w:after="0" w:line="14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safety reports must be submitted to the FDA and the investigators for serious and unexpected side effects. Phase I, Phase II and Phase III testing may not be completed successfully within any specified period, if at all. The FDA or the trial sponsor may suspend or terminate a clinical trial at any time on various grounds, including a finding that the study subjects or 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4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applicable product candidate does not undergo unacceptable deterioration over its shelf life.</w:t>
      </w:r>
    </w:p>
    <w:p>
      <w:pPr>
        <w:spacing w:after="0" w:line="148"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The results of product development, preclinical studies and clinical trials, along with descriptions of the manufacturing process, analytical tests conducted on the product candidate, proposed labeling and other relevant information, are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submitted to the FDA as part of an NDA or BLA, requesting approval to market the product. The submission of an NDA or BLA is subject to the payment of substantial user fees which may be waived under certain limited circumstances.</w:t>
      </w:r>
    </w:p>
    <w:p>
      <w:pPr>
        <w:spacing w:after="0" w:line="135"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and effort, and may not result in an approval on a timely basis, if at all. The FDA may refuse to approve a BLA or NDA if the applicable regulatory criteria are not satisfied or may require additional clinical data or other data and information. Generally, it takes one to three years to obtain approval. If questions arise during the FDA review process, approval may take a significantly longer period of time.</w:t>
      </w:r>
    </w:p>
    <w:p>
      <w:pPr>
        <w:spacing w:after="0" w:line="13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IV testing which involves clinical trials designed to further assess a drug’s or biologic’s safety and effectiveness after BLA or NDA approval and may require testing and surveillance programs to monitor the safety of approved products that have been commercialized. The FDA impose other conditions, including distribution restrictions or other risk management mechanisms, including a risk evaluation and mitigation strategy, or REMS, which can materially affect the potential market and profitability of the product.</w:t>
      </w:r>
    </w:p>
    <w:p>
      <w:pPr>
        <w:spacing w:after="0" w:line="15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the Pediatric Research Equity Act, or the PREA, requires a sponsor to conduct pediatric clinical trials for most biologics and drugs, for a new active ingredient, new indication, new dosage form, new dosing regimen or new route of administration. Under the PREA, original NDAs and BLAs and certain supplements must contain a pediatric assessment unless the sponsor has received a deferral or waiver. The required assessment must evaluate the safety and effectiveness, or safety, purity, and potency, of the product for the claimed indications in all relevant pediatric subpopulations and support dosing and administration for each pediatric subpopulation for which the product is deemed safe and effective, or safe, pure and potent. The sponsor may request or the FDA may grant a deferral of pediatric clinical trials for some or all of the pediatric subpopulations. A deferral may be granted for several reasons, including a finding that the drug or biologic is ready for approval for use in adults before pediatric clinical trials are complete or that additional data need to be collected before the pediatric clinical trials begin.</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Under the Orphan Drug Act of 1983, the FDA may grant orphan drug designation to drugs and biological products intended to treat a rare disease or condition, which is generally a disease or condition that affects fewer than 200,000 individuals in the United States or that affects more than 200,000 persons in the United States but that sales in the United States are not expected to recover the costs of developing and marketing a treatment drug. Orphan product designation does not convey any advantage in, or shorten the duration of, the regulatory review and approval process. Among the benefits of orphan drug designation are possible funding and tax savings to support clinical trials, other financial incentives and a waiver of the marketing application user fee.</w:t>
      </w:r>
    </w:p>
    <w:p>
      <w:pPr>
        <w:spacing w:after="0" w:line="14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treatment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Competitors, however, may receive approval of different products for the indication for which the orphan product has exclusivity or obtain approval for the same product but for a different indication for which the orphan product has exclusivity. Orphan drug status in the European Union has similar but not identical benefits in the European Union.</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Patent Term Restoration and Marketing Exclusivity</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FDA regulatory review process. However, patent term restoration cannot extend the remaining term of a patent beyond a total of 14 years from the product’s approval date. The patent term restoration period is generally one-half the time between (a) the effective date of an IND and the submission date of a BLA or an NDA plus (b) the time between the submission date of a BLA or an NDA and the approval of that application. Only one patent applicable to an approved drug is eligible for the extension and the extension must be requested prior to expiration of the patent. The U.S. Patent and Trademark Office, or USPTO, in consultation with the FDA, reviews and approves the application for any patent term extension or restoration. We anticipate that we will apply for restorations of the patent term for certain of patents covering our product candidates.</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Fast Track Designation; Breakthrough Therapy Designation</w:t>
      </w:r>
    </w:p>
    <w:p>
      <w:pPr>
        <w:spacing w:after="0" w:line="187"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The FDA has a fast track program that is designed to facilitate the development and expedite the review of drugs to treat serious conditions and fill an unmet medical need, the purpose being to make important new drugs available to patients earlier. A drug candidate that receives Fast Track designation from the FDA is eligible for some or all of the following: more frequent meetings with the FDA to discuss the drug’s development plan and ensure collection of appropriate data needed to support drug approval; more frequent written communication from the FDA about such things as the design of the proposed clinical trials; eligibility for the FDA’s Accelerated Approval and Priority Review, if relevant criteria are met; and eligibility for Rolling Review, which allows a drug company to submit completed sections of its BLA or NDA for review by the FDA, rather than waiting until every section of the BLA or NDA is completed before the entire application can be reviewed. BLA or NDA review usually does not begin until the drug company has submitted the entire application to the FDA. We used the Rolling Review option for our taliglucerase alfa NDA, which we completed in April 2010.</w:t>
      </w:r>
    </w:p>
    <w:p>
      <w:pPr>
        <w:spacing w:after="0" w:line="13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I and an organizational commitment to expedite the development and review of the product candidate, including involvement of senior managers.</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Accelerated Approval; Breakthrough Therapy Designation</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Section 901 of the U.S. Food and Drug Administration Safety Innovations Act amends the FFDCA to allow the FDA to base Accelerated Approval for drugs for serious conditions that fill an unmet medical need on whether the drug has an effect on a surrogate or an intermediate clinical endpoint. A surrogate endpoint used for Accelerated Approval is a marker; that is, a laboratory measurement, radiographic image, physical sign or other measure, that is thought to predict clinical benefit, but is not itself a measure of clinical benefit. An intermediate clinical endpoint is a measure of a therapeutic effect that is considered reasonably likely to predict the clinical benefit of a drug, such as an effect on irreversible morbidity and mortality. The FDA bases its decision on whether to accept the proposed surrogate or intermediate clinical endpoint on the scientific support for that endpoint. Studies that demonstrate a drug’s effect on a surrogate or intermediate clinical endpoint must be “adequate and well controlled” as required by the FFDCA.</w:t>
      </w:r>
    </w:p>
    <w:p>
      <w:pPr>
        <w:spacing w:after="0" w:line="14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Under subpart H of the Accelerated Approval pathway,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IV or post-approval clinical trials to confirm the effect on the clinical endpoint. Failure to conduct required post-approval studies, or confirm a clinical benefit during post-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marketing studies, would allow the FDA to withdraw the drug from the market on an expedited basis. All promotional materials for drug candidates approved under accelerated regulations are subject to prior review by the FDA, which could adversely impact the timing of the commercial launch of the product.</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Any drugs for which we receive FDA approval are subject to continuing regulation by the FDA, including, among other things, record-keeping requirements, reporting of adverse effects with the product, reporting of changes in distributed products which would require field alert reports (FARs), drugs and biological product deviation reports (BPDRs) providing the FDA with updated safety and efficacy information, product sampling and distribution requirements, complying with certain electronic records and signature requirements and complying with FDA promotion and advertising requirements. In September 2007, the Food and Drug Administration Amendments Act of 2007 was enacted, giving the FDA enhanced post-marketing authority, including the authority to require post marketing studies and clinical trials (PMRs and PMCs), labeling changes based on new safety information, and compliance with risk evaluations and mitigation strategies (REMS), approved by the FDA. The FDA strictly regulates labeling, advertising, promotion and other types of information on products that are placed on the market. Drugs and biologics may be promoted only for the approved indications and in accordance with the provisions of the approved label. Further, manufacturers of drugs and biologics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55"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Drug and biologic manufacturers and other entities involved in the manufacturing and distribution of approved drugs and biologics are required to register their establishments with the FDA and certain state agencies, and are subject to periodic unannounced inspections by the FDA and certain state agencies for compliance with cGMP, GTP applicable to biologics, and other laws. The cGMP requirements apply to all stages of the manufacturing process, including the production, processing, sterilization, packaging, labeling, storage and shipment of the drug. Manufacturers must establish validated systems to ensure that products meet specifications and regulatory standards, and test each product batch or lot prior to its release.</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FDA may withdraw a product approval if compliance with regulatory standards is not maintained or if problems occur after the product reaches the market. Discovery of previously unknown problems with a product subsequent to its approval, including adverse events of unanticipated severity or frequency, or with manufacturing processes, or failure to comply with regulatory requirements, may result in restrictions on the product or even complete withdrawal of the product from the market. Further, the failure to maintain compliance with regulatory requirements may result in administrative or judicial actions, such as fines, warning letters, holds on clinical trials, product recalls or seizures, product detention or refusal to permit the import or export of products, refusal to approve pending applications or supplements, restrictions on marketing or manufacturing, injunctions or civil or criminal penalties.</w:t>
      </w:r>
    </w:p>
    <w:p>
      <w:pPr>
        <w:spacing w:after="0" w:line="151"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the FDA regulations and policies are often revised or reinterpreted by the agency in ways that may significantly affect our business and our development efforts. It is impossible to predict whether further legislative or FDA regulation or policy changes will be enacted or implemented and what the impact of such changes, if any, may be.</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00"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We are subject to regulations and product registration requirements in many foreign countries in which we may sell our products, including in the areas of product standards, packaging requirements, labeling requirements, import and export restrictions and tariff regulations, duties and tax requirements. The time required to obtain clearance required by foreign countries may be longer or shorter than that required for FDA clearance, and requirements for licensing a product in a foreign country may differ significantly from FDA requirements.</w:t>
      </w:r>
    </w:p>
    <w:p>
      <w:pPr>
        <w:spacing w:after="0" w:line="143" w:lineRule="exact"/>
        <w:rPr>
          <w:sz w:val="20"/>
          <w:szCs w:val="20"/>
          <w:color w:val="auto"/>
        </w:rPr>
      </w:pPr>
    </w:p>
    <w:p>
      <w:pPr>
        <w:ind w:left="60" w:right="379"/>
        <w:spacing w:after="0" w:line="312" w:lineRule="auto"/>
        <w:rPr>
          <w:sz w:val="20"/>
          <w:szCs w:val="20"/>
          <w:color w:val="auto"/>
        </w:rPr>
      </w:pPr>
      <w:r>
        <w:rPr>
          <w:rFonts w:ascii="Times New Roman" w:cs="Times New Roman" w:eastAsia="Times New Roman" w:hAnsi="Times New Roman"/>
          <w:sz w:val="17"/>
          <w:szCs w:val="17"/>
          <w:color w:val="auto"/>
        </w:rPr>
        <w:t>Pharmaceutical products may not be imported into, or manufactured or marketed in, the State of Israel absent drug registration. The three basic criteria for the registration of pharmaceuticals in Israel is quality, safety and efficacy of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pharmaceutical product and the Israeli Ministry of Health requires pharmaceutical companies to conform to international developments and standards. Regulatory requirements are constantly changing in accordance with scientific advances as well as social and ethical values.</w:t>
      </w:r>
    </w:p>
    <w:p>
      <w:pPr>
        <w:spacing w:after="0" w:line="14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relevant legislation of the European Union requires that medicinal products, including generic versions of previously approved products, and new strengths, dosage forms and formulations, of previously approved products, shall have a marketing authorization before they are placed on the market in the European Union. Authorizations are granted after the assessment of quality, safety and efficacy by the respective health authorities. In order to obtain an authorization, an application must be made to the competent authority of the member state concerned or in a centralized procedure to the EMA. Besides various formal requirements, the application must contain the results of pharmaceutical (physico-chemical, biological or microbiological) tests, of preclinical (toxicological and pharmacological) tests as well as of clinical trials. All of these tests must have been conducted in accordance with relevant EU regulations and must allow the reviewer to evaluate the quality, safety and efficacy of the medicinal product. Orphan drug designation in the European Union is granted to medicinal products intended for the diagnosis, prevention and treatment of life-threatening diseases and very serious conditions that affect not more than five in 10,000 people in the European Union. Orphan drug designation is generally given to medicinal products that treat conditions for which no current therapy exists or are expected to bring a significant benefit to patients over existing therapies.</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Third Party Payor Coverage and Reimbursement</w:t>
      </w:r>
    </w:p>
    <w:p>
      <w:pPr>
        <w:spacing w:after="0" w:line="18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Coverage and reimbursement status of any approved therapy carries uncertainty and risk. In both the United States and foreign markets, our ability to commercialize our product and product candidates successfully, and to attract commercialization partners, depends in significant part on the availability of adequate financial coverage and reimbursement from third party payors, including, in the United States, governmental payors such as Medicare, Medicaid and the Veterans Affairs Health programs, and private health insurers. Medicare is a federally funded program managed by the Centers for Medicare and Medicaid Services, or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Each payor has its own process and standards for determining whether it will cover and reimburse a procedure or particular product. Private payors often rely on the lead of the governmental payors in rendering coverage and reimbursement determinations. Therefore, achieving favorable CMS coverage and reimbursement is usually a significant gating issue for successful introduction of a new product. The competitive position of some of our products will depend, in part, upon the extent of coverage and adequate reimbursement for such products and for the procedures in which such products are used. Prices at which we or our customers seek reimbursement for our product candidates can be subject to challenge, reduction or denial by the government and other payors.</w:t>
      </w:r>
    </w:p>
    <w:p>
      <w:pPr>
        <w:spacing w:after="0" w:line="16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Possible legislation at the federal and state levels in the United States focused on cost containment and price transparency may impact our ability to sell our product and product candidates for maximum profitably. It appears likely that the pressure on pharmaceutical pricing will continue, especially under the Medicare program, which may also increase our regulatory burdens and operating costs. Moreover, additional changes could be made to governmental healthcare programs that could significantly impact the success of our product and product candidates.</w:t>
      </w:r>
    </w:p>
    <w:p>
      <w:pPr>
        <w:spacing w:after="0" w:line="14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Some third party payors also require pre-approval of coverage for new or innovative devices, biologics or drug therapies before they will reimburse healthcare providers that use such therapies.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4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and biologics,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187"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the Centers for Medicare and Medicaid Services, other divisions of the U.S. Department of Health and Human Services (e.g., the Office of Inspector General), the U.S. Department of Justice and individual</w:t>
      </w:r>
    </w:p>
    <w:p>
      <w:pPr>
        <w:spacing w:after="0" w:line="1" w:lineRule="exact"/>
        <w:rPr>
          <w:sz w:val="20"/>
          <w:szCs w:val="20"/>
          <w:color w:val="auto"/>
        </w:rPr>
      </w:pPr>
    </w:p>
    <w:p>
      <w:pPr>
        <w:ind w:left="60" w:right="679"/>
        <w:spacing w:after="0" w:line="260" w:lineRule="auto"/>
        <w:rPr>
          <w:sz w:val="20"/>
          <w:szCs w:val="20"/>
          <w:color w:val="auto"/>
        </w:rPr>
      </w:pPr>
      <w:r>
        <w:rPr>
          <w:rFonts w:ascii="Times New Roman" w:cs="Times New Roman" w:eastAsia="Times New Roman" w:hAnsi="Times New Roman"/>
          <w:sz w:val="18"/>
          <w:szCs w:val="18"/>
          <w:color w:val="auto"/>
        </w:rPr>
        <w:t>U.S. Attorney General offices within the Department of Justice, and state and local governments. These regulations include:</w:t>
      </w:r>
    </w:p>
    <w:p>
      <w:pPr>
        <w:spacing w:after="0" w:line="141" w:lineRule="exact"/>
        <w:rPr>
          <w:sz w:val="20"/>
          <w:szCs w:val="20"/>
          <w:color w:val="auto"/>
        </w:rPr>
      </w:pPr>
    </w:p>
    <w:p>
      <w:pPr>
        <w:ind w:left="1040" w:right="19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w:t>
      </w:r>
    </w:p>
    <w:p>
      <w:pPr>
        <w:spacing w:after="0" w:line="152"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government reimbursement programs that are false or fraudulent;</w:t>
      </w:r>
    </w:p>
    <w:p>
      <w:pPr>
        <w:spacing w:after="0" w:line="135" w:lineRule="exact"/>
        <w:rPr>
          <w:rFonts w:ascii="Times New Roman" w:cs="Times New Roman" w:eastAsia="Times New Roman" w:hAnsi="Times New Roman"/>
          <w:sz w:val="18"/>
          <w:szCs w:val="18"/>
          <w:color w:val="auto"/>
        </w:rPr>
      </w:pPr>
    </w:p>
    <w:p>
      <w:pPr>
        <w:jc w:val="both"/>
        <w:ind w:left="1040" w:right="73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w:t>
      </w:r>
    </w:p>
    <w:p>
      <w:pPr>
        <w:spacing w:after="0" w:line="139" w:lineRule="exact"/>
        <w:rPr>
          <w:rFonts w:ascii="Times New Roman" w:cs="Times New Roman" w:eastAsia="Times New Roman" w:hAnsi="Times New Roman"/>
          <w:sz w:val="18"/>
          <w:szCs w:val="18"/>
          <w:color w:val="auto"/>
        </w:rPr>
      </w:pPr>
    </w:p>
    <w:p>
      <w:pPr>
        <w:ind w:left="1040" w:right="27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52"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FFDCA, which among other things, strictly regulates drug and biologic product marketing, prohibits manufacturers from marketing drug products for off-label use and regulates the distribution of drug samples; and</w:t>
      </w:r>
    </w:p>
    <w:p>
      <w:pPr>
        <w:spacing w:after="0" w:line="135" w:lineRule="exact"/>
        <w:rPr>
          <w:rFonts w:ascii="Times New Roman" w:cs="Times New Roman" w:eastAsia="Times New Roman" w:hAnsi="Times New Roman"/>
          <w:sz w:val="18"/>
          <w:szCs w:val="18"/>
          <w:color w:val="auto"/>
        </w:rPr>
      </w:pPr>
    </w:p>
    <w:p>
      <w:pPr>
        <w:ind w:left="1040" w:right="119" w:hanging="315"/>
        <w:spacing w:after="0" w:line="258"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often are not preempted by federal laws, thus complicating compliance efforts.</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Compliance with Environmental, Health and Safety Laws</w:t>
      </w:r>
    </w:p>
    <w:p>
      <w:pPr>
        <w:spacing w:after="0" w:line="200"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addition to FDA regulations, we are also subject to evolving federal, state and local environmental, health and safety laws and regulations. In the past, compliance with environmental, health and safety laws and regulations has not had a material effect on our capital expenditures. Compliance with environmental, health and safety laws and regulations in the future may require additional capital expenditures.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Israeli Government Programs</w:t>
      </w:r>
    </w:p>
    <w:p>
      <w:pPr>
        <w:spacing w:after="0" w:line="189" w:lineRule="exact"/>
        <w:rPr>
          <w:sz w:val="20"/>
          <w:szCs w:val="20"/>
          <w:color w:val="auto"/>
        </w:rPr>
      </w:pPr>
    </w:p>
    <w:p>
      <w:pPr>
        <w:ind w:left="60" w:right="479"/>
        <w:spacing w:after="0" w:line="289" w:lineRule="auto"/>
        <w:rPr>
          <w:sz w:val="20"/>
          <w:szCs w:val="20"/>
          <w:color w:val="auto"/>
        </w:rPr>
      </w:pPr>
      <w:r>
        <w:rPr>
          <w:rFonts w:ascii="Times New Roman" w:cs="Times New Roman" w:eastAsia="Times New Roman" w:hAnsi="Times New Roman"/>
          <w:sz w:val="17"/>
          <w:szCs w:val="17"/>
          <w:color w:val="auto"/>
        </w:rPr>
        <w:t>The following is a brief summary of the current principal Israeli tax laws applicable to us and Protalix Ltd., and of the Israeli Government programs from which Protalix Ltd. benefits. Some parts of this discussion are based on new tax legislation that has not been subject to judicial or administrative interpretation. Therefore, the views expressed in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discussion may not be accepted by the tax authorities in question. This summary is based on laws and regulations in effect as of the date hereof, and should not be construed as legal or professional tax advice and does not cover all possible tax considerations.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Corporate Tax Structure in Israel</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income of Protalix Ltd., other than income from “Approved Enterprises,” is taxed in Israel at regular rates. Pursuant to the Economic Efficiency Law (Legislative Amendments for Implementing the Economic Policy for the 2017 and 2018 Budget Year), 2016, the corporate tax rate in 2018 and thereafter is 23%. Capital gains on the sale of assets are subject to capital gains tax according to the corporate tax rate in effect in the year which the assets are sold.</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Law for the Encouragement of Capital Investments, 1959</w:t>
      </w:r>
    </w:p>
    <w:p>
      <w:pPr>
        <w:spacing w:after="0" w:line="20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Law for the Encouragement of Capital Investments, 1959, as amended, or the Investment Law, provides certain incentives for capital investments in a production facility (or other eligible assets). Generally, an investment program that is implemented in accordance with the provisions of the Investment Law, referred to as an “Approved Enterprise,” is entitled to benefits. These benefits may include cash grants from the Israeli government and tax benefits, based upon, among other things, the location within Israel of the facility in which the investment is made and specific elections made by the grantee. In order to qualify for these incentives, an Approved Enterprise is required to comply with the requirements of the Investment Law, and Letter of approval received by Protalix Ltd.</w:t>
      </w:r>
    </w:p>
    <w:p>
      <w:pPr>
        <w:spacing w:after="0" w:line="14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Protalix Ltd. will continue to enjoy the tax benefits under the pre-revision provisions of the Investment Law. If any new benefits are granted to Protalix Ltd. in the future, Protalix Ltd. will be subject to the provisions of the amended Investment Law with respect to these new benefits. Therefore, the following discussion is a summary of the Investment Law prior to its amendment as well as the relevant changes contained in the new legislation.</w:t>
      </w:r>
    </w:p>
    <w:p>
      <w:pPr>
        <w:spacing w:after="0" w:line="13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Under the Investment Law prior to its amendment, a company that wished to receive benefits had to receive approval from the Authority for the Investment and Development of the Industry and Economy, or the Investment Center. Each certificate of approval for an Approved Enterprise relates to a specific investment program in the Approved Enterprise, delineated both by the financial scope of the investment and by the physical characteristics of the facility or the asset, e.g., the equipment to be purchased and utilized pursuant to the program.</w:t>
      </w:r>
    </w:p>
    <w:p>
      <w:pPr>
        <w:spacing w:after="0" w:line="15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An Approved Enterprise may elect to forego any entitlement to the grants otherwise available under the Investment Law and, instead, participate in an alternative benefits program under which the undistributed income (after deductions and offsets) from the Approved Enterprise is exempt from corporate tax for a defined period of time. Under the alternative package of benefits, a company’s undistributed income derived from an Approved Enterprise will be exempt from corporate tax for a period of between two and 10 years from the first year of taxable income, depending upon the geographic location within Israel of the Approved Enterprise. Upon expiration of the exemption period, the Approved Enterprise is eligible for the reduced tax rates otherwise applicable under the Investment Law for any remainder of the otherwise applicable benefits period (up to an aggregate benefits period of either seven or 10 years, depending on the location of the company or its definition as a foreign investors’ company). If a company has more than one Approved Enterprise program or if only a portion of its capital investments are approved, its effective tax rate is the result of a weighted combination of the applicable rates. The tax benefits from any certificate of approval relate only to taxable profits attributable to the specific Approved Enterprise and are contingent upon meeting the criteria set out in the certificate of approval. Income derived from activity that is not integral to the activity of the Approved Enterprises (including capital gain) does not enjoy these tax benefits.</w:t>
      </w:r>
    </w:p>
    <w:p>
      <w:pPr>
        <w:spacing w:after="0" w:line="15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 company that has an Approved Enterprise program is eligible for further tax benefits, as an alternative to exemption, if it qualifies as a foreign investors’ company. A foreign investors’ company eligible for benefits is essentially a company in which more than 25% of the share capital (in terms of shares, rights to profit, voting and appointment of directors) is owned (measured by both share capital and combined share and loan capital) by non-Israeli residents. A company that qualifies as a foreign investors’ company and has an Approved Enterprise program is eligible for tax benefits for a 10-year benefit period and may enjoy a reduced corporate tax rate of 10% to 23%, depending on the amount of the company’s shares held by non-Israeli shareholders.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If a company that has an Approved Enterprise program is a wholly-owned subsidiary of another company, the percentage of foreign investments is determined based on the percentage of foreign investment in the parent company. The tax rates and related levels of foreign investments with respect to a foreign investor’s company that has an Approved Enterprise program are set forth in the following table:</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 Foreign Ownership</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of Reduced Tax</w:t>
            </w:r>
          </w:p>
        </w:tc>
      </w:tr>
      <w:tr>
        <w:trPr>
          <w:trHeight w:val="209"/>
        </w:trPr>
        <w:tc>
          <w:tcPr>
            <w:tcW w:w="7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25% but less than 49%</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r>
      <w:tr>
        <w:trPr>
          <w:trHeight w:val="216"/>
        </w:trPr>
        <w:tc>
          <w:tcPr>
            <w:tcW w:w="7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49% or more but less than 74%</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16"/>
        </w:trPr>
        <w:tc>
          <w:tcPr>
            <w:tcW w:w="74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74% or more but less than 90%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4"/>
        </w:trPr>
        <w:tc>
          <w:tcPr>
            <w:tcW w:w="7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90% or more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179"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color w:val="auto"/>
        </w:rPr>
        <w:t>Our original facility in Israel has been granted “Approved Enterprise” status, and it has elected to participate in the alternative benefits program. Under the terms of its Approved Enterprise program, the facility is located in a Zone A area and, therefore, the undistributed income from that Approved Enterprise will be tax exempt in Israel for a period of</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 years, commencing with the year in which taxable income is first generated from the relevant Approved Enterprise.</w:t>
      </w:r>
    </w:p>
    <w:p>
      <w:pPr>
        <w:spacing w:after="0" w:line="16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company that has elected to participate in the alternative benefits program and that subsequently pays a dividend out of the income derived from the portion of its facilities that have been granted Approved Enterprise status during the tax exemption period will be subject to corporate tax in respect of the amount of dividend distributed at the rate that would have been applicable had the company not elected the alternative benefits program (generally 10% to 23%, depending on the extent to which non-Israeli shareholders hold such company’s shares). If the dividend is distributed within 12 years after the end of the benefits period (or, in the case of a foreign investor’s company, without time limitation), the dividend recipient is taxed at the reduced withholding tax rate of 20% applicable to dividends from approved enterprises, or at the lower rate under an applicable tax treaty. After this period, the withholding tax rate is 25% to 30%, or at the lower rate under an applicable tax treaty. In the case of a company with a foreign investment level (as defined by the Investment Law) of 25% or more, the 12-year limitation on reduced withholding tax on dividends does not apply. The company must withhold this tax at its source, regardless of whether the dividend is converted into foreign currency.</w:t>
      </w:r>
    </w:p>
    <w:p>
      <w:pPr>
        <w:spacing w:after="0" w:line="151"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Investment Law also provides that an Approved Enterprise is entitled to accelerated depreciation on its property and equipment that are included in an approved investment program. This benefit is an incentive granted by the Israeli government regardless of whether the alternative benefits program is elected.</w:t>
      </w:r>
    </w:p>
    <w:p>
      <w:pPr>
        <w:spacing w:after="0" w:line="149"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The benefits available to an Approved Enterprise are conditioned upon terms stipulated in the Investment Law and its regulations and the criteria set forth in the applicable certificate of approval. If Protalix Ltd. does not fulfill these conditions in whole or in part, the benefits can be canceled and Protalix Ltd. may be required to refund the benefits received, linked to the Israeli consumer price index with interest. In addition, if we increase our activities outside of Israel, for example, by future acquisitions, such increased activities generally may not be eligible for inclusion in Israeli tax benefit programs. We believe that Protalix Ltd. currently operates in compliance with all applicable conditions and criteria.</w:t>
      </w:r>
    </w:p>
    <w:p>
      <w:pPr>
        <w:spacing w:after="0" w:line="13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Amendment No. 60 to the Investment Law introduced a tax benefits regime referred to as “Benefitted Enterprises.” Under the Investment Law, the approval of the Investment Center is required only for Benefitted Enterprises that receive cash grants. Benefitted Enterprises that do not receive benefits in the form of governmental cash grants, but only tax benefits, are no longer required to obtain this approval. Instead, these Benefitted Enterprises are required to make certain investments as specified in the Investment Law.</w:t>
      </w:r>
    </w:p>
    <w:p>
      <w:pPr>
        <w:spacing w:after="0" w:line="143"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 amended Investment Law specifies certain conditions for a Benefitted Enterprise to be entitled to benefits. These conditions include, inter alia, the following:</w:t>
      </w:r>
    </w:p>
    <w:p>
      <w:pPr>
        <w:spacing w:after="0" w:line="135" w:lineRule="exact"/>
        <w:rPr>
          <w:sz w:val="20"/>
          <w:szCs w:val="20"/>
          <w:color w:val="auto"/>
        </w:rPr>
      </w:pPr>
    </w:p>
    <w:p>
      <w:pPr>
        <w:ind w:left="1040" w:right="19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Benefitted Enterprise’s revenues from any single country or a separate customs territory may not exceed 75% of the Benefitted Enterprise’s total revenues; or</w:t>
      </w:r>
    </w:p>
    <w:p>
      <w:pPr>
        <w:spacing w:after="0" w:line="121"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25% of the Benefitted Enterprise’s revenues during the benefits period must be derived from sales into a single country or a separate customs territory with a population of at least 14 million people (starting from January 1, 2012, 1.4% must be added for each year).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can be no assurance that Protalix Ltd. will comply with the above conditions in the future or that Protalix Ltd. will be entitled to any additional benefits under the Investment Law. In addition, it is possible that Protalix Ltd. may not be able to operate in a manner that maximizes utilization of the potential benefits available under the Investment Law.</w:t>
      </w:r>
    </w:p>
    <w:p>
      <w:pPr>
        <w:spacing w:after="0" w:line="14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In the future there may be changes in the law, subject to the preservation of benefits, which may affect the benefits available to companies under the Investment Law. The termination or substantial reduction of any of the benefits available under the Investment Law could impact our tax expenses.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Amendment of the Law for the Encouragement of Capital Investments, 1959</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recent years, several amendments have been made to the Investments Law which have enabled new alternative benefit tracks, subject to certain conditions. The Investments Law was amended as part of the Economic Policy Law for the years 2011-2012 (amendment 68 to the Encouragement of Capital Investments Law), which was passed by the Israeli Knesset on December 29, 2010. The amendment sets alternative benefit tracks to those currently in effect under the provisions of the Investments Law. On December 29, 2016, Amendment 73 to the Investments Law, or the Investments Law Amendment, was published. This amendment sets new benefit tracks, inter alia, “Preferred Technological Enterprise” and “Special Preferred Technological Enterprise.” To date, we have elected not to have the Investments Law Amendment apply to our company.</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Encouragement of Industrial Research, Development and Technology Innovation Law, 1984</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To date, Protalix Ltd. has received grants from the Office of the Chief Scientist of the Israeli Department of Labor, or the OCS, under the Israeli Law for the Encouragement of Industrial Research, Development and Technology Innovation, 1984, and related regulations, or the Research Law. On January 1, 2016, the Israeli government established the National Authority for Technological Innovation, or NATI, which replaced many of the functions of the OCS. For purposes of clarity, references to NATI will include the OCS. NATI grants may be made available, from time to time, to finance a portion of Protalix Ltd.’s research and development expenditures in Israel. As of December 31, 2024, NATI approved grants in respect of Protalix Ltd.’s continuing operations totaling approximately $53.2 million (before interest, as described below), measured from inception. Protalix Ltd. is required to repay up to 100% of grants actually received (plus interest at the LIBOR rate applied to the grants received on or after January 1, 1999) to NATI through payments of royalties at a rate of 3% to 6% of the revenues generated from NATI-funded project, depending on the period in which revenues were generated. As of December 31, 2024, Protalix Ltd. either paid or accrued royalties payable of $19.3 million, and Protalix Ltd.’s contingent liability to NATI with respect to grants received was approximately $33.9 million.</w:t>
      </w:r>
    </w:p>
    <w:p>
      <w:pPr>
        <w:spacing w:after="0" w:line="14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Under the Research Law, recipients of grants from NATI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If Protalix Ltd. receives approval to manufacture the products developed with government grants outside of Israel, it will be required to pay an increased total amount of royalties (possibly up to 150% of the grant amounts plus interest), depending on the manufacturing volume that is performed outside of Israel, as well as at a possibly increased royalty rate.</w:t>
      </w:r>
    </w:p>
    <w:p>
      <w:pPr>
        <w:spacing w:after="0" w:line="16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 proposed transfer and, if received, Protalix Ltd. may be required to pay NATI a portion of the consideration that it receives upon any sale of such technology by a non-Israeli entity. The scope of the support received, the royalties that Protalix Ltd. has already paid to NATI, the amount of time that has elapsed between the date on which the know-how was transferred and the date on which NATI grants were received and the sale price and the form of transaction will be taken into account in order to calculate the amount of the payment to NATI. The payments to NATI may result in up to 600% of the grant amounts plus interest.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Under the Research Law and the regulations promulgated thereunder, the NATI Council may allow the transfer outside of Israel of know-how derived from an approved program and the related manufacturing rights in limited circumstances which are currently as follows:</w:t>
      </w:r>
    </w:p>
    <w:p>
      <w:pPr>
        <w:spacing w:after="0" w:line="149" w:lineRule="exact"/>
        <w:rPr>
          <w:sz w:val="20"/>
          <w:szCs w:val="20"/>
          <w:color w:val="auto"/>
        </w:rPr>
      </w:pPr>
    </w:p>
    <w:p>
      <w:pPr>
        <w:ind w:left="1040" w:right="139" w:hanging="315"/>
        <w:spacing w:after="0" w:line="25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know-how itself to a non-affiliated third party, provided that upon such sale the owner of the know-how pays to NATI an amount, in cash, as set forth in the Research Law (and the regulations promulgated thereunder). In addition, the amendment provides that if the purchaser of the know-how gives the selling Israeli company the right to exploit the know-how by way of an exclusive, irrevocable and unlimited license, the research committee may approve such transfer in special cases without requiring a cash payment.</w:t>
      </w:r>
    </w:p>
    <w:p>
      <w:pPr>
        <w:spacing w:after="0" w:line="146" w:lineRule="exact"/>
        <w:rPr>
          <w:rFonts w:ascii="Times New Roman" w:cs="Times New Roman" w:eastAsia="Times New Roman" w:hAnsi="Times New Roman"/>
          <w:sz w:val="18"/>
          <w:szCs w:val="18"/>
          <w:color w:val="auto"/>
        </w:rPr>
      </w:pPr>
    </w:p>
    <w:p>
      <w:pPr>
        <w:jc w:val="both"/>
        <w:ind w:left="1040" w:right="13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a company which is the owner of know-how, pursuant to which the company ceases to be an Israeli company, provided that upon such sale, the owner of the know-how makes a cash payment to NATI as set forth in the Research Law (and the regulations promulgated thereunder).</w:t>
      </w:r>
    </w:p>
    <w:p>
      <w:pPr>
        <w:spacing w:after="0" w:line="135" w:lineRule="exact"/>
        <w:rPr>
          <w:rFonts w:ascii="Times New Roman" w:cs="Times New Roman" w:eastAsia="Times New Roman" w:hAnsi="Times New Roman"/>
          <w:sz w:val="18"/>
          <w:szCs w:val="18"/>
          <w:color w:val="auto"/>
        </w:rPr>
      </w:pPr>
    </w:p>
    <w:p>
      <w:pPr>
        <w:ind w:left="1040" w:right="37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exchange of know-how such that in exchange for the transfer of know-how outside of Israel, the recipient of the know-how transfers other know-how to the company in Israel in a manner in which NATI is convinced that the Israeli economy realizes a greater, overall benefit from the exchange of know-how.</w:t>
      </w:r>
    </w:p>
    <w:p>
      <w:pPr>
        <w:spacing w:after="0" w:line="153"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Research Committee may, in special cases, approve the transfer of manufacture or of manufacturing rights of a product developed within the framework of the approved program or which results therefrom, outside of Israel.</w:t>
      </w:r>
    </w:p>
    <w:p>
      <w:pPr>
        <w:spacing w:after="0" w:line="121"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State of Israel does not own intellectual property rights in technology developed with NATI funding and there is no restriction on the export of products manufactured using technology developed with NATI funding. The technology is, however, subject to transfer of technology and manufacturing rights restrictions as described above. For a description of such restrictions, please see “</w:t>
      </w:r>
      <w:r>
        <w:rPr>
          <w:rFonts w:ascii="Times New Roman" w:cs="Times New Roman" w:eastAsia="Times New Roman" w:hAnsi="Times New Roman"/>
          <w:sz w:val="18"/>
          <w:szCs w:val="18"/>
          <w:u w:val="single" w:color="auto"/>
          <w:color w:val="0000EE"/>
        </w:rPr>
        <w:t>Risk Factors—Risks Relating to Our Operations in Israel.</w:t>
      </w:r>
      <w:r>
        <w:rPr>
          <w:rFonts w:ascii="Times New Roman" w:cs="Times New Roman" w:eastAsia="Times New Roman" w:hAnsi="Times New Roman"/>
          <w:sz w:val="18"/>
          <w:szCs w:val="18"/>
          <w:color w:val="auto"/>
        </w:rPr>
        <w:t>” NATI approval is not required for the export of any products resulting from the research or development or for the licensing of any technology in the ordinary course of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Law for the Encouragement of Industry (Taxes), 1969</w:t>
      </w:r>
    </w:p>
    <w:p>
      <w:pPr>
        <w:spacing w:after="0" w:line="20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believe that Protalix Ltd. currently qualifies as an “Industrial Company” within the meaning of the Law for the Encouragement of Industry (Taxes), 1969, or the Industry Encouragement Law. The Industry Encouragement Law defines “Industrial Company” as a company resident in Israel and incorporated in Israel, that derives 90% or more of its income in any tax year (other than specified kinds of passive income such as capital gains, interest and dividends) from an “Industrial Enterprise” operating in Israel (including Judea &amp; Samaria territories and the Gaza strip), that it owns. An “Industrial Enterprise” is defined as an enterprise whose major activity in a given tax year is industrial production.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corporate tax benefits, among others, are available to Industrial Companies:</w:t>
      </w:r>
    </w:p>
    <w:p>
      <w:pPr>
        <w:spacing w:after="0" w:line="185"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purchased know-how and patents over an eight-year period for tax purposes;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depreciation rates on equipment and buildings;</w:t>
      </w:r>
    </w:p>
    <w:p>
      <w:pPr>
        <w:spacing w:after="0" w:line="184"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conditions, an election to file consolidated tax returns with other related Israeli Industrial Companies;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three years.</w:t>
      </w:r>
    </w:p>
    <w:p>
      <w:pPr>
        <w:spacing w:after="0" w:line="198"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Eligibility for the benefits under the Industry Encouragement Law is not subject to receipt of prior approval from any governmental authority. It is possible that Protalix Ltd. may fail to qualify or may not continue to qualify as an “Industrial Company” or that the benefits described above will not be available in the future.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Benefits for Research and Development</w:t>
      </w:r>
    </w:p>
    <w:p>
      <w:pPr>
        <w:spacing w:after="0" w:line="20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Under specified conditions, Israeli tax laws allow a tax deduction by a company for research and development expenditures, including capital expenditures, for the year in which such expenditures are incurred. These expenditures must relate to scientific research and development projects and must be approved by NATI. Furthermore, the research and development projects must be for the promotion of the company and carried out by or on behalf of the company seeking such tax deduction. However, the amount of such deductible expenditures is reduced by the sum of any funds received through government grants for the finance of such scientific research and development projects. Research and development expenses which were not approved shall be deductible over a period of three years.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of December 31, 2024, we had 213 employees of whom 207 are full time employees and 19 have a Ph.D. in their respective scientific fields. We believe that our relations with our employees are good. We believe that our success will greatly depend on our ability to identify, attract and retain capable employees. The Israeli Ministry of Labor and Welfare is authorized to make certain industry-wide collective bargaining agreements, or Expansion Orders, that apply to types of industries or employees including ours. These agreements affect matters such as cost of living adjustments to salaries, length of working hours and week, recuperation, travel expenses, and pension rights. Otherwise, our employees are not represented by a labor union or represented under a collective bargaining agreement. See “</w:t>
      </w:r>
      <w:r>
        <w:rPr>
          <w:rFonts w:ascii="Times New Roman" w:cs="Times New Roman" w:eastAsia="Times New Roman" w:hAnsi="Times New Roman"/>
          <w:sz w:val="18"/>
          <w:szCs w:val="18"/>
          <w:u w:val="single" w:color="auto"/>
          <w:color w:val="0000EE"/>
        </w:rPr>
        <w:t>Risk Factors—We depend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key employees and consultants in a competitive market for skilled personnel. If we are unable to attract and retain key personnel, it could adversely affect our ability to develop and market our products.</w:t>
      </w:r>
      <w:r>
        <w:rPr>
          <w:rFonts w:ascii="Times New Roman" w:cs="Times New Roman" w:eastAsia="Times New Roman" w:hAnsi="Times New Roman"/>
          <w:sz w:val="18"/>
          <w:szCs w:val="18"/>
          <w:color w:val="000000"/>
        </w:rPr>
        <w:t>”</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89" w:lineRule="exact"/>
        <w:rPr>
          <w:sz w:val="20"/>
          <w:szCs w:val="20"/>
          <w:color w:val="auto"/>
        </w:rPr>
      </w:pPr>
    </w:p>
    <w:p>
      <w:pPr>
        <w:ind w:left="60" w:right="599"/>
        <w:spacing w:after="0" w:line="266" w:lineRule="auto"/>
        <w:rPr>
          <w:sz w:val="20"/>
          <w:szCs w:val="20"/>
          <w:color w:val="auto"/>
        </w:rPr>
      </w:pPr>
      <w:r>
        <w:rPr>
          <w:rFonts w:ascii="Times New Roman" w:cs="Times New Roman" w:eastAsia="Times New Roman" w:hAnsi="Times New Roman"/>
          <w:sz w:val="18"/>
          <w:szCs w:val="18"/>
          <w:color w:val="auto"/>
        </w:rPr>
        <w:t>We were originally incorporated in the State of Florida in April 1992, and reincorporated in the State of Delaware in March 2016. Protalix Ltd., our wholly-owned subsidiary and sole operating unit, is an Israeli company and was incorporated in Israel in 1993.</w:t>
      </w:r>
    </w:p>
    <w:p>
      <w:pPr>
        <w:spacing w:after="0" w:line="127" w:lineRule="exact"/>
        <w:rPr>
          <w:sz w:val="20"/>
          <w:szCs w:val="20"/>
          <w:color w:val="auto"/>
        </w:rPr>
      </w:pPr>
    </w:p>
    <w:p>
      <w:pPr>
        <w:ind w:left="60" w:right="539"/>
        <w:spacing w:after="0" w:line="217" w:lineRule="auto"/>
        <w:rPr>
          <w:sz w:val="20"/>
          <w:szCs w:val="20"/>
          <w:color w:val="auto"/>
        </w:rPr>
      </w:pPr>
      <w:r>
        <w:rPr>
          <w:rFonts w:ascii="Times New Roman" w:cs="Times New Roman" w:eastAsia="Times New Roman" w:hAnsi="Times New Roman"/>
          <w:sz w:val="18"/>
          <w:szCs w:val="18"/>
          <w:color w:val="auto"/>
        </w:rPr>
        <w:t>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our registered trademark. Each of the other trademarks, trade names or service marks appearing in this Annual Report on Form 10-K belongs to its respective holder.</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Our main corporate website address is http://www.protalix.com. We make available on our website, free of charge, our Commission filings, including our Annual Reports on Form 10-K, Quarterly Reports on Form 10-Q, Current Reports on Form 8-K and any amendments to these reports, as soon as reasonably practicable after we electronically file these documents with, or furnish them to, the Commission. The Commission maintains an Internet site that contains reports, proxy and information statements and other information regarding issuers that file electronically with the Commission at www.sec.gov. Additionally, from time to time, we provide notifications of material news including press releases and conferences on our website. Webcasts of presentations made by our company at certain conferences may also be available from time to time on our website, to the extent the webcasts are available. The content of our website is not intended to be incorporated by reference into this report or in any other report or document we file and any references to these websites are intended to be inactive textual references only. Interested persons may sign up on our website to automatically receive e-mail alerts when we post financial information and issue press releases, and to receive information about upcoming events.</w:t>
      </w:r>
    </w:p>
    <w:p>
      <w:pPr>
        <w:spacing w:after="0" w:line="14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website also includes printable versions of our Code of Business Conduct and Ethics and the charters for each of the Audit, Compensation and Nominating Committees of our Board of Directors. Each of these documents is also available in print, free of charge, to any stockholder who requests a copy by addressing a request to:</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 University Plaza, Suite 100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Hackensack, NJ 07601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Mr. Eyal Rubin, Sr. Vice President and Chief Financial Officer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the other information included in this Annual Report on Form 10-K. Our business, financial condition and results of operations could be adversely affected by any of these risks.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results of operations and financial condition. Furthermore, additional risks and uncertainties are described under other captions in this Annual Report on Form 10-K. If any of these risks occur, the value of our common stock could decline. A summary of the risk factors included in this Item 1A are set forth below followed by a full set of risk factors described in greater detail. For further details on our forward-looking statements, see “</w:t>
      </w:r>
      <w:r>
        <w:rPr>
          <w:rFonts w:ascii="Times New Roman" w:cs="Times New Roman" w:eastAsia="Times New Roman" w:hAnsi="Times New Roman"/>
          <w:sz w:val="18"/>
          <w:szCs w:val="18"/>
          <w:i w:val="1"/>
          <w:iCs w:val="1"/>
          <w:u w:val="single" w:color="auto"/>
          <w:color w:val="0000EE"/>
        </w:rPr>
        <w:t>Cautionary Statement Regarding Forward-Looking Statements</w:t>
      </w:r>
      <w:r>
        <w:rPr>
          <w:rFonts w:ascii="Times New Roman" w:cs="Times New Roman" w:eastAsia="Times New Roman" w:hAnsi="Times New Roman"/>
          <w:sz w:val="18"/>
          <w:szCs w:val="18"/>
          <w:i w:val="1"/>
          <w:iCs w:val="1"/>
          <w:color w:val="auto"/>
        </w:rPr>
        <w:t xml:space="preserve">” on </w:t>
      </w:r>
      <w:r>
        <w:rPr>
          <w:rFonts w:ascii="Times New Roman" w:cs="Times New Roman" w:eastAsia="Times New Roman" w:hAnsi="Times New Roman"/>
          <w:sz w:val="18"/>
          <w:szCs w:val="18"/>
          <w:i w:val="1"/>
          <w:iCs w:val="1"/>
          <w:u w:val="single" w:color="auto"/>
          <w:color w:val="0000EE"/>
        </w:rPr>
        <w:t>page 1</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Continued Approval of our Products</w:t>
      </w:r>
    </w:p>
    <w:p>
      <w:pPr>
        <w:spacing w:after="0" w:line="189" w:lineRule="exact"/>
        <w:rPr>
          <w:sz w:val="20"/>
          <w:szCs w:val="20"/>
          <w:color w:val="auto"/>
        </w:rPr>
      </w:pPr>
    </w:p>
    <w:p>
      <w:pPr>
        <w:ind w:left="700" w:hanging="32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heavily on the generation of revenues from the sales of our products.</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products or future product candidates may cause serious adverse events or undesirable side effects.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There may be safety issues regarding our products that were not known at the time of approval are discovered.</w:t>
      </w:r>
    </w:p>
    <w:p>
      <w:pPr>
        <w:spacing w:after="0" w:line="189" w:lineRule="exact"/>
        <w:rPr>
          <w:sz w:val="20"/>
          <w:szCs w:val="20"/>
          <w:color w:val="auto"/>
        </w:rPr>
      </w:pPr>
    </w:p>
    <w:p>
      <w:pPr>
        <w:ind w:left="60" w:right="139" w:firstLine="314"/>
        <w:spacing w:after="0" w:line="282" w:lineRule="auto"/>
        <w:tabs>
          <w:tab w:leader="none" w:pos="7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patients, third party payors and others in the medical community might not accept and use our current or future products.</w:t>
      </w:r>
    </w:p>
    <w:p>
      <w:pPr>
        <w:spacing w:after="0" w:line="13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may not be available for our current or future products in all territories.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9" w:lineRule="exact"/>
        <w:rPr>
          <w:sz w:val="20"/>
          <w:szCs w:val="20"/>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commercial operating history.</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supply drug substance to Chiesi or Pfizer.</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enhance our portfolio of product candidates.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providers may experience manufacturing problems.</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final processing of our products and product candidates exposes us to a number of</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w:t>
      </w:r>
    </w:p>
    <w:p>
      <w:pPr>
        <w:spacing w:after="0" w:line="166"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by competitors may render our products or technologies obsolete or non-competitive.</w:t>
      </w:r>
    </w:p>
    <w:p>
      <w:pPr>
        <w:spacing w:after="0" w:line="184" w:lineRule="exact"/>
        <w:rPr>
          <w:rFonts w:ascii="Times New Roman" w:cs="Times New Roman" w:eastAsia="Times New Roman" w:hAnsi="Times New Roman"/>
          <w:sz w:val="18"/>
          <w:szCs w:val="18"/>
          <w:color w:val="auto"/>
        </w:rPr>
      </w:pPr>
    </w:p>
    <w:p>
      <w:pPr>
        <w:ind w:left="60" w:right="619" w:firstLine="314"/>
        <w:spacing w:after="0" w:line="282" w:lineRule="auto"/>
        <w:tabs>
          <w:tab w:leader="none" w:pos="7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accurately report our financial results or prevent fraud.</w:t>
      </w:r>
    </w:p>
    <w:p>
      <w:pPr>
        <w:spacing w:after="0" w:line="134" w:lineRule="exact"/>
        <w:rPr>
          <w:rFonts w:ascii="Times New Roman" w:cs="Times New Roman" w:eastAsia="Times New Roman" w:hAnsi="Times New Roman"/>
          <w:sz w:val="18"/>
          <w:szCs w:val="18"/>
          <w:color w:val="auto"/>
        </w:rPr>
      </w:pPr>
    </w:p>
    <w:p>
      <w:pPr>
        <w:ind w:left="60" w:right="499" w:firstLine="314"/>
        <w:spacing w:after="0" w:line="282" w:lineRule="auto"/>
        <w:tabs>
          <w:tab w:leader="none" w:pos="7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used by our third-party contractors or consultants, may fail or suffer security breaches and expose our company to liabilities.</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product liability claims.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net operating loss carryforwards may be limited.</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Clinical Trials and Regulatory Matters</w:t>
      </w:r>
    </w:p>
    <w:p>
      <w:pPr>
        <w:spacing w:after="0" w:line="189" w:lineRule="exact"/>
        <w:rPr>
          <w:sz w:val="20"/>
          <w:szCs w:val="20"/>
          <w:color w:val="auto"/>
        </w:rPr>
      </w:pPr>
    </w:p>
    <w:p>
      <w:pPr>
        <w:ind w:left="60" w:right="199" w:firstLine="314"/>
        <w:spacing w:after="0" w:line="282" w:lineRule="auto"/>
        <w:tabs>
          <w:tab w:leader="none" w:pos="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the necessary U.S., EMA or other worldwide regulatory approvals to commercialize our drug candidates in a timely manner, if at all.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obtaining regulatory approvals with respect to any drug candidate.</w:t>
      </w:r>
    </w:p>
    <w:p>
      <w:pPr>
        <w:spacing w:after="0" w:line="198" w:lineRule="exact"/>
        <w:rPr>
          <w:rFonts w:ascii="Times New Roman" w:cs="Times New Roman" w:eastAsia="Times New Roman" w:hAnsi="Times New Roman"/>
          <w:sz w:val="18"/>
          <w:szCs w:val="18"/>
          <w:color w:val="auto"/>
        </w:rPr>
      </w:pPr>
    </w:p>
    <w:p>
      <w:pPr>
        <w:ind w:left="60" w:right="219" w:firstLine="314"/>
        <w:spacing w:after="0" w:line="282"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trials are very expensive, time-consuming and difficult to design and implement and may result in unforeseen costs.</w:t>
      </w:r>
    </w:p>
    <w:p>
      <w:pPr>
        <w:spacing w:after="0" w:line="121" w:lineRule="exact"/>
        <w:rPr>
          <w:rFonts w:ascii="Times New Roman" w:cs="Times New Roman" w:eastAsia="Times New Roman" w:hAnsi="Times New Roman"/>
          <w:sz w:val="18"/>
          <w:szCs w:val="18"/>
          <w:color w:val="auto"/>
        </w:rPr>
      </w:pPr>
    </w:p>
    <w:p>
      <w:pPr>
        <w:ind w:left="60" w:right="179" w:firstLine="314"/>
        <w:spacing w:after="0" w:line="266"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results of our clinical trials do not support our claims relating to a drug candidate, or if serious side effects are identified, the completion of development of such drug candidate may be significantly delayed or we may be forced to abandon development altogether.</w:t>
      </w:r>
    </w:p>
    <w:p>
      <w:pPr>
        <w:spacing w:after="0" w:line="135" w:lineRule="exact"/>
        <w:rPr>
          <w:rFonts w:ascii="Times New Roman" w:cs="Times New Roman" w:eastAsia="Times New Roman" w:hAnsi="Times New Roman"/>
          <w:sz w:val="18"/>
          <w:szCs w:val="18"/>
          <w:color w:val="auto"/>
        </w:rPr>
      </w:pPr>
    </w:p>
    <w:p>
      <w:pPr>
        <w:ind w:left="60" w:right="99" w:firstLine="314"/>
        <w:spacing w:after="0" w:line="282"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or patients may discontinue their participation in our clinical trials.</w:t>
      </w:r>
    </w:p>
    <w:p>
      <w:pPr>
        <w:spacing w:after="0" w:line="134" w:lineRule="exact"/>
        <w:rPr>
          <w:rFonts w:ascii="Times New Roman" w:cs="Times New Roman" w:eastAsia="Times New Roman" w:hAnsi="Times New Roman"/>
          <w:sz w:val="18"/>
          <w:szCs w:val="18"/>
          <w:color w:val="auto"/>
        </w:rPr>
      </w:pPr>
    </w:p>
    <w:p>
      <w:pPr>
        <w:ind w:left="60" w:right="299" w:firstLine="314"/>
        <w:spacing w:after="0" w:line="282" w:lineRule="auto"/>
        <w:tabs>
          <w:tab w:leader="none" w:pos="7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third-party service providers in connection with our clinical trials expose us to risks.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02" w:lineRule="exact"/>
        <w:rPr>
          <w:sz w:val="20"/>
          <w:szCs w:val="20"/>
          <w:color w:val="auto"/>
        </w:rPr>
      </w:pPr>
    </w:p>
    <w:p>
      <w:pPr>
        <w:ind w:left="700" w:hanging="326"/>
        <w:spacing w:after="0"/>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additional capital to operate our business, which may not be available on favorable terms, or</w:t>
      </w:r>
    </w:p>
    <w:p>
      <w:pPr>
        <w:spacing w:after="0" w:line="38" w:lineRule="exact"/>
        <w:rPr>
          <w:rFonts w:ascii="Times New Roman" w:cs="Times New Roman" w:eastAsia="Times New Roman" w:hAnsi="Times New Roman"/>
          <w:sz w:val="17"/>
          <w:szCs w:val="17"/>
          <w:color w:val="auto"/>
        </w:rPr>
      </w:pPr>
    </w:p>
    <w:p>
      <w:pPr>
        <w:ind w:left="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 all.</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89" w:lineRule="exact"/>
        <w:rPr>
          <w:sz w:val="20"/>
          <w:szCs w:val="20"/>
          <w:color w:val="auto"/>
        </w:rPr>
      </w:pPr>
    </w:p>
    <w:p>
      <w:pPr>
        <w:ind w:left="700" w:hanging="326"/>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or enforce our intellectual property rights or secure rights to third party patents.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Israel</w:t>
      </w:r>
    </w:p>
    <w:p>
      <w:pPr>
        <w:spacing w:after="0" w:line="189" w:lineRule="exact"/>
        <w:rPr>
          <w:sz w:val="20"/>
          <w:szCs w:val="20"/>
          <w:color w:val="auto"/>
        </w:rPr>
      </w:pPr>
    </w:p>
    <w:p>
      <w:pPr>
        <w:ind w:left="700" w:hanging="32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be adversely affected by political, economic and military conditions in Israel.</w:t>
      </w:r>
    </w:p>
    <w:p>
      <w:pPr>
        <w:spacing w:after="0" w:line="184" w:lineRule="exact"/>
        <w:rPr>
          <w:rFonts w:ascii="Times New Roman" w:cs="Times New Roman" w:eastAsia="Times New Roman" w:hAnsi="Times New Roman"/>
          <w:sz w:val="18"/>
          <w:szCs w:val="18"/>
          <w:color w:val="auto"/>
        </w:rPr>
      </w:pPr>
    </w:p>
    <w:p>
      <w:pPr>
        <w:jc w:val="both"/>
        <w:ind w:left="60" w:right="359" w:firstLine="314"/>
        <w:spacing w:after="0" w:line="312" w:lineRule="auto"/>
        <w:tabs>
          <w:tab w:leader="none" w:pos="70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Israeli government grants we have received for certain research and development expenditures restrict our ability to manufacture products and transfer technologies outside of Israel and require us to satisfy specified conditions.</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Investing in our Common Stock</w:t>
      </w:r>
    </w:p>
    <w:p>
      <w:pPr>
        <w:spacing w:after="0" w:line="189" w:lineRule="exact"/>
        <w:rPr>
          <w:sz w:val="20"/>
          <w:szCs w:val="20"/>
          <w:color w:val="auto"/>
        </w:rPr>
      </w:pPr>
    </w:p>
    <w:p>
      <w:pPr>
        <w:ind w:left="60" w:right="79" w:firstLine="314"/>
        <w:spacing w:after="0" w:line="282" w:lineRule="auto"/>
        <w:tabs>
          <w:tab w:leader="none" w:pos="7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significantly; future sales of our common stock could reduce our stock price.</w:t>
      </w:r>
    </w:p>
    <w:p>
      <w:pPr>
        <w:spacing w:after="0" w:line="121" w:lineRule="exact"/>
        <w:rPr>
          <w:rFonts w:ascii="Times New Roman" w:cs="Times New Roman" w:eastAsia="Times New Roman" w:hAnsi="Times New Roman"/>
          <w:sz w:val="18"/>
          <w:szCs w:val="18"/>
          <w:color w:val="auto"/>
        </w:rPr>
      </w:pPr>
    </w:p>
    <w:p>
      <w:pPr>
        <w:ind w:left="60" w:right="499" w:firstLine="314"/>
        <w:spacing w:after="0" w:line="282" w:lineRule="auto"/>
        <w:tabs>
          <w:tab w:leader="none" w:pos="7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changing regulation of corporate governance and public disclosure may result in additional expenses or divert management’s attention.</w:t>
      </w:r>
    </w:p>
    <w:p>
      <w:pPr>
        <w:spacing w:after="0" w:line="13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our organizational documents contain certain anti-takeover provisions.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provide for limits on our stockholders’ ability to obtain a favorable judicial</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forum.</w:t>
      </w:r>
    </w:p>
    <w:p>
      <w:pPr>
        <w:spacing w:after="0" w:line="166" w:lineRule="exact"/>
        <w:rPr>
          <w:rFonts w:ascii="Times New Roman" w:cs="Times New Roman" w:eastAsia="Times New Roman" w:hAnsi="Times New Roman"/>
          <w:sz w:val="18"/>
          <w:szCs w:val="18"/>
          <w:color w:val="auto"/>
        </w:rPr>
      </w:pPr>
    </w:p>
    <w:p>
      <w:pPr>
        <w:ind w:left="3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Continued Approval of our Products</w:t>
      </w:r>
    </w:p>
    <w:p>
      <w:pPr>
        <w:spacing w:after="0" w:line="198" w:lineRule="exact"/>
        <w:rPr>
          <w:sz w:val="20"/>
          <w:szCs w:val="20"/>
          <w:color w:val="auto"/>
        </w:rPr>
      </w:pPr>
    </w:p>
    <w:p>
      <w:pPr>
        <w:jc w:val="both"/>
        <w:ind w:left="60" w:right="359"/>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depend heavily on the generation of revenues from the sales of Elfabrio and Elelyso. Any failure to successfully commercialize Elfabrio will have a material adverse effect on our business, results of operations and financial condition.</w:t>
      </w:r>
    </w:p>
    <w:p>
      <w:pPr>
        <w:spacing w:after="0" w:line="13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Elfabrio, and in the past, on the development of Elelyso. Our ability to generate significant product revenues in the future from sales of Elfabrio depends on Chiesi’s successful commercialization of Elfabrio, which we do not control and may not be able to effectively influence, and on the actions and decisions of foreign regulatory authorities. Chiesi may experience delays in, or be unable to achieve, the commercial introduction of Elfabrio globally. Similarly, we generate revenues from sales of Elelyso which are depend on Pfizer’s efforts (except in Brazil), which we do not control. Sales of BioManguinhos alfataliglicerase in Brazil are controlled by Fiocruz. The successful worldwide commercialization of Elfabrio and Elelyso depends on several factors, including the following:</w:t>
      </w:r>
    </w:p>
    <w:p>
      <w:pPr>
        <w:spacing w:after="0" w:line="151" w:lineRule="exact"/>
        <w:rPr>
          <w:sz w:val="20"/>
          <w:szCs w:val="20"/>
          <w:color w:val="auto"/>
        </w:rPr>
      </w:pPr>
    </w:p>
    <w:p>
      <w:pPr>
        <w:ind w:left="60" w:right="259" w:firstLine="638"/>
        <w:spacing w:after="0" w:line="261" w:lineRule="auto"/>
        <w:tabs>
          <w:tab w:leader="none" w:pos="13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efforts under the Chiesi Agreements and the effectiveness of Chiesi’s commercial strategy and its execution of that strategy, including its pricing strategy, its development and maintenance of successful sales and marketing organizations and the effectiveness of its efforts to obtain adequate third-party reimbursements and, to a lesser extent, Pfizer’s and Fiocruz’s efforts;</w:t>
      </w:r>
    </w:p>
    <w:p>
      <w:pPr>
        <w:spacing w:after="0" w:line="152"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scope of the countries in which our products are approved for marketing;</w:t>
      </w:r>
    </w:p>
    <w:p>
      <w:pPr>
        <w:spacing w:after="0" w:line="184" w:lineRule="exact"/>
        <w:rPr>
          <w:rFonts w:ascii="Times New Roman" w:cs="Times New Roman" w:eastAsia="Times New Roman" w:hAnsi="Times New Roman"/>
          <w:sz w:val="18"/>
          <w:szCs w:val="18"/>
          <w:color w:val="auto"/>
        </w:rPr>
      </w:pPr>
    </w:p>
    <w:p>
      <w:pPr>
        <w:ind w:left="60" w:right="839" w:firstLine="638"/>
        <w:spacing w:after="0" w:line="282" w:lineRule="auto"/>
        <w:tabs>
          <w:tab w:leader="none" w:pos="13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cGMP compliance of our manufacturing facility or establishing manufacturing arrangements with third parties;</w:t>
      </w:r>
    </w:p>
    <w:p>
      <w:pPr>
        <w:spacing w:after="0" w:line="121" w:lineRule="exact"/>
        <w:rPr>
          <w:rFonts w:ascii="Times New Roman" w:cs="Times New Roman" w:eastAsia="Times New Roman" w:hAnsi="Times New Roman"/>
          <w:sz w:val="18"/>
          <w:szCs w:val="18"/>
          <w:color w:val="auto"/>
        </w:rPr>
      </w:pPr>
    </w:p>
    <w:p>
      <w:pPr>
        <w:ind w:left="60" w:right="379" w:firstLine="638"/>
        <w:spacing w:after="0" w:line="282" w:lineRule="auto"/>
        <w:tabs>
          <w:tab w:leader="none" w:pos="13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with Fabry disease and Gaucher disease to switch from other treatments to Elfabrio or Elelyso, as the case may be;</w:t>
      </w:r>
    </w:p>
    <w:p>
      <w:pPr>
        <w:spacing w:after="0" w:line="13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approved treatments of Fabry disease and Gaucher disease;</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acceptable safety and efficacy profile of Elfabrio and Elelyso; and</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these Risk Factors.</w:t>
      </w:r>
    </w:p>
    <w:p>
      <w:pPr>
        <w:spacing w:after="0" w:line="198"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Any failure to commercialize Elfabrio or Elelyso globally or the experience of significant delays in doing so will have a material adverse effect on our business, results of operations and financial condition.</w:t>
      </w:r>
    </w:p>
    <w:p>
      <w:pPr>
        <w:spacing w:after="0" w:line="117"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Any current products or future product candidates may cause serious adverse events, or SAEs, undesirable side effects or have other properties that could halt their clinical development, prevent, delay, or cause the withdrawal of their regulatory approval, limit their commercial potential, or result in material negative consequences.</w:t>
      </w:r>
    </w:p>
    <w:p>
      <w:pPr>
        <w:spacing w:after="0" w:line="13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As with most infused products, use of our products or any current or future product candidates could be associated with undesirable side effects or adverse events which can vary in severity and frequency. From time to time, we have observed serious adverse events in clinical studies of our products and product candidates. For example, while conducting clinical trials of Elfabrio, we have observed treatable anaphylactic reactions. Specifically with respect to Elfabrio, as indicated in the boxed warning with which it was approved by the FDA, patients treated with Elfabrio have experienced hypersensitivity reactions, including anaphylaxis. There are postmarketing requirements under the FFDCA included with the approval of Elfabrio by the FDA. For example, the FDA requires that a worldwide descriptive study be conducted that collects prospective and retrospective data in women and their offspring exposed to Elfabrio during pregnancy and/or lactation to assess risk of pregnancy and material complications, adverse effects on the developing fetus and neonate, and adverse effects on the infant. Furthermore, the approval of pharmaceutical products generally includes requirements related to the preparation of a Risk Evaluation and Mitigation Strategy, or REMS, or a risk management plan as required by the EMA, which could include a medication guide outlining the risks of such side effects for distribution to patients, a communication plan for healthcare providers and/or other elements to assure safe use. For example, Chiesi must follow a risk management plan agreed upon with the EMA with respect to Elfabrio, which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includes risk minimization measures in connection with risks associated with hypersensitivity reactions and possible medication errors in the home infusion setting.</w:t>
      </w:r>
    </w:p>
    <w:p>
      <w:pPr>
        <w:spacing w:after="0" w:line="135"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Our product candidates, if approved, may also be subject to certain post-authorization reporting requirements. As an example, the EMA has required that Chiesi submit pharmacovigilance documents intended to provide post-authorization evaluation of Elfabrio’s risk-benefit balance at defined time points after authorization, beginning within six months of authorization, and that an educational program about home administration be agreed upon with the National Competent Authority prior to the use of Elfabrio in the home setting.</w:t>
      </w:r>
    </w:p>
    <w:p>
      <w:pPr>
        <w:spacing w:after="0" w:line="143"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Any of the foregoing, including the boxed warning, could prevent us or our commercialization partners from achieving or maintaining market acceptance of a product or a particular product candidate and could materially harm our business, results of operations, and prospects, and could adversely impact our financial condition, results of operations, ability to raise additional financing or the market price of our common stock.</w:t>
      </w:r>
    </w:p>
    <w:p>
      <w:pPr>
        <w:spacing w:after="0" w:line="135"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color w:val="auto"/>
        </w:rPr>
        <w:t>If safety issues regarding our products that were not known at the time of approval are discovered, or if we or the applicable marketing authorization holder fails to comply with continuing U.S. and applicable foreign regulations, commercialization efforts for our products could be adversely affected and the products could lose their approval or their sales could be suspended.</w:t>
      </w:r>
    </w:p>
    <w:p>
      <w:pPr>
        <w:spacing w:after="0" w:line="153"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Drug products remain subject to continuing regulatory oversight after they are approved for marketing, including the review of additional safety information. Drugs are more widely used by patients once approved for sale and, therefore, side-effects and other problems may be observed after approval that were not seen or anticipated, or were not as prevalent or severe, during clinical trials or nonclinical studies.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our stock price to decline or experience periods of volatility and may have a material adverse effect on our business, results of operations and financial condition.</w:t>
      </w:r>
    </w:p>
    <w:p>
      <w:pPr>
        <w:spacing w:after="0" w:line="151"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If we or the marketing authorization holder, or MAH, of any of our products fail to comply with applicable continuing regulatory requirements, we or such MAH may be subject to fines and/or criminal prosecutions, and the product may become subject to suspension or withdrawal of regulatory approval, product recalls and seizures and operating restrictions. In addition, the manufacturers we or an MAH engage to produce a product and the manufacturing facilities in which the product is made are subject to periodic review and inspection by the FDA and foreign regulatory authorities. If problems are identified during the review or inspection of these manufacturers or manufacturing facilities, it could result in the facility becoming unable to manufacture the product or a determination that inventories are not safe for commercial sale, which may have a material adverse effect on our business, results of operations and financial condition.</w:t>
      </w:r>
    </w:p>
    <w:p>
      <w:pPr>
        <w:spacing w:after="0" w:line="147" w:lineRule="exact"/>
        <w:rPr>
          <w:sz w:val="20"/>
          <w:szCs w:val="20"/>
          <w:color w:val="auto"/>
        </w:rPr>
      </w:pPr>
    </w:p>
    <w:p>
      <w:pPr>
        <w:ind w:left="60" w:right="79"/>
        <w:spacing w:after="0" w:line="317" w:lineRule="auto"/>
        <w:rPr>
          <w:sz w:val="20"/>
          <w:szCs w:val="20"/>
          <w:color w:val="auto"/>
        </w:rPr>
      </w:pPr>
      <w:r>
        <w:rPr>
          <w:rFonts w:ascii="Times New Roman" w:cs="Times New Roman" w:eastAsia="Times New Roman" w:hAnsi="Times New Roman"/>
          <w:sz w:val="17"/>
          <w:szCs w:val="17"/>
          <w:b w:val="1"/>
          <w:bCs w:val="1"/>
          <w:color w:val="auto"/>
        </w:rPr>
        <w:t>If physicians, patients, third party payors and others in the medical community do not accept and use Elfabrio, Elelyso or any other future products, our ability to generate revenue from product sales will be materially impaired.</w:t>
      </w:r>
    </w:p>
    <w:p>
      <w:pPr>
        <w:spacing w:after="0" w:line="10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Physicians and patients, and other healthcare providers, may not accept and use Elfabrio, Elelyso or any other products we may develop in the future. Future acceptance and use of any of our products will depend upon a number of factors including:</w:t>
      </w:r>
    </w:p>
    <w:p>
      <w:pPr>
        <w:spacing w:after="0" w:line="135" w:lineRule="exact"/>
        <w:rPr>
          <w:sz w:val="20"/>
          <w:szCs w:val="20"/>
          <w:color w:val="auto"/>
        </w:rPr>
      </w:pPr>
    </w:p>
    <w:p>
      <w:pPr>
        <w:ind w:left="1040" w:right="1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physicians, patients, third party payors and others in the medical community about the safety and effectiveness of Elfabrio or Elelyso, or any future product, if any;</w:t>
      </w:r>
    </w:p>
    <w:p>
      <w:pPr>
        <w:spacing w:after="0" w:line="12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34"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our products’ approved labeling, including the boxed warning associated with Elfabrio in the United States;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9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benefits of Elfabrio or Elelyso, or any future product, if any relative to competing products and products under development;</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relative to competing products and products under development;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84"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education, marketing and distribution efforts by Chiesi, Pfizer and any other relevant licensees and distributors;</w:t>
      </w:r>
    </w:p>
    <w:p>
      <w:pPr>
        <w:spacing w:after="0" w:line="134"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Elfabrio or Elelyso, or any future product, if any, or concerning competing products and treatments;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our products and competing products.</w:t>
      </w:r>
    </w:p>
    <w:p>
      <w:pPr>
        <w:spacing w:after="0" w:line="181"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If the market opportunities for Elfabrio, Elelyso or any other future products are smaller than we believe they are, our revenues may be adversely affected and our business may suffer.</w:t>
      </w:r>
    </w:p>
    <w:p>
      <w:pPr>
        <w:spacing w:after="0" w:line="132"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To date, our development efforts have focused mainly on relatively rare disorders with relatively small patient populations, in particular Gaucher disease and Fabry disease. Estimation of the prevalence of these diseases are based on studies of small subsets of the population of specific geographic areas and are often inexact and prone to error. As new studies are performed, the estimated prevalence of these diseases may change. There can be no assurance that the prevalence of Gaucher disease or Fabry disease in the study populations, particularly in these newer studies, accurately reflect the prevalence of these diseases in the broader world population. If the market opportunities for our products or product candidates are smaller than we believe they are, our revenues may be adversely affected and our business may suffer.</w:t>
      </w:r>
    </w:p>
    <w:p>
      <w:pPr>
        <w:spacing w:after="0" w:line="127"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color w:val="auto"/>
        </w:rPr>
        <w:t>Coverage and reimbursement may not be available for Elfabrio, Elelyso or any other future products in all territories, which could diminish sales of our products or adversely affect the profitably of such sales.</w:t>
      </w:r>
    </w:p>
    <w:p>
      <w:pPr>
        <w:spacing w:after="0" w:line="11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Market acceptance and sales of Elfabrio, Elelyso or any other future products, if any, will depend on coverage and reimbursement policies in the countries in which they are approved for sale. Government authorities and third-party payors, such as private health insurers and health maintenance organizations, decide which drugs they will pay for and establish reimbursement levels. Obtaining reimbursement approval for an approved product from individual governments and other third party payors is a time consuming (six to 12 months or longer) and costly process that requires our collaborators or us, as the case may be, to provide supporting scientific, clinical and cost-effectiveness data for the use of our products, if and when approved, to every payor. Data sufficient to gain acceptance with respect to coverage and reimbursement might not be available, or post-marketing studies may be required in order to demonstrate the cost-effectiveness of approved products, if any, to such payors’ satisfaction. Such studies might require our collaborators or us to commit a significant amount of management time and financial and other resources.</w:t>
      </w:r>
    </w:p>
    <w:p>
      <w:pPr>
        <w:spacing w:after="0" w:line="16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Even if a payor determines that an approved product is eligible for reimbursement, the payor may impose coverage limitations that preclude payment for some uses that are approved by the FDA or other regulatory authorities. For example, the U.S. Inflation Reduction Act allows Medicare to negotiate the prices of the prescription drugs. Such initiatives and legislation may cause added pricing pressure on our products. Proposals that could impact coverage and reimbursement of our products, including giving states more flexibility to manage drugs covered under the Medicaid program and permitting the re-importation of prescription medications from other countries, could have a material adverse effect by limiting our products’ use and coverage. To the extent that private insurers or managed care programs in the United States or elsewhere follow Medicaid coverage and payment developments, they could use the enactment of these increased rebates to exert pricing pressure on our products, and the adverse effects may be magnified by their adoption of lower payment schedules. In addition, full reimbursement may not be available for high priced products. Moreover, eligibility for coverage does not imply that any approved product will be reimbursed in all cases or at a rate that allows us to make a profit or even cover our costs. Limited reimbursement amounts may reduce the demand for, or the price of, Elfabrio, Elelyso or any other future products. If coverage and reimbursement are not available or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available only to limited levels, the sales of Elfabrio, Elelyso or other future products, if any, may be diminished or we may not be able to sell such products profitably.</w:t>
      </w:r>
    </w:p>
    <w:p>
      <w:pPr>
        <w:spacing w:after="0" w:line="135"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The pricing of our products in different countries may vary widely, thus creating the potential for third-party trade in our products in an attempt to exploit price differences between countries. This third-party trade of our products could undermine our sales in markets with higher prices which could have a material adverse effect on our business, results of operations and financial condition.</w:t>
      </w:r>
    </w:p>
    <w:p>
      <w:pPr>
        <w:spacing w:after="0" w:line="13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color w:val="auto"/>
        </w:rPr>
        <w:t>Fiocruz is not complying, and we expect they will continue to not comply, with the terms and conditions of the Brazil Agreement.</w:t>
      </w:r>
    </w:p>
    <w:p>
      <w:pPr>
        <w:spacing w:after="0" w:line="118" w:lineRule="exact"/>
        <w:rPr>
          <w:sz w:val="20"/>
          <w:szCs w:val="20"/>
          <w:color w:val="auto"/>
        </w:rPr>
      </w:pPr>
    </w:p>
    <w:p>
      <w:pPr>
        <w:ind w:left="60" w:right="339"/>
        <w:spacing w:after="0" w:line="281" w:lineRule="auto"/>
        <w:rPr>
          <w:sz w:val="20"/>
          <w:szCs w:val="20"/>
          <w:color w:val="auto"/>
        </w:rPr>
      </w:pPr>
      <w:r>
        <w:rPr>
          <w:rFonts w:ascii="Times New Roman" w:cs="Times New Roman" w:eastAsia="Times New Roman" w:hAnsi="Times New Roman"/>
          <w:sz w:val="17"/>
          <w:szCs w:val="17"/>
          <w:color w:val="auto"/>
        </w:rPr>
        <w:t>We do not control and may not be able to effectively influence Fiocruz’s ability to distribute BioManguinhos alfataliglicerase in Brazil. Fiocruz has not complied with the purchase requirements of the Brazil Agreement in the past, and we expect Fiocruz will continue to not comply and may otherwise materially breach the agreement. Continued non-compliance may have a material adverse effect on our business, results of operations and financial condition.</w:t>
      </w:r>
    </w:p>
    <w:p>
      <w:pPr>
        <w:spacing w:after="0" w:line="13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face the risk of lower than anticipated purchases of BioManguinhos alfataliglicerase by the Brazilian MoH. In addition, we may fail to supply the intended amounts on time, if at all. We also cannot accurately predict the amount of revenues we will generate under the Brazil Agreement in future periods, if any. Any failure by the Brazilian MoH to purchase BioManguinhos alfataliglicerase, by us to supply BioManguinhos alfataliglicerase for purchase or by Fiocruz to distribute BioManguinhos alfataliglicerase in Brazil, or the experience of significant delays in any of the foregoing, may have a material adverse effect on our business, results of operations and financial condition.</w:t>
      </w:r>
    </w:p>
    <w:p>
      <w:pPr>
        <w:spacing w:after="0" w:line="143"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We and our collaborating partners may be subject, directly or indirectly, to federal and state healthcare fraud and abuse and false claims laws and regulations. If we or our collaborating partners are unable to comply, or have not fully complied, with such laws, we could face substantial penalties.</w:t>
      </w:r>
    </w:p>
    <w:p>
      <w:pPr>
        <w:spacing w:after="0" w:line="134"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All marketing activities associated with products that are approved for sale in the United States, if any, will be, directly or indirectly through our customers, subject to numerous federal and state laws governing the marketing and promotion of pharmaceutical products in the United States, including, without limitation, the federal Anti-Kickback Law, the federal False Claims Act and HIPAA. These laws may adversely impact, among other things, our proposed sales, marketing and education programs.</w:t>
      </w:r>
    </w:p>
    <w:p>
      <w:pPr>
        <w:spacing w:after="0" w:line="15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federal Anti-Kickback Law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has been broadly interpreted to include anything of value, including for example, gifts, discounts, the furnishing of supplies or equipment, credit arrangements, payments of cash, waivers of co-payments and deductibles, ownership interests and providing anything at less than its fair market value. Despite a series of narrow safe harbors, the federal Anti-Kickback Law prohibits many arrangements and practices that are lawful in businesses outside of the healthcare industry. Penalties for violations of the federal Anti-Kickback Law include criminal penalties and civil sanctions such as fines, imprisonment and possible exclusion from Medicare, Medicaid and other state or federal healthcare programs. Many states have also adopted laws similar to the federal Anti-Kickback Law, some of which apply to the referral of patients for healthcare items or services reimbursed by any source, not only the Medicare and Medicaid programs, and do not contain identical safe harbors.</w:t>
      </w:r>
    </w:p>
    <w:p>
      <w:pPr>
        <w:spacing w:after="0" w:line="14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federal False Claims Act imposes liability on any person who, among other things, knowingly presents, or causes to be presented, a false or fraudulent claim for payment by a federal healthcare program. In addition, various states have enacted false claims laws analogous to the False Claims Act. Many of these state laws apply where a claim is submitted to any third-party payer and not merely a federal healthcare program. Violations of the federal False Claims Act and the analogous state laws may result in substantial financial penalties, some as much as three times the actual damages sustained by the government.</w:t>
      </w:r>
    </w:p>
    <w:p>
      <w:pPr>
        <w:spacing w:after="0" w:line="14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HIPAA created several new federal crimes, including health care fraud, and false statements relating to health care matters. The health care fraud statute prohibits knowingly and willfully executing a scheme to defraud any health care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w:t>
      </w:r>
    </w:p>
    <w:p>
      <w:pPr>
        <w:spacing w:after="0" w:line="14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are unable to predict whether we could be subject to actions under any of these or other fraud and abuse laws, or the impact of such actions. Moreover, to the extent that Elfabrio, Elelyso or any other future products, if any, are sold in a foreign country, we and our collaborators may be subject to similar foreign laws and regulations. If we or any of our collaborators are found to be in violation of any of the laws described above and other applicable state and federal fraud and abuse laws, we may be subject to penalties, including civil and criminal penalties, damages, fines, exclusion from government healthcare reimbursement programs and the curtailment or restructuring or our operations, any of which could have a material adverse effect on our business, results of operations and financial condition.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color w:val="auto"/>
        </w:rPr>
        <w:t>We have a limited commercial operating history which may limit the ability of investors to make an informed investment decision.</w:t>
      </w:r>
    </w:p>
    <w:p>
      <w:pPr>
        <w:spacing w:after="0" w:line="13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Elfabrio and Elelyso are our only commercial products both of which are marketed by our commercialization partners. Our operations to date have been limited to acquiring, developing and securing our proprietary technology and undertaking, through third parties, preclinical and clinical trials of our drug candidates and advancing our drug candidates through the regulatory approval processes. These operations provide a limited basis for investors to assess our ability to commercialize our drug candidates and whether to invest in our company.</w:t>
      </w:r>
    </w:p>
    <w:p>
      <w:pPr>
        <w:spacing w:after="0" w:line="139"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Any failure by us to supply drug substance to Chiesi or Pfizer may have a material adverse effect on our business, results of operations and financial condition.</w:t>
      </w:r>
    </w:p>
    <w:p>
      <w:pPr>
        <w:spacing w:after="0" w:line="11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have agreed to sell drug substance to Pfizer and Chiesi for the production of Elelyso and Elfabrio, respectively. With respect to Elelyso, our drug substance supply commitment is for a 15-year period after the execution of the Amended Pfizer Agreement, subject to certain terms and conditions. As part of that obligation, we agreed to substantial financial penalties if we fail to comply with the supply commitments, or are delayed in doing so. The amounts of the penalties depend on when any such failure occurs and for how long it persists, if at all, and other considerations. Any failure to comply with the supply commitments to Pfizer and/or Chiesi may have a material adverse effect on our business, results of operations and financial condition.</w:t>
      </w:r>
    </w:p>
    <w:p>
      <w:pPr>
        <w:spacing w:after="0" w:line="158"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color w:val="auto"/>
        </w:rPr>
        <w:t>Our strategy, in certain cases, is to enter into collaboration agreements with third parties to leverage our ProCellEx system to develop product candidates. Failure to enter into such agreements, or non-compliance by us or our collaborators with such agreements, may have a material adverse effect on our business, results of operations and financial condition.</w:t>
      </w:r>
    </w:p>
    <w:p>
      <w:pPr>
        <w:spacing w:after="0" w:line="140"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Our strategy, in certain cases, is to enter into arrangements with pharmaceutical companies to leverage our ProCellEx system to develop additional product candidates. Our future revenues may depend, in part, on our ability to enter into and maintain arrangements with our existing partners and other companies having sales, marketing and distribution capabilities and the ability of such companies to successfully market and pharmaceutical products on a global scale. Under these arrangements, we may grant to our partners rights to license and commercialize pharmaceutical products developed under the applicable agreements, as we have done with Elfabrio and Elelyso. Commercialization, marketing, distribution and other similar alliances with respect to our products and product candidates will subject us to a number of risks. We may be required to relinquish important rights to our products or product candidates, and the rights of our partners may limit our flexibility in considering alternatives for the commercialization of our products and product candidates. Our partners may control key decisions relating to the development of the products and we may depend on our partners’ expertise and dedication of sufficient time and resources to develop and commercialize our products and product candidates. Our partners may experience financial difficulties which adversely affect their efforts with respect to our product and product candidates. If we or any of our current or future partners breach or terminate the agreements that make up such arrangements, our partners otherwise fail to conduct their obligations under such arrangements in a timely manner, there is a dispute about their obligations or if either party terminates the applicable agreement or elects not to continue the arrangement, we may not enjoy the benefits of the agreements or receive a sufficient amount of royalty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milestone payments from them, if any, which may have a material adverse effect on our business, results of operations and financial condition.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If we are unable to enhance our portfolio of product candidates, our business may be adversely affected.</w:t>
      </w:r>
    </w:p>
    <w:p>
      <w:pPr>
        <w:spacing w:after="0" w:line="189"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A key element of our business strategy is to establish a portfolio of product candidates as targets for development and eventual commercialization. We seek to do so through our internal research programs and strategic collaborations. Research programs to identify new product candidates require substantial technical, financial and human resources, whether or not any product candidates are ultimately identified. A research program may initially show promise in identifying a potential product candidate, yet fail to immediately yield the product candidate for clinical development for many reasons, including the following:</w:t>
      </w:r>
    </w:p>
    <w:p>
      <w:pPr>
        <w:spacing w:after="0" w:line="147"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is not capable of being produced in commercial quantities at an acceptable cost, or at all;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 or</w:t>
      </w:r>
    </w:p>
    <w:p>
      <w:pPr>
        <w:spacing w:after="0" w:line="184" w:lineRule="exact"/>
        <w:rPr>
          <w:rFonts w:ascii="Times New Roman" w:cs="Times New Roman" w:eastAsia="Times New Roman" w:hAnsi="Times New Roman"/>
          <w:sz w:val="18"/>
          <w:szCs w:val="18"/>
          <w:color w:val="auto"/>
        </w:rPr>
      </w:pPr>
    </w:p>
    <w:p>
      <w:pPr>
        <w:ind w:left="1040" w:right="339" w:hanging="315"/>
        <w:spacing w:after="0" w:line="312"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product candidate may, after further study, be shown to have harmful side effects or other characteristics that indicate it is unlikely to be effective or otherwise does not meet applicable regulatory approval.</w:t>
      </w:r>
    </w:p>
    <w:p>
      <w:pPr>
        <w:spacing w:after="0" w:line="99"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Any failure or delay in the establishment of a portfolio of product candidates as targets for development and eventual commercialization may have a material adverse effect on our business, results of operations and financial condition.</w:t>
      </w:r>
    </w:p>
    <w:p>
      <w:pPr>
        <w:spacing w:after="0" w:line="109" w:lineRule="exact"/>
        <w:rPr>
          <w:sz w:val="20"/>
          <w:szCs w:val="20"/>
          <w:color w:val="auto"/>
        </w:rPr>
      </w:pPr>
    </w:p>
    <w:p>
      <w:pPr>
        <w:ind w:left="60" w:right="739"/>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our products is an exacting and complex process, and any manufacturing problems encountered by us or certain of our providers may have a material adverse effect on our business, results of operations and financial condition.</w:t>
      </w:r>
    </w:p>
    <w:p>
      <w:pPr>
        <w:spacing w:after="0" w:line="134"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The FDA and foreign regulators require manufacturers to register manufacturing facilities. The FDA and foreign regulators also inspect these facilities to confirm compliance with cGMP or similar requirements that the FDA or foreign regulators establish. We or certain of our services and materials providers, including our fill and finish service providers, may face manufacturing or quality control problems causing product production and shipment delays or a situation where we or the provider may not be able to maintain compliance with the FDA’s cGMP requirements, or those of foreign regulators, necessary to continue manufacturing. We or any such third-party manufacturer might be unable to formulate and manufacture our products in the volume and of the quality required to meet our preclinical, clinical and commercial needs. If we engage any contract manufacturers, such manufacturers may not perform as agreed or may not remain in the contract manufacturing business for the time required to supply our preclinical, clinical or commercial needs. In addition, we and contract manufacturers are subject to the rules and regulations of the FDA and comparable foreign regulatory authorities and face the risk that any of those authorities may find that they are not in compliance with applicable regulations. To date, our current facility has passed audits by the FDA and a number of other regulatory authorities but remains subject to audit by other foreign regulatory authorities. There can be no assurance that we or our contract manufacturers will be able to comply, or continue to comply, with FDA or foreign regulatory manufacturing requirements, and the failure to so comply, or continue to comply, may have a material adverse effect on our business, results of operations and financial condition.</w:t>
      </w:r>
    </w:p>
    <w:p>
      <w:pPr>
        <w:spacing w:after="0" w:line="137"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We rely on third parties for final processing of Elfabrio, Elelyso and our other product candidates, which exposes us to a number of risks that may delay development, regulatory approval and commercialization of Elfabrio, Elelyso or our other product candidates or result in higher product costs.</w:t>
      </w:r>
    </w:p>
    <w:p>
      <w:pPr>
        <w:spacing w:after="0" w:line="148"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have no experience in the final filling and freeze drying steps of the drug manufacturing process. We rely on third-party service providers in the United States and Europe to perform fill and finish activities for Elelyso and Elfabrio, and have engaged other parties for our other product candidates. The number of potential fill and finish services providers is limited and we face the risk of being unable to identify manufacturers and/or replacement manufacturers on acceptable terms or at all. In addition, the FDA and other regulatory authorities, as applicable, must approve any manufacturer and/or replacement manufacturer, including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Any failure to identify and maintain fill and finish service providers could delay our preclinical and clinical trials, the approval, if any, of our potential drug candidates by the FDA and other regulatory authorities, or the commercialization of our drug candidates, or could result in higher product costs or otherwise deprive us of potential product revenues.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have limited experience in selling, marketing or distributing products and limited internal capability to do so.</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currently have very limited sales, marketing or distribution capabilities and no experience in building a sales force and distribution capabilities. Under our arrangements with Pfizer and Chiesi, we have out-licensed the marketing rights to Elfabrio and Elelyso, except that we retained the marketing rights to BioManguinhos alfataliglicerase in Brazil. The commercialization of a product requires the commitment of significant financial and managerial resources to develop a marketing and sales force with technical expertise and with supporting distribution capabilities. If we elect to commercialize our products directly and without strategic partners we may be unable to recruit and retain adequate numbers of effective sales and marketing personnel. In addition, such sales personnel might not access an adequate number of physicians or persuade them to prescribe our products, or may lack complementary products to offer to such physicians. Commercialization by such sales personnel may expose our company to unforeseen costs and expenses.</w:t>
      </w:r>
    </w:p>
    <w:p>
      <w:pPr>
        <w:spacing w:after="0" w:line="144"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Developments by competitors may render our products or technologies obsolete or non-competitive which would have a material adverse effect on our business, results of operations and financial condition.</w:t>
      </w:r>
    </w:p>
    <w:p>
      <w:pPr>
        <w:spacing w:after="0" w:line="13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compete against fully integrated pharmaceutical companies and smaller companies that are collaborating with larger pharmaceutical companies, academic institutions, government agencies and other public and private research organizations. Our products compete, and our products candidates will have to compete, with existing therapies and therapies under development by our competitors. Our commercial opportunities may be reduced or eliminated if our competitors develop and market products that are less expensive, more effective or safer than our products. Other companies have drug candidates in various stages of preclinical or clinical development to treat diseases for which we are also seeking to develop products. Some of these potential competing drugs are further advanced in development than our drug candidates and may be commercialized earlier. See “</w:t>
      </w:r>
      <w:r>
        <w:rPr>
          <w:rFonts w:ascii="Times New Roman" w:cs="Times New Roman" w:eastAsia="Times New Roman" w:hAnsi="Times New Roman"/>
          <w:sz w:val="18"/>
          <w:szCs w:val="18"/>
          <w:u w:val="single" w:color="auto"/>
          <w:color w:val="0000EE"/>
        </w:rPr>
        <w:t>Business – Competition</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Most of our competitors, either alone or together with their collaborative partners, operate larger research and development programs, staff and facilities and have substantially greater financial resources than we do, as well as significantly greater experience in:</w:t>
      </w:r>
    </w:p>
    <w:p>
      <w:pPr>
        <w:spacing w:after="0" w:line="135"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drugs;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human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from the FDA and other regulatory authorities;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drugs;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marketing and selling drugs.</w:t>
      </w:r>
    </w:p>
    <w:p>
      <w:pPr>
        <w:spacing w:after="0" w:line="185"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These organizations also compete with us to attract qualified personnel, acquisitions and joint ventures candidates and for other collaborations. Activities of our competitors may impose unanticipated costs on our business or adversely affect the market for our products which would have a material adverse effect on our business, results of operations and financial condition.</w:t>
      </w:r>
    </w:p>
    <w:p>
      <w:pPr>
        <w:spacing w:after="0" w:line="13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color w:val="auto"/>
        </w:rPr>
        <w:t>If we in-license drug candidates, we may delay or otherwise adversely affect the development of our existing drug candidates, which may negatively impact our business, results of operations and financial condition.</w:t>
      </w:r>
    </w:p>
    <w:p>
      <w:pPr>
        <w:spacing w:after="0" w:line="13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addition to our own internally developed drug candidates, we proactively seek opportunities to in-license and advance other drug candidates that are strategic and have value-creating potential to take advantage of our development know-how and technology. In-licensing additional drug candidates may significantly increase our capital requirements, and place a strain on the time of our existing personnel, which may delay or otherwise adversely affect the development of our existing drug candidates or cause us to re-prioritize our drug pipeline if we do not have the necessary capital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resources to develop all of our drug candidates, which may have a material adverse effect on our business, results of operations and financial condition.</w:t>
      </w:r>
    </w:p>
    <w:p>
      <w:pPr>
        <w:spacing w:after="0" w:line="131" w:lineRule="exact"/>
        <w:rPr>
          <w:sz w:val="20"/>
          <w:szCs w:val="20"/>
          <w:color w:val="auto"/>
        </w:rPr>
      </w:pPr>
    </w:p>
    <w:p>
      <w:pPr>
        <w:ind w:left="60" w:right="399"/>
        <w:spacing w:after="0" w:line="317" w:lineRule="auto"/>
        <w:rPr>
          <w:sz w:val="20"/>
          <w:szCs w:val="20"/>
          <w:color w:val="auto"/>
        </w:rPr>
      </w:pPr>
      <w:r>
        <w:rPr>
          <w:rFonts w:ascii="Times New Roman" w:cs="Times New Roman" w:eastAsia="Times New Roman" w:hAnsi="Times New Roman"/>
          <w:sz w:val="17"/>
          <w:szCs w:val="17"/>
          <w:b w:val="1"/>
          <w:bCs w:val="1"/>
          <w:color w:val="auto"/>
        </w:rPr>
        <w:t>If we acquire companies, products or technologies, we may face integration risks and costs associated with those acquisitions that could potentially negatively impact our business, results of operations and financial condition.</w:t>
      </w:r>
    </w:p>
    <w:p>
      <w:pPr>
        <w:spacing w:after="0" w:line="95"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If we are presented with appropriate opportunities, we may acquire or make investments in complementary companies, products or technologies. If we acquire companies or technologies, we will face risks, uncertainties and disruptions associated with the integration process, including difficulties in the integration of the operations of an acquired company, integration of acquired technology with our products, diversion of our management’s attention from other business concerns, the potential loss of key employees or customers of the acquired business and impairment charges if future acquisitions are not as successful as we originally anticipate. In addition, our operating results may suffer because of acquisition-related costs or amortization expenses or charges relating to acquired intangible assets. Any failure to successfully integrate other companies, products or technologies that we may acquire may have a material adverse effect on our business, results of operations and financial condition.</w:t>
      </w:r>
    </w:p>
    <w:p>
      <w:pPr>
        <w:spacing w:after="0" w:line="14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color w:val="auto"/>
        </w:rPr>
        <w:t>We depend upon key employees and consultants in a competitive market for skilled personnel. If we are unable to attract and retain key personnel, it could adversely affect our ability to develop and market our products.</w:t>
      </w:r>
    </w:p>
    <w:p>
      <w:pPr>
        <w:spacing w:after="0" w:line="13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especially our President and Chief Executive Officer, Dror Bashan, as well as the Chairman of our Board of Directors, Eliot R. Forster, Ph.D., our other directors, consultants and collaborating scientists. Many of these people have been involved with us for many years and have played integral roles in our progress, and we believe that they will continue to provide value to us. A loss of any of these personnel may have a material adverse effect on aspects of our business, clinical development and regulatory programs. We have employment agreements with Mr. Bashan and our other executive officers that may be terminated by us or the applicable officer at any time with varying notice periods of 30 to 180 days. The loss of any of these persons’ services may adversely affect our ability to develop and market our products and obtain necessary regulatory approvals. Further, we do not maintain key-man life insurance.</w:t>
      </w:r>
    </w:p>
    <w:p>
      <w:pPr>
        <w:spacing w:after="0" w:line="148"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also depend in part on the continued service of our key scientific personnel and our ability to identify, hire and retain additional personnel. We experience intense competition for qualified personnel, and the existence of non-competition agreements between prospective employees and their former employers may prevent us from hiring those individuals or subject us to suit from their former employers. While we attempt to provide competitive compensation packages to attract and retain key personnel, many of our competitors are likely to have greater resources and more experience than we have, making it difficult for us to compete successfully for key personnel.</w:t>
      </w:r>
    </w:p>
    <w:p>
      <w:pPr>
        <w:spacing w:after="0" w:line="143" w:lineRule="exact"/>
        <w:rPr>
          <w:sz w:val="20"/>
          <w:szCs w:val="20"/>
          <w:color w:val="auto"/>
        </w:rPr>
      </w:pPr>
    </w:p>
    <w:p>
      <w:pPr>
        <w:jc w:val="both"/>
        <w:ind w:left="60" w:right="599"/>
        <w:spacing w:after="0" w:line="268" w:lineRule="auto"/>
        <w:rPr>
          <w:sz w:val="20"/>
          <w:szCs w:val="20"/>
          <w:color w:val="auto"/>
        </w:rPr>
      </w:pPr>
      <w:r>
        <w:rPr>
          <w:rFonts w:ascii="Times New Roman" w:cs="Times New Roman" w:eastAsia="Times New Roman" w:hAnsi="Times New Roman"/>
          <w:sz w:val="18"/>
          <w:szCs w:val="18"/>
          <w:b w:val="1"/>
          <w:bCs w:val="1"/>
          <w:color w:val="auto"/>
        </w:rPr>
        <w:t>Under current U.S. and Israeli laws, we may not be able to enforce employees’ covenants not to compete and therefore may be unable to prevent our competitors from benefiting from the expertise of some of our former employees.</w:t>
      </w:r>
    </w:p>
    <w:p>
      <w:pPr>
        <w:spacing w:after="0" w:line="14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We have entered into non-competition agreements with substantially all of our employees. These agreements prohibit our employees, if they cease working for us, from competing directly with us or working for our competitors for a limited period. Under current U.S. and Israeli laws, we may be unable to enforce these agreements against most of our employees and it may be difficult for us to restrict our competitors from gaining the expertise our former employees acquired while working for us. If we cannot enforce our employees’ non-compete agreements, we may be unable to prevent our competitors from benefiting from the expertise of our former employees, which may have a material adverse effect on our business, results of operations and financial condition.</w:t>
      </w:r>
    </w:p>
    <w:p>
      <w:pPr>
        <w:spacing w:after="0" w:line="144" w:lineRule="exact"/>
        <w:rPr>
          <w:sz w:val="20"/>
          <w:szCs w:val="20"/>
          <w:color w:val="auto"/>
        </w:rPr>
      </w:pPr>
    </w:p>
    <w:p>
      <w:pPr>
        <w:ind w:left="60" w:right="319"/>
        <w:spacing w:after="0" w:line="291" w:lineRule="auto"/>
        <w:rPr>
          <w:sz w:val="20"/>
          <w:szCs w:val="20"/>
          <w:color w:val="auto"/>
        </w:rPr>
      </w:pPr>
      <w:r>
        <w:rPr>
          <w:rFonts w:ascii="Times New Roman" w:cs="Times New Roman" w:eastAsia="Times New Roman" w:hAnsi="Times New Roman"/>
          <w:sz w:val="17"/>
          <w:szCs w:val="17"/>
          <w:b w:val="1"/>
          <w:b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1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Any failure to implement required new or improved controls, or difficulties encountered in their implementation could cause us to fail to meet our reporting obligations. While our assessment of our internal control over financial reporting resulted in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conclusion that as of December 31, 2024, our internal control over financial reporting was effective, we cannot predict the outcome of our testing or any subsequent testing by our auditor in future periods. Any testing by us conducted in connection with Section 404 of the Sarbanes-Oxley Act, or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and affect our reputation, which could have an adverse effect on the trading price of our common stock.</w:t>
      </w:r>
    </w:p>
    <w:p>
      <w:pPr>
        <w:spacing w:after="0" w:line="16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management is required to assess the effectiveness of our internal controls and procedures and disclose changes in these controls on an annual basis. However, for as long as we are a non-accelerated filer, our independent registered public accounting firm will not be required to attest to the effectiveness of our internal control over financial reporting pursuant to Section 404. An independent assessment of the effectiveness of our internal control could identify deficiencies in internal control over financial reporting that our management’s assessment might not. Undetected material weaknesses in our internal controls could lead to financial statement restatements and require us to incur the expense of remediation.</w:t>
      </w:r>
    </w:p>
    <w:p>
      <w:pPr>
        <w:spacing w:after="0" w:line="143"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used by our third-party contractors or consultants, may fail or suffer security breaches, resulting in liability and harm to our reputation, which could negatively affect our business, results of operation and financial condition. We may face liability if we breach our obligations related to the protection, security, nondisclosure of confidential information or disclosure of sensitive data or fail or are perceived to fail to comply with applicable data protection laws and regulations, or consumer protection laws, regulations and standards.</w:t>
      </w:r>
    </w:p>
    <w:p>
      <w:pPr>
        <w:spacing w:after="0" w:line="14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present and future contractors and consultants are vulnerable to damage from computer viruses and unauthorized access. Although to our knowledge we have not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We have a cybersecurity insurance policy to protect us from such risks. However, to the extent that any disruption or security breach were to result in a loss of, or damage to, our data or applications, or inappropriate disclosure of confidential or proprietary information, we could incur liability despite our insurance policy, and the further development and commercialization of our product candidates could be delayed.</w:t>
      </w:r>
    </w:p>
    <w:p>
      <w:pPr>
        <w:spacing w:after="0" w:line="16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Further, the global data protection landscape is rapidly evolving, and we are or may become subject to numerous local and foreign laws, requirements and regulations governing the collection, use, disclosure, retention, and security of personal data, such as information that we may collect about individuals worldwide.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local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4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failure to adhere to or successfully implement processes in response to changing regulatory requirements in this area could result in legal liability or impairment to our reputation in the marketplace, which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could be subject to securities class action litigation.</w:t>
      </w:r>
    </w:p>
    <w:p>
      <w:pPr>
        <w:spacing w:after="0" w:line="20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divert management’s attention and resources, which could have a material adverse effect on our business, results of operation and financial condition.</w:t>
      </w:r>
    </w:p>
    <w:p>
      <w:pPr>
        <w:spacing w:after="0" w:line="13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color w:val="auto"/>
        </w:rPr>
        <w:t>If product liability claims are brought against us, it may result in reduced demand for our products and product candidates or damages that exceed our insurance coverage.</w:t>
      </w:r>
    </w:p>
    <w:p>
      <w:pPr>
        <w:spacing w:after="0" w:line="118" w:lineRule="exact"/>
        <w:rPr>
          <w:sz w:val="20"/>
          <w:szCs w:val="20"/>
          <w:color w:val="auto"/>
        </w:rPr>
      </w:pPr>
    </w:p>
    <w:p>
      <w:pPr>
        <w:jc w:val="both"/>
        <w:ind w:left="60" w:right="259"/>
        <w:spacing w:after="0" w:line="255" w:lineRule="auto"/>
        <w:rPr>
          <w:sz w:val="20"/>
          <w:szCs w:val="20"/>
          <w:color w:val="auto"/>
        </w:rPr>
      </w:pPr>
      <w:r>
        <w:rPr>
          <w:rFonts w:ascii="Times New Roman" w:cs="Times New Roman" w:eastAsia="Times New Roman" w:hAnsi="Times New Roman"/>
          <w:sz w:val="18"/>
          <w:szCs w:val="18"/>
          <w:color w:val="auto"/>
        </w:rPr>
        <w:t>The use and marketing of our products and product candidates, including in connection with clinical trials, exposes us to product liability or similar claims if the use or misuse of those products or product candidates cause injury or disease, or results in adverse effects. We presently carry product liability and clinical trial liability insurance with coverages of up to $10.0 million per occurrence and $10.0 million in the aggregate, an amount we consider reasonable and customary.</w:t>
      </w:r>
    </w:p>
    <w:p>
      <w:pPr>
        <w:spacing w:after="0" w:line="3"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However, this insurance coverage includes various deductibles, limitations and exclusions from coverage, and in any event might not fully cover any potential claims. In the future, we may need to obtain additional product liability and clinical trial liability coverage; however, such insurance is expensive and insurance companies may not issue this type of insurance when we need it. We may not be able to obtain adequate insurance in the future at an acceptable cost. Any product liability claim, even one that was not in excess of our insurance coverage or one that is meritless and/or unsuccessful, may adversely affect the availability of funds for other purposes, such as research and development, which may have a material adverse effect on our business, results of operations and financial condition. Product liability claims, even if without merit, may result in reduced demand for our products, if approved, or result in adverse market reactions, which would have a material adverse effect on our business, results of operations and financial condition.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ability to utilize net operating loss carryforwards may be limited.</w:t>
      </w:r>
    </w:p>
    <w:p>
      <w:pPr>
        <w:spacing w:after="0" w:line="189"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Our NOL carryforwards as of December 31, 2024, are equal to approximately $227.2 million, of which approximately $22.2 million may be restricted under Section 382 of the Internal Revenue Code, or the IRC. IRC Section 382 applies whenever a corporation with NOLs experiences an ownership change. As a result of IRC Section 382, the taxable income for any post-change year that may be offset by a pre-change NOL may not exceed the fair market value of the pre-change entity multiplied by the IRC long-term tax exempt rate. Significant judgment is required in determining any valuation allowance recorded against deferred tax assets. In assessing the need for a valuation allowance, we considered all available evidence, including past operating results, the most recent projections for taxable income and prudent and feasible tax planning strategies. We reassess our valuation allowance periodically and if future evidence allows for a partial or full release of the valuation allowance, a tax benefit will be recorded accordingly. Any ownership change (including as a result of conversion of our outstanding convertible notes into shares of our common stock), or any other limitation on our utilization of NOLs, could have a material adverse effect on our business, results of operations and financial condition.</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corporate structure may create U.S. federal income tax inefficiencies.</w:t>
      </w:r>
    </w:p>
    <w:p>
      <w:pPr>
        <w:spacing w:after="0" w:line="20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Protalix Ltd. is our wholly-owned subsidiary and thus a controlled foreign corporation of our company for U.S. federal income tax purposes. This organizational structure may create inefficiencies, as certain types of income and investments of Protalix Ltd. that otherwise would not be currently taxable under general U.S. federal income tax principles may become taxable. These inefficiencies may require us to use more of our NOLs than we otherwise might and may result in a tax liability without a corresponding distribution from our subsidiaries which could have a material adverse effect on our business, results of operations and financial condition.</w:t>
      </w:r>
    </w:p>
    <w:p>
      <w:pPr>
        <w:spacing w:after="0" w:line="14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In addition, on December 22, 2017, the U.S. Tax Cuts and Jobs Act, or the TCJA, that significantly reforms the IRC was enacted. The TCJA, among other things, includes changes to U.S. federal tax rates, imposes significant additional limitations on the deductibility of certain expenses and adds certain limitations to the use of net operating loss carryforwards arising after December 31, 2017. Effective in 2022, the TCJA requires all U.S. companies to capitalize and subsequently amortize R&amp;D expenses that fall within the scope of Section 174 over five years for research activities conducted in the United States and over 15 years for research activities conducted outside of the United States rather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than deducting such costs in the year incurred for tax purposes. As a result of the TCJA, we expect to incur an increase in our tax expenses and a decrease in our cash flows provided by operations.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are a holding company with no operations of our own.</w:t>
      </w:r>
    </w:p>
    <w:p>
      <w:pPr>
        <w:spacing w:after="0" w:line="18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operations of our own. Accordingly, our ability to conduct our operations, service any current or future debt and pay dividends, if any, is dependent upon the earnings from the business conducted by</w:t>
      </w: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Protalix Ltd. The distribution of those earnings or advances or other distributions of funds by our subsidiaries to us, as well as our receipt of such funds, are contingent upon the earnings of Protalix Ltd. and are subject to various business considerations and U.S. and Israeli laws. If Protalix Ltd. is unable to make sufficient distributions or advances to us, or if there are limitations on our ability to receive such distributions or advances, we may not have the cash resources necessary to conduct our corporate operations or service our debt which would have a material adverse effect on our business, results of operations and financial condition.</w:t>
      </w:r>
    </w:p>
    <w:p>
      <w:pPr>
        <w:spacing w:after="0" w:line="14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Outbreaks of contagious disease or similar public health threats could materially and adversely affect our business, results of operations and financial condition.</w:t>
      </w:r>
    </w:p>
    <w:p>
      <w:pPr>
        <w:spacing w:after="0" w:line="132"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Outbreaks of contagious disease or other adverse public health developments worldwide could have a material adverse effect on our business, financial condition and results of operations. Outbreaks of contagious disease or other adverse public health developments could affect our business in a number of ways, including but not limited to:</w:t>
      </w:r>
    </w:p>
    <w:p>
      <w:pPr>
        <w:spacing w:after="0" w:line="135"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restrictions on our employees’ ability to work effectively due to illness;</w:t>
      </w:r>
    </w:p>
    <w:p>
      <w:pPr>
        <w:spacing w:after="0" w:line="184"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closures or disruptions at our facilities or the facilities of our contract manufacturers or suppliers could adversely affect our ability to timely meet our customer’s orders and negatively impact our supply chain;</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contagious disease could cause delays or disruptions in our supply chain;</w:t>
      </w:r>
    </w:p>
    <w:p>
      <w:pPr>
        <w:spacing w:after="0" w:line="184" w:lineRule="exact"/>
        <w:rPr>
          <w:rFonts w:ascii="Times New Roman" w:cs="Times New Roman" w:eastAsia="Times New Roman" w:hAnsi="Times New Roman"/>
          <w:sz w:val="18"/>
          <w:szCs w:val="18"/>
          <w:color w:val="auto"/>
        </w:rPr>
      </w:pPr>
    </w:p>
    <w:p>
      <w:pPr>
        <w:ind w:left="1040" w:right="319" w:hanging="315"/>
        <w:spacing w:after="0" w:line="289" w:lineRule="auto"/>
        <w:tabs>
          <w:tab w:leader="none" w:pos="10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third parties on which we rely to meet their respective obligations to us, or significant disruptions in their ability to do so, which may be caused by their own financial or operational difficulties, could have an adverse impact on our business, financial condition or results of operations; and</w:t>
      </w:r>
    </w:p>
    <w:p>
      <w:pPr>
        <w:spacing w:after="0" w:line="117" w:lineRule="exact"/>
        <w:rPr>
          <w:rFonts w:ascii="Times New Roman" w:cs="Times New Roman" w:eastAsia="Times New Roman" w:hAnsi="Times New Roman"/>
          <w:sz w:val="17"/>
          <w:szCs w:val="17"/>
          <w:color w:val="auto"/>
        </w:rPr>
      </w:pPr>
    </w:p>
    <w:p>
      <w:pPr>
        <w:ind w:left="1040" w:right="33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contagious disease or other adverse public health developments could also exacerbate other risks discussed elsewhere in these Risk Factors, any of which could have a material adverse effect on us.</w:t>
      </w:r>
    </w:p>
    <w:p>
      <w:pPr>
        <w:spacing w:after="0" w:line="13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Our operating costs and business operations could be adversely affected by climate-related events and increasing regulatory requirements and security.</w:t>
      </w:r>
    </w:p>
    <w:p>
      <w:pPr>
        <w:spacing w:after="0" w:line="11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effects of climate change (such as drought, flooding, heat waves, wildfires, increased storm severity, and sea level rise, etc.) could affect our ability to continue our operations and cause delays in the development of our existing drug candidates, manufacturing and shipment, all of which could cause reputational harm or otherwise have an adverse effect on our business, results of operation and financial condition. In addition, the impacts of climate change on the global economy and our industry are rapidly evolving. Changing market dynamics, global policy developments and the increasing frequency and impact of extreme weather events on critical infrastructure across different countries could have the potential to disrupt our business, the business of our third-party suppliers and the business of our customers, and may cause us to experience higher attrition, losses and additional costs to maintain or resume operations. We also expect to face increasing regulatory requirements and regulatory scrutiny related to climate matters, resulting in higher associated compliance costs. Failure to uphold, meet or make timely forward progress against our public commitments and goals related to climate action could adversely affect our reputation with suppliers and customers, financial performance or the ability to recruit and retain talent.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Clinical Trials and Regulatory Matters</w:t>
      </w:r>
    </w:p>
    <w:p>
      <w:pPr>
        <w:spacing w:after="0" w:line="198"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We may not obtain the necessary U.S., EMA or other worldwide regulatory approvals to commercialize our drug candidates in a timely manner, if at all, which would have a material adverse effect on our business, results of operations and financial condition.</w:t>
      </w:r>
    </w:p>
    <w:p>
      <w:pPr>
        <w:spacing w:after="0" w:line="134"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To commercialize our drug candidates worldwide, we need FDA approval, EMA approval and approvals from other countries’ regulators to commercialize our drug candidates elsewhere, as applicable. Approvals of BLAs, NDAs, MAAs and comparable marketing authorization applications worldwide requires that we demonstrate that the subject drug candidate is safe and effective for its intended use which requires significant research, animal or preclinical trials and human or clinical tests trials. Satisfaction of the regulatory requirements of the FDA, EMA and other countries’ regulatory authorities typically takes many years, depends upon the type, complexity and novelty of the drug candidate and requires substantial resources for research, development and testing. The results of preclinical and clinical trials of our product candidates may fail to demonstrate that the candidates are safe and effective for their intended uses.</w:t>
      </w:r>
    </w:p>
    <w:p>
      <w:pPr>
        <w:spacing w:after="0" w:line="15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Companies in the pharmaceutical and biotechnology industries have suffered significant setbacks in advanced or late-stage clinical trials, even after obtaining promising earlier trial results or in preliminary findings or other comparable authorities for such clinical trials. Further, even if favorable testing data is generated by the clinical trials of a drug candidate, the applicable regulatory authority may not accept or approve a marketing application we file for the drug candidate or may require us to conduct additional clinical testing or perform post-marketing studies which would cause us to incur additional costs.</w:t>
      </w:r>
    </w:p>
    <w:p>
      <w:pPr>
        <w:spacing w:after="0" w:line="16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Failure to obtain approval of the FDA, EMA or comparable foreign authorities of any of our product candidates in a timely manner, if at all, will severely undermine our business, results of operations and financial condition by decreasing our ability to generate product revenues from the sales of such product candidates.</w:t>
      </w:r>
    </w:p>
    <w:p>
      <w:pPr>
        <w:spacing w:after="0" w:line="131"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extensive governmental regulation including the requirements of the FDA and other comparable regulatory authorities before our drug candidates may be marketed.</w:t>
      </w:r>
    </w:p>
    <w:p>
      <w:pPr>
        <w:spacing w:after="0" w:line="11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Both before and after marketing approval of our drug candidates, if at all, we, our drug candidates, our suppliers, our contract manufacturers and our contract testing laboratories are subject to extensive regulation by the FDA and comparable foreign regulatory authorities. Failure to comply with applicable requirements of the FDA or comparable foreign regulatory authorities could result in, among other things, any of the following actions:</w:t>
      </w:r>
    </w:p>
    <w:p>
      <w:pPr>
        <w:spacing w:after="0" w:line="153"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monetary penalties;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w:t>
      </w:r>
    </w:p>
    <w:p>
      <w:pPr>
        <w:spacing w:after="0" w:line="198"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FDA’s or other foreign regulatory authorities’ approving, or the refusal of any regulatory authority to approve, any drug candidate;</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manufacturing or clinical trials;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In addition to the approval requirements, other numerous and pervasive regulatory requirements apply, both before and after approval, to us, our drug candidates, our suppliers, contract manufacturers, and contract testing laboratories. These include requirements related to:</w:t>
      </w:r>
    </w:p>
    <w:p>
      <w:pPr>
        <w:spacing w:after="0" w:line="149"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FDA certain adverse experiences associated with use of the drug candidate;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approvals for certain modifications to the drug candidate or its labeling or claims.</w:t>
      </w:r>
    </w:p>
    <w:p>
      <w:pPr>
        <w:spacing w:after="0" w:line="18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also are subject to inspection by the FDA and comparable foreign regulatory authorities, to determine our compliance with regulatory requirements, as are our suppliers, contract manufacturers, and contract testing laboratories, and there can be no assurance that the FDA, or any other comparable foreign regulatory authority, will not identify compliance issues that may disrupt production or distribution, or require substantial resources to correct. We may be required to make modifications to our manufacturing operations in response to these inspections which may require significant resources and may have a material adverse effect upon our business, results of operations and financial condition.</w:t>
      </w:r>
    </w:p>
    <w:p>
      <w:pPr>
        <w:spacing w:after="0" w:line="147"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The approval process for any drug candidate may also be delayed by changes in government regulation, future legislation or administrative action or changes in policy of the FDA and comparable foreign authorities that occur prior to or during their respective regulatory reviews of such drug candidate.</w:t>
      </w:r>
    </w:p>
    <w:p>
      <w:pPr>
        <w:spacing w:after="0" w:line="14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Delays in obtaining regulatory approvals with respect to any drug candidate will materially and adversely affect our prospects, business, results of operations and financial condition.</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Delays in obtaining regulatory approvals with respect to any drug candidate may:</w:t>
      </w:r>
    </w:p>
    <w:p>
      <w:pPr>
        <w:spacing w:after="0" w:line="185"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such drug candidate;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any regulatory-related milestone payments payable under outstanding collaboration agreements;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perform costly procedures with respect to such drug candidate; or</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diminish any competitive advantages that we may have with respect to such drug candidate.</w:t>
      </w:r>
    </w:p>
    <w:p>
      <w:pPr>
        <w:spacing w:after="0" w:line="19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Delays in the approval process for any drug candidate may have a material adverse effect upon our prospects, business, results of operations and financial condition.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color w:val="auto"/>
        </w:rPr>
        <w:t>Preclinical and clinical trials are very expensive, time-consuming and difficult to design and implement and may result in unforeseen costs, which may have a material adverse effect on our business, results of operations and financial condition.</w:t>
      </w:r>
    </w:p>
    <w:p>
      <w:pPr>
        <w:spacing w:after="0" w:line="14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Preclinical and clinical trials are very expensive and difficult to design and implement, in part because they are subject to rigorous regulatory requirements. Preliminary and initial results from a clinical trial do not necessarily predict final results, and failure can occur at any stage of the trial. We may encounter problems that could cause us to abandon or repeat preclinical studies or clinical trials. The clinical trial process is also time-consuming. Failure or delay in the commencement or completion of our clinical trials may be caused by several factors, including:</w:t>
      </w:r>
    </w:p>
    <w:p>
      <w:pPr>
        <w:spacing w:after="0" w:line="143" w:lineRule="exact"/>
        <w:rPr>
          <w:sz w:val="20"/>
          <w:szCs w:val="20"/>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particularly with respect to trials of rare diseases;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184" w:lineRule="exact"/>
        <w:rPr>
          <w:rFonts w:ascii="Times New Roman" w:cs="Times New Roman" w:eastAsia="Times New Roman" w:hAnsi="Times New Roman"/>
          <w:sz w:val="18"/>
          <w:szCs w:val="18"/>
          <w:color w:val="auto"/>
        </w:rPr>
      </w:pPr>
    </w:p>
    <w:p>
      <w:pPr>
        <w:ind w:left="1040" w:right="73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applicable regulatory bodies over our trial protocols, the interpretation of data from preclinical studies or clinical trials or conduct and control of clinical trials;</w:t>
      </w:r>
    </w:p>
    <w:p>
      <w:pPr>
        <w:spacing w:after="0" w:line="134"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the patient population participating in a clinical trial may not be sufficiently broad or representative to assess efficacy and safety for our target population;</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w:t>
      </w:r>
    </w:p>
    <w:p>
      <w:pPr>
        <w:spacing w:after="0" w:line="184"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and institutional review boards to follow our clinical protocols; and</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funding to finance the clinical trials.</w:t>
      </w:r>
    </w:p>
    <w:p>
      <w:pPr>
        <w:spacing w:after="0" w:line="18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PRX-115 and PRX-119 are still in clinical development and their risk of failure is high. Failure or delay can occur at any time during the preclinical or clinical trial process. Success in preclinical testing and early clinical trials does not ensure that later clinical trials will generate the same results or otherwise provide adequate data to demonstrate the safety and effectiveness of a product candidate. Preclinical tests and phase I and phase II clinical trials are primarily designed to test safety, to study pharmacokinetics and pharmacodynamics and to understand the side effects of product candidates at various doses and regimens. Success in preclinical studies and early clinical trials does not ensure that later large-scale efficacy trials will be successful nor does it predict final results. Our product candidates may fail to show the required safety and effectiveness through clinical trials despite positive results in preclinical studies or having successfully advanced through initial clinical trials.</w:t>
      </w:r>
    </w:p>
    <w:p>
      <w:pPr>
        <w:spacing w:after="0" w:line="14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Any failure or delay in commencement or completion of any clinical trials of our product candidates will have a material adverse effect on our business, results of operations and financial condition. In addition, we, the FDA or other regulatory authorities may suspend any clinical trial at any time if it appears that we are exposing participants in the trial to unacceptable safety or health risks or if the FDA or such other regulatory authorities, as applicable, find deficiencies in our IND submissions or the conduct of the trial. Any suspension of a clinical trial may have a material adverse effect on our business, results of operations and financial condition.</w:t>
      </w:r>
    </w:p>
    <w:p>
      <w:pPr>
        <w:spacing w:after="0" w:line="156"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If the results of our clinical trials do not support our claims relating to a drug candidate, or if serious side effects are identified, the completion of development of such drug candidate may be significantly delayed or we may be forced to abandon development altogether, which will significantly impair our ability to generate product revenues.</w:t>
      </w:r>
    </w:p>
    <w:p>
      <w:pPr>
        <w:spacing w:after="0" w:line="134"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results of our clinical trials with respect to any drug candidate might not support our claims of safety or efficacy, the results of our clinical trials may fail to conclusively show superiority over other commercially available treatments for the same or similar indications, the effects of our drug candidates may not be the desired effects or may include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undesirable side effects or the drug candidates may have other unexpected characteristics. Data obtained from tests are susceptible to varying interpretations which may delay, limit or prevent regulatory approval. The clinical trial process may fail to demonstrate that our drug candidates are safe for humans and effective for indicated uses. In addition, our clinical trials, may involve specific and small patient populations. Results of early clinical trials conducted on a small patient population may not be indicative of future results. Adverse or inconclusive results may cause us to abandon a drug candidate and may delay development of other drug candidates. Any delay in, or termination of, our clinical trials will delay the filing of BLAs and NDAs with the FDA, or other filings with other foreign regulatory authorities, and, ultimately, significantly impair our ability to commercialize our drug candidates and generate product revenues which would have a material adverse effect on our business, results of operations and financial condition.</w:t>
      </w:r>
    </w:p>
    <w:p>
      <w:pPr>
        <w:spacing w:after="0" w:line="157"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color w:val="auto"/>
        </w:rPr>
        <w:t>Interim, top-line or preliminary data from clinical trials that we announce or publish may change as more patient data becomes available and are subject to audit and verification procedures that could result in material changes in the final data.</w:t>
      </w:r>
    </w:p>
    <w:p>
      <w:pPr>
        <w:spacing w:after="0" w:line="134"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may publicly disclose interim, top-line or preliminary data from our clinical trials, which is based on a preliminary analysis of then-available data. The results and related findings and conclusions are subject to change following a full analysis of all data related to the particular trial. We also may make assumptions, estimations, calculations and conclusions as part of our analyses of data, and we may not have received or had the opportunity to fully and carefully evaluate all data. As a result, any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than the preliminary data we previously published. As a result, any top-line data should be viewed with caution until final data are available. Interim data from clinical trials that we may complete are subject to the risk that one or more of the clinical outcomes may materially change as patient enrollment continues and more data becomes available. Further, regulatory agencies may not accept or agree with our assumptions, estimates, calculations, conclusions or analyses, or may interpret or ascribe different weight to the data, which may impact the value of the clinical trial and may affect the particular clinical program and the approvability or commercialization of the particular product candidate and our business in general. If regulatory authorities disagree with the conclusions we reach, we may not be able to obtain approval for and commercialize our product candidates, which will have a material adverse effect on our business, results of operations and financial condition.</w:t>
      </w:r>
    </w:p>
    <w:p>
      <w:pPr>
        <w:spacing w:after="0" w:line="150"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color w:val="auto"/>
        </w:rPr>
        <w:t>We may find it difficult to enroll patients in our clinical trials, or patients may discontinue their participation in our clinical trials, which could cause significant delays in the completion of such trials or may negatively impact the results of these studies and extend the timeline for completion of our development programs or cause us to abandon one or more clinical trials.</w:t>
      </w:r>
    </w:p>
    <w:p>
      <w:pPr>
        <w:spacing w:after="0" w:line="15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Some of the diseases or disorders that our drug candidates under evaluation are intended to treat are relatively rare and we expect only a subset of the patients with these diseases to be eligible for our clinical trials. Our clinical trials generally mandate that a patient cannot be involved in another clinical trial for the same indication. Therefore, subjects that participate in ongoing clinical trials for products that are competitive with our drug candidates are not available for our clinical trials. An inability to enroll a sufficient number of patients for any of our clinical trials would result in significant delays or may require us to abandon one or more clinical trials altogether. In addition, patients who enroll in our clinical trials may discontinue their participation at any time during the study as a result of a number of factors, related to the trials or not, including withdrawing their consent, experiencing adverse clinical events, which may or may not be judged related to our drug candidates, or due to personal reasons, such as planned or actual pregnancies. The discontinuation of patients in any one of our studies may delay the completion of the study or cause the results from the study not to be positive or to not support a filing for regulatory approval of the applicable drug candidate. Any failure to enroll a sufficient number of patients in our clinical trials in a timely manner, if at all, may have a material adverse effect on our business, results of operations and financial condition.</w:t>
      </w:r>
    </w:p>
    <w:p>
      <w:pPr>
        <w:spacing w:after="0" w:line="14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regulatory approval in one jurisdiction may have a negative effect on the regulatory approval process in others. For example, even if the FDA grants marketing approval of a product candidate, comparable regulatory authorities in foreign jurisdictions must also approve the regulatory submission, preclinical studies, clinical trials,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drugs is also subject to approval.</w:t>
      </w:r>
    </w:p>
    <w:p>
      <w:pPr>
        <w:spacing w:after="0" w:line="161" w:lineRule="exact"/>
        <w:rPr>
          <w:sz w:val="20"/>
          <w:szCs w:val="20"/>
          <w:color w:val="auto"/>
        </w:rPr>
      </w:pPr>
    </w:p>
    <w:p>
      <w:pPr>
        <w:ind w:left="60" w:right="219"/>
        <w:spacing w:after="0" w:line="277" w:lineRule="auto"/>
        <w:rPr>
          <w:sz w:val="20"/>
          <w:szCs w:val="20"/>
          <w:color w:val="auto"/>
        </w:rPr>
      </w:pPr>
      <w:r>
        <w:rPr>
          <w:rFonts w:ascii="Times New Roman" w:cs="Times New Roman" w:eastAsia="Times New Roman" w:hAnsi="Times New Roman"/>
          <w:sz w:val="17"/>
          <w:szCs w:val="17"/>
          <w:color w:val="auto"/>
        </w:rPr>
        <w:t>Obtaining foreign regulatory approvals and compliance with foreign regulatory requirements could result in significant delays, difficulties and costs for us and could delay or prevent the introduction of our drugs in certain countries. If we fail to comply with the regulatory requirements in international markets and/or receive applicable marketing approvals, our target market will be reduced and our ability to realize the full market potential of our product candidates will be harmed, which may have a material adverse effect on our prospects, business, results of operations and financial condition.</w:t>
      </w:r>
    </w:p>
    <w:p>
      <w:pPr>
        <w:spacing w:after="0" w:line="123"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Our clinical trials depend upon third-party service providers and, accordingly, the results of our clinical trials and such research activities are subject to delays and other risks which are, to a certain extent, beyond our control, which could impair our clinical development programs and our competitive position.</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depend upon independent investigators and collaborators, such as universities and medical institutions, to conduct our preclinical and clinical trials. These collaborators are not our employees, and we cannot control the amount or timing of resources that they devote to our clinical development programs. The investigators may not prioritize to our clinical development programs or pursue them as diligently as we would if we were undertaking such programs directly. If outside collaborators fail to devote sufficient time and resources to our clinical development programs, or if their performance is substandard, the approval of anticipated NDAs, BLAs and other marketing applications, and our introduction of new drugs, if any, may be delayed which could impair our clinical development programs and would have a material adverse effect on our business, results of operations and financial condition. Our collaborators may also have relationships with other commercial entities, some of whom may compete with us. If our collaborators also assist our competitors, our competitive position could be harmed.</w:t>
      </w:r>
    </w:p>
    <w:p>
      <w:pPr>
        <w:spacing w:after="0" w:line="163" w:lineRule="exact"/>
        <w:rPr>
          <w:sz w:val="20"/>
          <w:szCs w:val="20"/>
          <w:color w:val="auto"/>
        </w:rPr>
      </w:pPr>
    </w:p>
    <w:p>
      <w:pPr>
        <w:ind w:left="60" w:right="259"/>
        <w:spacing w:after="0" w:line="317" w:lineRule="auto"/>
        <w:rPr>
          <w:sz w:val="20"/>
          <w:szCs w:val="20"/>
          <w:color w:val="auto"/>
        </w:rPr>
      </w:pPr>
      <w:r>
        <w:rPr>
          <w:rFonts w:ascii="Times New Roman" w:cs="Times New Roman" w:eastAsia="Times New Roman" w:hAnsi="Times New Roman"/>
          <w:sz w:val="17"/>
          <w:szCs w:val="17"/>
          <w:b w:val="1"/>
          <w:bCs w:val="1"/>
          <w:color w:val="auto"/>
        </w:rPr>
        <w:t>We have only limited experience in regulatory affairs, and some of our drug candidates may be based on new technologies. These factors may affect our ability or the time we require to obtain necessary regulatory approvals.</w:t>
      </w:r>
    </w:p>
    <w:p>
      <w:pPr>
        <w:spacing w:after="0" w:line="9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have only limited experience in filing and prosecuting the applications necessary to gain regulatory approvals for medical devices and drug candidates. Moreover, some of the drug candidates that are likely to result from our development programs may be based on new technologies that have not been extensively tested in humans. The regulatory requirements governing these types of drug candidates may not be well defined or more rigorous than for conventional products. As a result, we may experience a longer regulatory process in obtaining regulatory approvals of any products that we develop, which may have a material adverse effect on our business, results of operations and financial condition.</w:t>
      </w:r>
    </w:p>
    <w:p>
      <w:pPr>
        <w:spacing w:after="0" w:line="143"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48"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 may seek orphan drug or other comparable designations for our product candidates in specific indications in which there is a medically plausible basis for the use of these products. Even if we obtain orphan drug designation, exclusive marketing rights in the United States or other applicable jurisdictions may be limited if we seek approval for an indication broader than the orphan designated indication, and may be lost if the FDA, or other applicable regulatory authorities later determine that the request for designation was materially defective, if we are unable to assure sufficient quantities of the product to meet the needs of patients with the rare disease or condition, or if a subsequent applicant demonstrates clinical superiority over our products, if approved. In addition, more than one drug can have orphan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designation for the same indication. Although we may seek orphan drug designation for other product candidates, we might not receive such designations.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8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meet the continued market capitalization-based listing requirement or other continued listing requirements of the NYSE American.</w:t>
      </w:r>
    </w:p>
    <w:p>
      <w:pPr>
        <w:spacing w:after="0" w:line="11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stock market in general, and the market for pharmaceutical companies in particular, have experienced extreme price and volume fluctuations that may have been unrelated or disproportionate to the operating performance of the listed companies. The trading price of our common stock has been volatile and has been subject to wide price fluctuations in response to various factors, many of which are beyond our control. The volatility of our stock price has from time to time in recent periods affected our market capitalization. Adverse fluctuations in the price per share of our common stock or our market capitalization may result in our failure to meet the continued listing requirements of the NYSE American, which would require us to take steps to gain compliance with alternate listing standards or take remedial steps to bring us into compliance. A failure to maintain or regain compliance with applicable listing standards could adversely affect the liquidity of our common stock and could result in an event of default under the 2024 Indenture, which would have a material adverse effect on our business, results of operations and financial condition.</w:t>
      </w:r>
    </w:p>
    <w:p>
      <w:pPr>
        <w:spacing w:after="0" w:line="16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capital to operate our business, which may not be available on favorable terms, or at all, and which will have a dilutive effect on our stockholders.</w:t>
      </w:r>
    </w:p>
    <w:p>
      <w:pPr>
        <w:spacing w:after="0" w:line="11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2023 and 2024, we had net incomes of $8.3 million and $2.9 million, respectively. However, prior to such periods, as we were focused on the development of Elelyso and then Elfabrio, we generally have completed our fiscal years with a net loss. For example, we had a net loss of $14.9 million for the year ended December 31, 2022. Our net losses were primarily the result of expenses incurred through a combination of research and development activities and expenses supporting those activities, which includes share-based compensation expense. We may incur losses in future fiscal years as we continue to execute on our strategic goals as drug development and commercialization is very capital intensive. We expect to continue to incur significant operating expenditures, and we anticipate that our expenses will increase in the foreseeable future as we seek to in-license additional technologies, continue to undertake preclinical development and clinical trials for our current and new drug candidates and seek regulatory approvals for our drug candidates. In addition, changes may occur that could consume our existing capital at a faster rate than projected, including, among others, the cost and timing of regulatory approvals, changes in the progress of our research and development efforts and the costs of protecting our intellectual property rights.</w:t>
      </w:r>
    </w:p>
    <w:p>
      <w:pPr>
        <w:spacing w:after="0" w:line="14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Currently, our sources of potential revenues are royalties and commercial milestone payments generated from Pfizer, Fiocruz and Chiesi. We have also generated revenues from research and development services and milestone and other payments we received in connection with our agreements with our commercialization partners, and generated capital from equity and debt offerings and other sources. The revenues we generate from royalties and commercial milestone payments and other sources may not be sufficient to fund our planned operations and capital expenditures. Accordingly, we may need to finance our future cash needs through corporate collaboration, licensing or similar arrangements, public or private equity offerings or debt financings. If we are unable to secure additional financing in the future on acceptable terms, or at all, we may be unable to expand our portfolio of product candidates, commence or complete planned preclinical and clinical trials or obtain approval of our drug candidates from the FDA and other regulatory authorities. In addition, we may be forced to reduce or discontinue product development or product licensing, reduce or forego sales and marketing efforts and other commercialization activities or forego attractive business opportunities in order to improve our liquidity and to enable us to continue operations which would have a material adverse effect on our business and results of operations. Furthermore, any additional source of financing will likely involve the issuance of our equity securities, which will have a dilutive effect on our stockholders.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9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adequately protect or enforce our intellectual property rights or secure rights to third party patents, the value of our intellectual property rights would diminish and our business, competitive position and results of operations would suffer.</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of December 31, 2024, we had approximately 50 pending patent applications. However, the filing of a patent application does not mean that we will be issued a patent, or that any patent eventually issued will be as broad as requested in the patent application or sufficient to protect our technology. Any modification required to a current patent application may delay the approval of such patent application which may have a material adverse effect on our business, results of operations and financial condition. In addition, there are a number of factors that could cause our patents, if granted, to become invalid or unenforceable or that could cause our patent applications to not be granted, including known or unknown prior art, deficiencies in the patent application or the lack of originality of the technology. Our competitive position and future revenues will depend in part on our ability and the ability of our licensors and collaborators to obtain and maintain patent protection for our products, methods, processes and other technologies, to preserve our trade secrets, to prevent third parties from infringing on our proprietary rights and to operate without infringing the proprietary rights of third parties. We have filed U.S. and international patent applications for process patents, as well as composition of matter patents, for Elfabrio, Elelyso and our product candidates. However, we cannot predict:</w:t>
      </w:r>
    </w:p>
    <w:p>
      <w:pPr>
        <w:spacing w:after="0" w:line="149" w:lineRule="exact"/>
        <w:rPr>
          <w:sz w:val="20"/>
          <w:szCs w:val="20"/>
          <w:color w:val="auto"/>
        </w:rPr>
      </w:pPr>
    </w:p>
    <w:p>
      <w:pPr>
        <w:ind w:left="1040" w:right="79" w:hanging="315"/>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us against competitors and those who infringe upon our patents, including whether third parties will find ways to invalidate or otherwise circumvent our licensed patents;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184"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licensed patents and patent applications; or</w:t>
      </w:r>
    </w:p>
    <w:p>
      <w:pPr>
        <w:spacing w:after="0" w:line="12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which may be costly, whether we win or lose.</w:t>
      </w:r>
    </w:p>
    <w:p>
      <w:pPr>
        <w:spacing w:after="0" w:line="135"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2024, we held, or had license rights to, approximately 75 patents. If patent rights covering our products or technologies are not sufficiently broad, they may not provide us with sufficient proprietary protection or competitive advantages against competitors with similar products and technologies. Furthermore, if the USPTO or foreign patent offices issue patents to us or our licensors, others may challenge the patents or circumvent the patents, or the patent office or the courts may invalidate the patents. Thus, any patents we own or license from or to third parties may not provide any protection against our competitors and those who infringe upon our patents.</w:t>
      </w:r>
    </w:p>
    <w:p>
      <w:pPr>
        <w:spacing w:after="0" w:line="147"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Furthermore, the life of our patents is limited. The patents we hold, and the patents that may be issued in the future based on patent applications from the patent families, relating to our ProCellEx protein expression system are expected to expire by 2025.</w:t>
      </w:r>
    </w:p>
    <w:p>
      <w:pPr>
        <w:spacing w:after="0" w:line="131"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We rely on confidentiality agreements that could be breached and may be difficult to enforce which could have a material adverse effect on our business and competitive position.</w:t>
      </w:r>
    </w:p>
    <w:p>
      <w:pPr>
        <w:spacing w:after="0" w:line="13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policy is to enter agreements relating to the non-disclosure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to protect in part by confidentiality agreements with our employees, contractors, consultants, advisors and others. Despite the protective measures we employ, we still face the risk that:</w:t>
      </w:r>
    </w:p>
    <w:p>
      <w:pPr>
        <w:spacing w:after="0" w:line="135"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be breached;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not provide adequate remedies for the applicable type of breach; or</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 secrets or proprietary know-how will otherwise become known.</w:t>
      </w:r>
    </w:p>
    <w:p>
      <w:pPr>
        <w:spacing w:after="0" w:line="19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Any breach of our confidentiality agreements or our failure to effectively enforce such agreements may have a material adverse effect on our business and competitive position.</w:t>
      </w:r>
    </w:p>
    <w:p>
      <w:pPr>
        <w:spacing w:after="0" w:line="117"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If we infringe the rights of third parties we could be prevented from selling products, forced to pay damages and required to defend against litigation which could result in substantial costs and may have a material adverse effect on our business, results of operations and financial condition.</w:t>
      </w:r>
    </w:p>
    <w:p>
      <w:pPr>
        <w:spacing w:after="0" w:line="134"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We have not received to date any claims of infringement by any third parties. However, as our drug candidates progress into clinical trials and commercialization, if at all, our public profile and that of our drug candidates may be raised and generate such claims. Defending against such claims, and occurrence of a judgment adverse to us, could result in unanticipated costs and may have a material adverse effect on our business and competitive position. If our products, methods, processes and other technologies infringe the proprietary rights of other parties, we may incur substantial costs and we may have to:</w:t>
      </w:r>
    </w:p>
    <w:p>
      <w:pPr>
        <w:spacing w:after="0" w:line="160"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which may not be available on commercially reasonable terms, if at all;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or processes to avoid infringement;</w:t>
      </w:r>
    </w:p>
    <w:p>
      <w:pPr>
        <w:spacing w:after="0" w:line="184"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the patents held by others, which could cause us to lose the use of one or more of our drug candidates;</w:t>
      </w:r>
    </w:p>
    <w:p>
      <w:pPr>
        <w:spacing w:after="0" w:line="13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litigation or administrative proceedings that may be costly whether we win or lose, and which could result in a substantial diversion of management resources; or</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185"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Any costs incurred in connection with such events or the inability to sell our products may have a material adverse effect on our business, results of operations and financial condition.</w:t>
      </w:r>
    </w:p>
    <w:p>
      <w:pPr>
        <w:spacing w:after="0" w:line="131"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meet requirements under our license agreements, we could lose the rights to our products, which could have a material adverse effect on our business.</w:t>
      </w:r>
    </w:p>
    <w:p>
      <w:pPr>
        <w:spacing w:after="0" w:line="118" w:lineRule="exact"/>
        <w:rPr>
          <w:sz w:val="20"/>
          <w:szCs w:val="20"/>
          <w:color w:val="auto"/>
        </w:rPr>
      </w:pPr>
    </w:p>
    <w:p>
      <w:pPr>
        <w:jc w:val="both"/>
        <w:ind w:left="60" w:right="179"/>
        <w:spacing w:after="0" w:line="258" w:lineRule="auto"/>
        <w:rPr>
          <w:sz w:val="20"/>
          <w:szCs w:val="20"/>
          <w:color w:val="auto"/>
        </w:rPr>
      </w:pPr>
      <w:r>
        <w:rPr>
          <w:rFonts w:ascii="Times New Roman" w:cs="Times New Roman" w:eastAsia="Times New Roman" w:hAnsi="Times New Roman"/>
          <w:sz w:val="18"/>
          <w:szCs w:val="18"/>
          <w:color w:val="auto"/>
        </w:rPr>
        <w:t>We depend on licensing agreements with third parties to maintain the intellectual property rights to certain of our product candidates. Our license agreements require us to make payments and satisfy performance obligations in order to maintain our rights under these agreements. All of these agreements last either throughout the life of the patents that are the subject of the agreements, or with respect to other licensed technology, for a number of years after the first commercial sale of the relevant product.</w:t>
      </w:r>
    </w:p>
    <w:p>
      <w:pPr>
        <w:spacing w:after="0" w:line="14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addition, we are responsible for the cost of filing and prosecuting certain patent applications and maintaining certain issued patents licensed to us. If we do not meet our obligations under our license agreements in a timely manner, we could lose the rights to our proprietary technology which could have a material adverse effect on our business, results of operations and financial condition.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Israel</w:t>
      </w:r>
    </w:p>
    <w:p>
      <w:pPr>
        <w:spacing w:after="0" w:line="198"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Significant parts of our operations are located in Israel and, therefore, our results may be adversely affected by political, economic and military conditions in Israel.</w:t>
      </w:r>
    </w:p>
    <w:p>
      <w:pPr>
        <w:spacing w:after="0" w:line="118"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executive office and operations are located in the State of Israel. Accordingly, economic, geopolitical and military conditions in Israel and the surrounding region could directly affect our business. Any armed conflicts, political instability, terrorism, cyberattacks or any other hostilities involving Israel or the interruption or curtailment of trade between Israel and its present trading partners could adversely affect our operations. Since the establishment of Israel in 1948, a number of armed conflicts have occurred between Israel and its Arab neighbors, Hamas and Hezbollah. In October 2023, terrorists from the Hamas organization infiltrated Israel’s southern border from the Gaza Strip and in other areas within the State of Israel attacking a number of civilian and military targets while simultaneously launching extensive rocket attacks on the Israeli population and industrial centers. At the same time, clashes between Israel and Hezbollah in Lebanon increased. In response, Israel’s security cabinet declared war against the Hamas and a military campaign against these terrorist organizations commenced in parallel to their continued rocket and terror attacks. Moreover, the attacks by Hamas and Hezbollah, and Israel’s defensive measures, may result in a greater regional conflict. Since the outbreak of the war, other regional actors, including Iran, have taken military action against Israel. During January 2025, a ceasefire with Hamas was declared. As of the date of this Annual Report on Form 10-K, the war is ongoing and continues to evolve. The attacks by Hamas and Hezbollah, and Israel’s defensive measures, as well as actions that could be taken in the future by NATO, the United States, the United Kingdom the European Union or Israel’s neighboring states and other countries have created global security concerns that may result in a greater or lasting regional conflict. It is currently not possible to predict the duration or severity of the ongoing conflict or its effects on our business, operations and financial conditions.</w:t>
      </w:r>
    </w:p>
    <w:p>
      <w:pPr>
        <w:spacing w:after="0" w:line="15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facilities are in range of certain of the rockets that are being fired from Lebanon and elsewhere. We suffered minimal damages during a rocket attack in 2006. As of the issuance of this Annual Report on Form 10-K, the impact of the war has not had an adverse effect on our operations. To mitigate the risk of loss due to the military operations, we have elected to store manufactured drug substance in multiple locations, both within and outside of Israel. Our insurance policies do not cover damages incurred in connection with these conflicts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Any damage to our facilities as a result of war or other hostile action may have a material adverse effect on our business, results of operations and financial condition.</w:t>
      </w:r>
    </w:p>
    <w:p>
      <w:pPr>
        <w:spacing w:after="0" w:line="16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Ongoing and revived hostilities or other Israeli political or economic factors, could prevent or delay shipments of our products, harm our operations and product development and cause any future sales to decrease. If hostilities disrupt the ongoing operation of our facilities or the airports and seaports on which we depend to import and export our supplies, materials, drug substance and other products, our business, results of operations and financial condition may be materially and adversely affected.</w:t>
      </w:r>
    </w:p>
    <w:p>
      <w:pPr>
        <w:spacing w:after="0" w:line="14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Parties with whom we do business may sometimes decline to travel to Israel during periods of heightened unrest or tension, forcing us to make alternative arrangements when necessary to meet our business partners face to face. Further, shifting economic and political conditions in the United States and in other countries may result in changes in how the United States and other countries conduct business and other relations with Israel, which may have an adverse impact on our Israeli operations and a material adverse impact on our business. In addition, several countries, principally in the Middle East, restrict doing business with Israel, and additional countries may impose restrictions on doing business with Israel and Israeli companies whether as a result of hostilities in the region or otherwise. Moreover, there have been increased efforts by organizations and movements to cause companies and consumers to boycott Israeli goods.</w:t>
      </w:r>
    </w:p>
    <w:p>
      <w:pPr>
        <w:spacing w:after="0" w:line="147"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may be disrupted by the obligations of our personnel to perform military service which could have a material adverse effect on our business.</w:t>
      </w:r>
    </w:p>
    <w:p>
      <w:pPr>
        <w:spacing w:after="0" w:line="132"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Many of our male employees in Israel, including members of senior management, are obligated to perform up to one month (in some cases more) of annual military reserve duty until they reach the age of 45 and, in the event of a military conflict, could be called to active duty. To date, we have not suffered any disruptions to our operations from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absence of employees in connection with the current military action. However, we continue to face the risk that our operations could be disrupted by the absence of a significant number of our employees related to military service or the absence for extended periods of military service of one or more of our key employees. Any such disruption may have a material adverse effect on our business, results of operations and financial condition.</w:t>
      </w:r>
    </w:p>
    <w:p>
      <w:pPr>
        <w:spacing w:after="0" w:line="149"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A certain portion of our expenses is incurred in New Israeli Shekels and, accordingly, our results of operations may be seriously harmed by currency fluctuations and inflation.</w:t>
      </w:r>
    </w:p>
    <w:p>
      <w:pPr>
        <w:spacing w:after="0" w:line="11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report our financial statements in U.S. dollars, our functional currency. Although most of our expenses are incurred in U.S. dollars, we pay a portion of our expenses in New Israeli Shekels, or NIS, and as a result, we are exposed to risk to the extent that the inflation rate in Israel exceeds the rate of devaluation of the NIS in relation to the U.S. dollar or if the timing of these devaluations lags behind inflation in Israel. In that event, the U.S. dollar cost of our operations in Israel will increase and our U.S. dollar-measured results of operations will be adversely affected. To the extent that the value of the NIS increases against the U.S. dollar, our expenses on a dollar cost basis increase. Our operations also could be adversely affected if we are unable to guard against currency fluctuations in the future. 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w:t>
      </w:r>
    </w:p>
    <w:p>
      <w:pPr>
        <w:spacing w:after="0" w:line="150"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The tax benefits available to us require that we meet several conditions and may be terminated or reduced in the future, which would increase our taxes.</w:t>
      </w:r>
    </w:p>
    <w:p>
      <w:pPr>
        <w:spacing w:after="0" w:line="13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are able to take advantage of tax exemptions and reductions resulting from the “Approved Enterprise” status of our facilities in Israel. To remain eligible for these tax benefits, we must continue to meet certain conditions, including making specified investments in property and equipment, and financing at least 30% of such investments with share capital. If we fail to meet these conditions in the future, the tax benefits would be canceled and we may be required to refund any tax benefits we already have enjoyed. These tax benefits are subject to investment policy by the Investment Center and may not be continued in the future at their current levels or at any level. In recent years the Israeli government has reduced the benefits available and has indicated that it may further reduce or eliminate some of these benefits in the future. The termination or reduction of these tax benefits or our inability to qualify for additional “Approved Enterprise” approvals may increase our tax expenses in the future, which would reduce our expected profits and adversely affect our business and results of operations. Additionally, if we increase our activities outside of Israel, for example, by future acquisitions, such increased activities generally may not be eligible for inclusion in Israeli tax benefit programs.</w:t>
      </w:r>
    </w:p>
    <w:p>
      <w:pPr>
        <w:spacing w:after="0" w:line="14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7"/>
          <w:szCs w:val="17"/>
          <w:b w:val="1"/>
          <w:bCs w:val="1"/>
          <w:color w:val="auto"/>
        </w:rPr>
        <w:t>The Israeli government grants we have received for certain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which could have a material adverse effect on our business and results of operations.</w:t>
      </w:r>
    </w:p>
    <w:p>
      <w:pPr>
        <w:spacing w:after="0" w:line="12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the past, our research and development efforts have been financed, in part, through grants that we have received from NATI. We, therefore, must comply with the requirements of the Research Law. Under the Research Law we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We may not receive the required approvals for any proposed transfer of manufacturing activities. Even if we do receive approval to manufacture products developed with government grants outside of Israel, we may be required to pay an increased total amount of royalties (possibly up to 600% of the grant amounts plus interest), depending on the manufacturing volume that is performed outside of Israel, as well as a possibly increased royalty rate. This restriction may impair our ability to outsource manufacturing or engage in similar arrangements for those products or technologies.</w:t>
      </w:r>
    </w:p>
    <w:p>
      <w:pPr>
        <w:spacing w:after="0" w:line="16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 proposed transfer and, if received, Protalix Ltd. may be required to pay NATI a portion of the consideration that it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receives upon any sale of such technology by a non-Israeli entity. The scope of the support received, the royalties that Protalix Ltd. has already paid to NATI, the amount of time that has elapsed between the date on which the know-how was transferred and the date on which NATI grants were received and the sale price and the form of transaction will be taken into account in order to calculate the amount of the payment to NATI.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w:t>
      </w:r>
    </w:p>
    <w:p>
      <w:pPr>
        <w:spacing w:after="0" w:line="16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These restrictions may impair our ability to sell our technology assets or to outsource manufacturing outside of Israel. The restrictions will continue to apply for a certain period of time even after we have repaid the full amount of royalties payable for the grants. If we fail to satisfy the conditions of the Research Law, we may be required to refund certain grants previously received together with interest and penalties, and may become subject to criminal charges, any of which could have a material adverse effect on our business, results of operations and financial condition.</w:t>
      </w:r>
    </w:p>
    <w:p>
      <w:pPr>
        <w:spacing w:after="0" w:line="13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color w:val="auto"/>
        </w:rPr>
        <w:t>Investors may have difficulties enforcing a U.S. judgment, including judgments based upon the civil liability provisions of the U.S. federal securities laws against us, our executive officers and most of our directors or asserting U.S. securities laws claims in Israel.</w:t>
      </w:r>
    </w:p>
    <w:p>
      <w:pPr>
        <w:spacing w:after="0" w:line="13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 majority of our directors and all of our executive officers are residents of Israel, and accordingly, most of their assets and our assets are located outside the United States. Service of process upon us or our non-U.S. resident directors and officers and enforcement of judgments obtained in the United States against us or our non-U.S. resident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resident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resident officers and directors.</w:t>
      </w:r>
    </w:p>
    <w:p>
      <w:pPr>
        <w:spacing w:after="0" w:line="16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Moreover, among other reasons, including but not limited to, fraud or absence of due process, or the existence of a judgment which is at variance with another judgment that was given in the same matter if a suit in the same matter between the same parties was pending before a court or tribunal in Israel, an Israeli court will not enforce a non-Israeli judgment if it was given in a state whose laws do not provide for the enforcement of judgments of Israeli courts (subject to exceptional cases) or if its enforcement is likely to prejudice the sovereignty or security of the State of Israel.</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Investing in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fluctuate significantly.</w:t>
      </w:r>
    </w:p>
    <w:p>
      <w:pPr>
        <w:spacing w:after="0" w:line="20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volatility. The securities of life sciences companies often experience significant volatility in connection with clinical trial and regulatory announcements.</w:t>
      </w:r>
    </w:p>
    <w:p>
      <w:pPr>
        <w:spacing w:after="0" w:line="121"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anticipate that the market price of our common stock is likely to continue to fluctuate significantly in response to numerous factors, some of which are beyond our control, such as:</w:t>
      </w:r>
    </w:p>
    <w:p>
      <w:pPr>
        <w:spacing w:after="0" w:line="121"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Elfabrio by Chiesi;</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BioManguinhos alfataliglicerase in Brazil;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the studies of our product candidates under development;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intellectual property rights and regulatory approvals;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and</w:t>
      </w:r>
    </w:p>
    <w:p>
      <w:pPr>
        <w:spacing w:after="0" w:line="198"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such as the Israel-Hamas war.</w:t>
      </w:r>
    </w:p>
    <w:p>
      <w:pPr>
        <w:spacing w:after="0" w:line="12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Continued market fluctuations could result in extreme volatility in the price of our common stock, which could cause a decline in the value of our common stock. Price volatility of our common stock may be worse when the trading volume of our common stock is low. We have not paid, and do not expect to pay, any cash dividends on our common stock as any earnings generated from future operations will be used to finance our operations. As a result, investors will not realize any income from an investment in our common stock until and unless their shares are sold at a profit.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sales of our common stock could reduce our stock price.</w:t>
      </w:r>
    </w:p>
    <w:p>
      <w:pPr>
        <w:spacing w:after="0" w:line="20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If our stockholders sell substantial amounts of our common stock or if we sell a substantial amount of our common stock in any public or private offering, the market price of our common stock could decrease significantly. The perception in the public market that our existing stockholders might sell shares of common stock may also depress the trading price of our common stock.</w:t>
      </w:r>
    </w:p>
    <w:p>
      <w:pPr>
        <w:spacing w:after="0" w:line="139" w:lineRule="exact"/>
        <w:rPr>
          <w:sz w:val="20"/>
          <w:szCs w:val="20"/>
          <w:color w:val="auto"/>
        </w:rPr>
      </w:pPr>
    </w:p>
    <w:p>
      <w:pPr>
        <w:ind w:left="60" w:right="179"/>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 substantial majority of our outstanding shares of our common stock are freely tradable without restriction or further registration under the federal securities laws. In addition, we may sell additional shares of our common stock in the future to raise capital. At December 31, 2024, there were outstanding options to purchase common stock issued covering approximately 7.4 million shares of our common stock with a weighted average exercise price of $1.98 per share. Also at December 31, 2024, there were 4,139,412 shares of common stock available for future for issuance in connection with </w:t>
      </w:r>
      <w:hyperlink r:id="rId83">
        <w:r>
          <w:rPr>
            <w:rFonts w:ascii="Times New Roman" w:cs="Times New Roman" w:eastAsia="Times New Roman" w:hAnsi="Times New Roman"/>
            <w:sz w:val="18"/>
            <w:szCs w:val="18"/>
            <w:color w:val="auto"/>
          </w:rPr>
          <w:t xml:space="preserve">future grants of incentives under our </w:t>
        </w:r>
        <w:r>
          <w:rPr>
            <w:rFonts w:ascii="Times New Roman" w:cs="Times New Roman" w:eastAsia="Times New Roman" w:hAnsi="Times New Roman"/>
            <w:sz w:val="18"/>
            <w:szCs w:val="18"/>
            <w:u w:val="single" w:color="auto"/>
            <w:color w:val="0000EE"/>
          </w:rPr>
          <w:t>Amended and Restated Protalix BioTherapeutics, Inc. 2006 Stock Incentive Plan, as</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EE"/>
          </w:rPr>
          <w:t>amended</w:t>
        </w:r>
        <w:r>
          <w:rPr>
            <w:rFonts w:ascii="Times New Roman" w:cs="Times New Roman" w:eastAsia="Times New Roman" w:hAnsi="Times New Roman"/>
            <w:sz w:val="18"/>
            <w:szCs w:val="18"/>
            <w:color w:val="000000"/>
          </w:rPr>
          <w:t>. The issuance and sale of substantial amounts of common stock, or the perception that such issuances and sales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may occur, could adversely affect the market price of our common stock and impair our ability to raise capital through the sale of additional equity securities.</w:t>
      </w:r>
    </w:p>
    <w:p>
      <w:pPr>
        <w:spacing w:after="0" w:line="144" w:lineRule="exact"/>
        <w:rPr>
          <w:sz w:val="20"/>
          <w:szCs w:val="20"/>
          <w:color w:val="auto"/>
        </w:rPr>
      </w:pPr>
    </w:p>
    <w:p>
      <w:pPr>
        <w:jc w:val="both"/>
        <w:ind w:left="60" w:right="99"/>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analysts stop publishing research or reports about us or our business or if they downgrade our common stock, the market price of our common stock could decline.</w:t>
      </w:r>
    </w:p>
    <w:p>
      <w:pPr>
        <w:spacing w:after="0" w:line="132"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7"/>
          <w:szCs w:val="17"/>
          <w:color w:val="auto"/>
        </w:rPr>
        <w:t>The market for our common stock relies in part on the research and reports that industry or financial analysts publish about us or our business. We do not control these analysts. If any analyst who covers us downgrades our stock or lowers its future stock price targets or estimates of our operating results, the market price for our common stock could decline rapidly.</w:t>
      </w:r>
    </w:p>
    <w:p>
      <w:pPr>
        <w:spacing w:after="0" w:line="2" w:lineRule="exact"/>
        <w:rPr>
          <w:sz w:val="20"/>
          <w:szCs w:val="20"/>
          <w:color w:val="auto"/>
        </w:rPr>
      </w:pPr>
    </w:p>
    <w:p>
      <w:pPr>
        <w:ind w:left="60" w:right="159"/>
        <w:spacing w:after="0" w:line="260" w:lineRule="auto"/>
        <w:rPr>
          <w:sz w:val="20"/>
          <w:szCs w:val="20"/>
          <w:color w:val="auto"/>
        </w:rPr>
      </w:pPr>
      <w:r>
        <w:rPr>
          <w:rFonts w:ascii="Times New Roman" w:cs="Times New Roman" w:eastAsia="Times New Roman" w:hAnsi="Times New Roman"/>
          <w:sz w:val="18"/>
          <w:szCs w:val="18"/>
          <w:color w:val="auto"/>
        </w:rPr>
        <w:t>Furthermore, if any analyst ceases to cover us, we could lose visibility in the market, which in turn could cause the market price of our common stock to decline.</w:t>
      </w:r>
    </w:p>
    <w:p>
      <w:pPr>
        <w:spacing w:after="0" w:line="137"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color w:val="auto"/>
        </w:rPr>
        <w:t>Compliance with changing regulation of corporate governance and public disclosure may result in additional expenses, divert management’s attention from operating our business which could have a material adverse effect on our business.</w:t>
      </w:r>
    </w:p>
    <w:p>
      <w:pPr>
        <w:spacing w:after="0" w:line="134"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laws, rules, regulations and standards including the rules promulgated by the national securities exchanges, including the NYSE American, to which we are subject are changed and/or amended from time to time. New or changed laws, rules,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As a result, our efforts to comply with evolving laws, rules, regulations and standards are likely to continue to result in increased general and administrative expenses and a diversion of management time and attention from revenue-generating activities to compliance activities. Members of our Board of Directors and our executive officers, could face an increased risk of personal liability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connection with the performance of their duties. As a result, we may have difficulty attracting and retaining qualified directors and executive officers, which could have a material adverse effect on our business. If our efforts to comply with new or changed laws, regulations and standards differ from the activities intended by regulatory or governing bodies, we may incur additional expenses to comply with standards set by regulatory authorities or governing bodies which may have a material adverse effect on our business, results of operations and financial condition.</w:t>
      </w:r>
    </w:p>
    <w:p>
      <w:pPr>
        <w:spacing w:after="0" w:line="152"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color w:val="auto"/>
        </w:rPr>
        <w:t>Delaware law and our organizational documents contain certain provisions, including anti-takeover provisions that limit the ability of our stockholders to take certain actions and could delay or discourage takeover attempts that stockholders may consider favorable.</w:t>
      </w:r>
    </w:p>
    <w:p>
      <w:pPr>
        <w:spacing w:after="0" w:line="175"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Our organizational documents and Delaware General Corporation Law, or the DGCL, contain provisions that could have the effect of rendering more difficult, delaying, or preventing an acquisition that our stockholders may consider favorable. Among other things, our organizational documents include the following provisions or features:</w:t>
      </w:r>
    </w:p>
    <w:p>
      <w:pPr>
        <w:spacing w:after="0" w:line="176" w:lineRule="exact"/>
        <w:rPr>
          <w:sz w:val="20"/>
          <w:szCs w:val="20"/>
          <w:color w:val="auto"/>
        </w:rPr>
      </w:pPr>
    </w:p>
    <w:p>
      <w:pPr>
        <w:ind w:left="720" w:right="179" w:hanging="319"/>
        <w:spacing w:after="0" w:line="253"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at any time without any further action on the part of our stockholders, authorize the issuance of a series of preferred stock, including “blank check” preferred stock, and to fix and determine the voting rights, rights of redemption and other rights and preferences of preferred stock. Any series of such preferred stock, could, for example, grant to holders, among other terms, the preferred right to our assets upon liquidation, the right to receive dividend payments before dividends are distributed to the holders of our common stock and the right to the redemption of the preferred shares, together with a premium, before the redemption of our common stock, which may have a material adverse effect on the rights of the holders of our common stock. In addition, our Board of Directors, without further stockholder approval, may, at any time, issue large blocks of preferred stock. The issuance of preferred stock may impede a takeover of our company and may prevent a transaction that is favorable to our stockholders.</w:t>
      </w:r>
    </w:p>
    <w:p>
      <w:pPr>
        <w:spacing w:after="0" w:line="194" w:lineRule="exact"/>
        <w:rPr>
          <w:rFonts w:ascii="Times New Roman" w:cs="Times New Roman" w:eastAsia="Times New Roman" w:hAnsi="Times New Roman"/>
          <w:sz w:val="18"/>
          <w:szCs w:val="18"/>
          <w:color w:val="auto"/>
        </w:rPr>
      </w:pPr>
    </w:p>
    <w:p>
      <w:pPr>
        <w:jc w:val="both"/>
        <w:ind w:left="720" w:right="33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the Bylaws, which may allow our Board of Directors to take additional actions to prevent an unsolicited takeover and inhibit the ability of an acquirer to amend the Bylaws to facilitate an unsolicited takeover attempt; and</w:t>
      </w:r>
    </w:p>
    <w:p>
      <w:pPr>
        <w:spacing w:after="0" w:line="175" w:lineRule="exact"/>
        <w:rPr>
          <w:rFonts w:ascii="Times New Roman" w:cs="Times New Roman" w:eastAsia="Times New Roman" w:hAnsi="Times New Roman"/>
          <w:sz w:val="18"/>
          <w:szCs w:val="18"/>
          <w:color w:val="auto"/>
        </w:rPr>
      </w:pPr>
    </w:p>
    <w:p>
      <w:pPr>
        <w:ind w:left="720" w:right="119" w:hanging="319"/>
        <w:spacing w:after="0" w:line="258"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8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Any provision of our organizational documents or the DGCL that has the effect of delaying or deterring a change in control could limit the opportunity for our stockholders to receive a related premium for their common stock and could also affect the price that some investors are willing to pay for our common stock.</w:t>
      </w:r>
    </w:p>
    <w:p>
      <w:pPr>
        <w:spacing w:after="0" w:line="172" w:lineRule="exact"/>
        <w:rPr>
          <w:sz w:val="20"/>
          <w:szCs w:val="20"/>
          <w:color w:val="auto"/>
        </w:rPr>
      </w:pPr>
    </w:p>
    <w:p>
      <w:pPr>
        <w:ind w:left="60" w:right="79"/>
        <w:spacing w:after="0" w:line="291" w:lineRule="auto"/>
        <w:rPr>
          <w:sz w:val="20"/>
          <w:szCs w:val="20"/>
          <w:color w:val="auto"/>
        </w:rPr>
      </w:pPr>
      <w:r>
        <w:rPr>
          <w:rFonts w:ascii="Times New Roman" w:cs="Times New Roman" w:eastAsia="Times New Roman" w:hAnsi="Times New Roman"/>
          <w:sz w:val="17"/>
          <w:szCs w:val="17"/>
          <w:b w:val="1"/>
          <w:bCs w:val="1"/>
          <w:color w:val="auto"/>
        </w:rPr>
        <w:t>Our Amended and Restated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5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Our Amended and Restated Bylaws, or our Bylaws, provide that, unless we consent to the selection of an alternative forum, the Court of Chancery of the State of Delaware (or, if the Court of Chancery does not have jurisdiction, another State court in Delaware or the federal district court for the District of Delaware) is the sole and exclusive forum for (i) any derivative action or proceeding brought on our behalf, (ii) any action asserting a claim of breach of fiduciary duty owed by any of our directors, stockholders, officers or other employees to us or to our stockholders, (iii) any action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asserting a claim arising pursuant to the DGCL or our Certificate of Incorporation, as amended, or our Bylaws, or (iv) any action asserting a claim governed by the internal affairs doctrine.</w:t>
      </w:r>
    </w:p>
    <w:p>
      <w:pPr>
        <w:spacing w:after="0" w:line="16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federal district courts of the United States of America shall be the sole and exclusive forum for the resolution of any complaint asserting a cause of action arising under the Securities Act or the Exchange Act against any person in connection with any offering of the corporation’s securities.</w:t>
      </w:r>
    </w:p>
    <w:p>
      <w:pPr>
        <w:spacing w:after="0" w:line="180"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The choice of forum provisions above may limit a stockholder’s ability to bring a claim in a judicial forum that it finds favorable for disputes with us or our directors, officers or other employees or could result in increased costs for a stockholder to bring a claim, both of which may discourage such lawsuits against us and our directors, officers and other employees. Alternatively, if a court were to find the choice of forum provision contained in our Bylaws to be inapplicable or unenforceable in an action, we may incur additional costs associated with resolving such action in other jurisdictions, which may have a material adverse effect on our business, results of operations and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0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operations include the creation, collection and maintenance of sensitive information, including proprietary and confidential business information, intellectual property, third-party information and employee information. To protect this information, we use external and internal services to managed detection and response services to monitor our network infrastructure and associated endpoints for possible cybersecurity threats on a constant basis. In addition, we use multi-factor authentication (MFA) for external use, perform penetration testing and engage third parties to assess the effectiveness of our cybersecurity practices. We conduct a thorough risk assessment by identifying critical assets, recognizing potential threats and vulnerabilities, and implement strategies to mitigate these risks and their possible impacts. We establish incident response plans and provide cybersecurity training to our employees and monitor their activity to ensure adherence to our security protocols. A material cyber-attack on our systems, or any other third-party partners or vendors and their key operating systems, may interrupt our ability to operate our business, damage our reputation, or result in monetary damages.</w:t>
      </w:r>
    </w:p>
    <w:p>
      <w:pPr>
        <w:spacing w:after="0" w:line="15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have implemented a Data Protection Policy, or the DPP, in order to establish the high-level direction for properly managing the use, privacy, security, retention, and disposal of our information, data and assets, and to manage identified material cybersecurity risks. The DPP was prepared using relevant guidance issued and technology standards that are used across various industries. It applies to all entities who are using our equipment and resources, including but not limited to, employees and temporary workers. Our Senior Director, Information Technology, is a certified information security officer (CISO). He is primarily responsible for implementing and overseeing the DPP and identifying, measuring, monitoring, and reporting on key enterprise-wide risks, including cybersecurity risks.</w:t>
      </w:r>
    </w:p>
    <w:p>
      <w:pPr>
        <w:spacing w:after="0" w:line="148"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Our DPP includes an incident response process that includes reporting thresholds and follows standardized identification and authentication practices. If an incident is identified, it is documented by our Senior Director, Information Technology, who is required to report the incident to management.</w:t>
      </w:r>
    </w:p>
    <w:p>
      <w:pPr>
        <w:spacing w:after="0" w:line="149" w:lineRule="exact"/>
        <w:rPr>
          <w:sz w:val="20"/>
          <w:szCs w:val="20"/>
          <w:color w:val="auto"/>
        </w:rPr>
      </w:pPr>
    </w:p>
    <w:p>
      <w:pPr>
        <w:ind w:left="60" w:right="359"/>
        <w:spacing w:after="0" w:line="289" w:lineRule="auto"/>
        <w:rPr>
          <w:sz w:val="20"/>
          <w:szCs w:val="20"/>
          <w:color w:val="auto"/>
        </w:rPr>
      </w:pPr>
      <w:r>
        <w:rPr>
          <w:rFonts w:ascii="Times New Roman" w:cs="Times New Roman" w:eastAsia="Times New Roman" w:hAnsi="Times New Roman"/>
          <w:sz w:val="17"/>
          <w:szCs w:val="17"/>
          <w:color w:val="auto"/>
        </w:rPr>
        <w:t>We work with third-party service providers from time to time that assist us to identify, assess and manage cybersecurity risks, including professional SEIM SOC and other services firms, threat intelligence service providers, cybersecurity consultants, cybersecurity software providers, managed cybersecurity service providers, and penetration testing.</w:t>
      </w:r>
    </w:p>
    <w:p>
      <w:pPr>
        <w:spacing w:after="0" w:line="11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No risks from cybersecurity threats have occurred that have materially affected or are reasonably likely to materially affect our business, results of operations or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2"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members of our management, including our Senior Director, Information Technology, who reports to our Sr. Vice President, Operations. Management is also responsible for hiring appropriate personnel, integrating cybersecurity considerations into our overall risk management strategy, and for communicating key priorities to employees, as well as for approving budgets, helping prepare for cybersecurity incidents, approving cybersecurity processes, and reviewing security assessments and other security-related reports. Our incident response process involves management, who participates in our disclosure controls and procedures.</w:t>
      </w:r>
    </w:p>
    <w:p>
      <w:pPr>
        <w:spacing w:after="0" w:line="148"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Our incident response process is designed to escalate certain cybersecurity incidents and vulnerabilities to members of management depending on the circumstances, including work with our incident response team to help the company mitigate and remediate cybersecurity incidents of which they are notified. In addition, the company’s incident response processes include reporting to our Board of Directors for certain cybersecurity incidents.</w:t>
      </w:r>
    </w:p>
    <w:p>
      <w:pPr>
        <w:spacing w:after="0" w:line="13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Management is involved with our efforts to prevent, detect, and mitigate cybersecurity incidents by overseeing preparation of cybersecurity policies and procedures, testing incident response plans and engaging vendors to conduct penetration tests. Management participates in cybersecurity incident response efforts by being a member of the incident response team and helping direct our response to cybersecurity incidents.</w:t>
      </w:r>
    </w:p>
    <w:p>
      <w:pPr>
        <w:spacing w:after="0" w:line="153"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Our Chief Financial Officer and IT consultant provide periodic briefings to the Board of Directors regarding our cybersecurity risks and activities, including any recent cybersecurity incidents and related responses, if any, cybersecurity systems testing, activities of third parties, and the like.</w:t>
      </w:r>
    </w:p>
    <w:p>
      <w:pPr>
        <w:spacing w:after="0" w:line="13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Risk Factors – Our internal computer systems, or those used by our third-party contractors or consultants, may fail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suffer security breaches, resulting in liability and harm to our reputation, which could negatively affect our business, results of operation and financial condition. We may face liability if we breach our obligations related to the protection, security, nondisclosure of confidential information or disclosure of sensitive data or fail or are perceived to fail to comply with applicable data protection laws and regulations, or consumer protection laws, regulations and standards.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maintain a U.S. corporate office in Hackensack, New Jersey. Our headquarters, including a manufacturing facility,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executive offices and other facilities, are located in Carmiel, Israel. Our facilities in Israel currently contain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14,700 sq/ft of manufacturing space and 3,400 sq/ft for a pilot plant, 11,700 sq/ft for offsite warehouse space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43,100 sq/ft of laboratories, front warehouse and office space, and are leased at a rate of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$85,000 per month. In addition, we are entitled to use an additional 14,500 sq/ft in the same facility, which we may utilize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connection with any future expansion of our manufacturing facilities. Our facilities are equipped with the requisite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laboratory services required to conduct our business, and we believe that the existing facilities are adequate to meet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needs for the foreseeable future. Our original lease for the facility was in effect until 2016 and we have exercised two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options to extend the term, each for an additional five-year period. The lease is currently in effect until 2026 and we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retain an additional option to extend the term for another five-year period thereafter. Upon the exercise of each option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extend the term of the lease includes a 10% increase to the then current base rent.</w:t>
      </w:r>
    </w:p>
    <w:p>
      <w:pPr>
        <w:spacing w:after="0" w:line="20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0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NYSE American under the symbol “PLX.” In 2023, we decided to voluntarily delist our common stock from the Tel Aviv Stock Exchange.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As of March 1, 2025, there were approximately 60 holders of record of our common stock. A substantially greater number of holders of our common stock are “street name” or beneficial holders, whose shares are held of record by banks, brokers and other financial institutions.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To date, we have not declared or paid any cash dividends on our common stock. We do not anticipate paying any dividends on our common stock in the foreseeable future.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the shares of our common stock that may be issued under our existing equity compensation plan.</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3780" w:type="dxa"/>
            <w:vAlign w:val="bottom"/>
            <w:gridSpan w:val="2"/>
            <w:vMerge w:val="continue"/>
          </w:tcPr>
          <w:p>
            <w:pPr>
              <w:spacing w:after="0"/>
              <w:rPr>
                <w:sz w:val="15"/>
                <w:szCs w:val="15"/>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1"/>
        </w:trPr>
        <w:tc>
          <w:tcPr>
            <w:tcW w:w="36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7,402,295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4,139,412</w:t>
            </w:r>
          </w:p>
        </w:tc>
        <w:tc>
          <w:tcPr>
            <w:tcW w:w="0" w:type="dxa"/>
            <w:vAlign w:val="bottom"/>
          </w:tcPr>
          <w:p>
            <w:pPr>
              <w:spacing w:after="0"/>
              <w:rPr>
                <w:sz w:val="1"/>
                <w:szCs w:val="1"/>
                <w:color w:val="auto"/>
              </w:rPr>
            </w:pPr>
          </w:p>
        </w:tc>
      </w:tr>
      <w:tr>
        <w:trPr>
          <w:trHeight w:val="198"/>
        </w:trPr>
        <w:tc>
          <w:tcPr>
            <w:tcW w:w="37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7,402,295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4,139,412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help the reader understand our results of operations and financial condition. The MD&amp;A is provided as a supplement to, and should be together with our consolidated financial statements and the related notes included elsewhere in this Annual Report on Form 10-K. Some of the information contained in this discussion and analysis, particularly with respect to our plans and strategy for our business and related financing, include forward-looking statements that involve risks and uncertainties. You should read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in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recombinant therapeutic proteins primarily based on our proprietary ProCellEx protein expression system. To date, we have successfully developed two commercial products, both of which are ERTs; Elfabrio (pegunigalsidase alfa) for the treatment of adult patients with a confirmed diagnosis of Fabry disease and Elelyso (taliglucerase alfa) for the treatment of adult patients with Gaucher disease. Elfabrio, which we referred to as PRX-102 during its development stage, has been approved for marketing in the United States, the European Union, Great Britain, Switzerland, Peru, Israel, Russia and Singapore. Chiesi is our commercialization partner for Elfabrio.</w:t>
      </w:r>
    </w:p>
    <w:p>
      <w:pPr>
        <w:spacing w:after="0" w:line="14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are committed to leveraging our track record of success as we progress with the development of treatments for rare and orphan diseases. In addition, we continuously work on the further development and enhancement of our ProCellEx technology. Accordingly,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 molecules and antibodies, to take advantage of highly innovative opportunities. We are also exploring novel platform technologies.</w:t>
      </w:r>
    </w:p>
    <w:p>
      <w:pPr>
        <w:spacing w:after="0" w:line="14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first product, Elelyso, an ERT for the treatment of patients with Gaucher disease, was first approved by the FDA in May 2012 and is now approved for marketing in 23 markets including Brazil, Israel and others. In June 2012, the CHMP issued a positive opinion regarding the benefit of Elelyso but did not immediately grant marketing authorization because of the ten-year market exclusivity granted to Vpriv in August 2010 for the same condition, which was extended for an additional two years, and expired in August 2022. We have granted the marketing rights to Elelyso globally, excluding Brazil, to Pfizer through an exclusive licensing agreement. We maintain the distribution rights to Elelyso in Brazil, where it is currently marketed as BioManguinhos alfataliglicerase, through the Brazil Agreement. In 2024, we generated</w:t>
      </w:r>
    </w:p>
    <w:p>
      <w:pPr>
        <w:spacing w:after="0" w:line="3" w:lineRule="exact"/>
        <w:rPr>
          <w:sz w:val="20"/>
          <w:szCs w:val="20"/>
          <w:color w:val="auto"/>
        </w:rPr>
      </w:pPr>
    </w:p>
    <w:p>
      <w:pPr>
        <w:ind w:left="60" w:right="639"/>
        <w:spacing w:after="0" w:line="260" w:lineRule="auto"/>
        <w:rPr>
          <w:sz w:val="20"/>
          <w:szCs w:val="20"/>
          <w:color w:val="auto"/>
        </w:rPr>
      </w:pPr>
      <w:r>
        <w:rPr>
          <w:rFonts w:ascii="Times New Roman" w:cs="Times New Roman" w:eastAsia="Times New Roman" w:hAnsi="Times New Roman"/>
          <w:sz w:val="18"/>
          <w:szCs w:val="18"/>
          <w:color w:val="auto"/>
        </w:rPr>
        <w:t>$12.6 million from sales of Elelyso to Pfizer and $11.0 million from sales of BioManguinhos alfataliglicerase to the Brazilian MoH.</w:t>
      </w:r>
    </w:p>
    <w:p>
      <w:pPr>
        <w:spacing w:after="0" w:line="154"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Elfabrio, our second commercial product, an ERT for the treatment of Fabry disease, was approved by the EC for marketing in the EU and by the FDA for marketing in the United States in May 2023 for adult patients. Both approvals cover the 1 mg/kg every two weeks dosage. We have entered into two exclusive global licensing and supply agreements for Elfabrio with Chiesi. In October 2017 and July 2018, Protalix Ltd., our wholly-owned subsidiary, entered into the Chiesi Agreements pursuant to which Chiesi was granted an exclusive license for all markets, both within and outside of the United States to commercialize Elfabrio. In 2024, we generated $29.3 million from sales of Elfabrio to Chiesi.</w:t>
      </w:r>
    </w:p>
    <w:p>
      <w:pPr>
        <w:spacing w:after="0" w:line="14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We continuously evaluate potential strategic marketing partnerships as well as collaboration programs with biotechnology and pharmaceutical companies and academic research institutions. Except with respect to Elfabrio and Elelyso, we hold the worldwide commercialization rights to our other proprietary development candidates.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product pipeline currently includes, among other candidates:</w:t>
      </w:r>
    </w:p>
    <w:p>
      <w:pPr>
        <w:spacing w:after="0" w:line="198" w:lineRule="exact"/>
        <w:rPr>
          <w:sz w:val="20"/>
          <w:szCs w:val="20"/>
          <w:color w:val="auto"/>
        </w:rPr>
      </w:pPr>
    </w:p>
    <w:p>
      <w:pPr>
        <w:ind w:left="380" w:right="139" w:hanging="330"/>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our plant cell-expressed recombinant PEGylated uricase (urate oxidase) – a chemically modified enzyme to treat uncontrolled gout;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our plant cell-expressed PEGylated recombinant human DNase I product candidate which we have designed for long and customized systemic circulation in the bloodstream for NETs-related diseases.</w:t>
      </w:r>
    </w:p>
    <w:p>
      <w:pPr>
        <w:spacing w:after="0" w:line="13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our ability to implement the necessary regulatory steps required to obtain such approvals, and demonstrate the safety and efficacy of its product candidates. We cannot reasonably predict the outcome of these activities.</w:t>
      </w:r>
    </w:p>
    <w:p>
      <w:pPr>
        <w:spacing w:after="0" w:line="135" w:lineRule="exact"/>
        <w:rPr>
          <w:sz w:val="20"/>
          <w:szCs w:val="20"/>
          <w:color w:val="auto"/>
        </w:rPr>
      </w:pPr>
    </w:p>
    <w:p>
      <w:pPr>
        <w:ind w:left="60" w:right="379"/>
        <w:spacing w:after="0" w:line="256" w:lineRule="auto"/>
        <w:rPr>
          <w:sz w:val="20"/>
          <w:szCs w:val="20"/>
          <w:color w:val="auto"/>
        </w:rPr>
      </w:pPr>
      <w:r>
        <w:rPr>
          <w:rFonts w:ascii="Times New Roman" w:cs="Times New Roman" w:eastAsia="Times New Roman" w:hAnsi="Times New Roman"/>
          <w:sz w:val="18"/>
          <w:szCs w:val="18"/>
          <w:color w:val="auto"/>
        </w:rPr>
        <w:t>In March 2023, we initiated a phase I First-in-Human clinical trial of PRX-115. This study included 64 adult male and female subjects in a dose escalation design with eight sequential dosing cohorts, each composed of eight subjects (six active and two placebo) which is now complete. The results were announced in a poster presentation at the American College of Rheumatology (ACR) Convergence 2024, held November 14-19, 2024 and are summarized in Item 1 of this annual report on Form 10-K. We are currently preparing for a phase II clinical trial of PRX-115 which we expect will commence in the second half of 2025.</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2, 2021, we entered into an At The Market Offering Agreement, or the 2021 Sales Agreement, with</w:t>
      </w:r>
    </w:p>
    <w:p>
      <w:pPr>
        <w:spacing w:after="0" w:line="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H.C. Wainwright &amp; Co., LLC, as our sales agent, or the Agent, which was amended on May 2, 2022. Pursuant to the terms of the 2021 Sales Agreement, we were able to sell from time to time through the Agent shares of our common stock having an aggregate offering price of up to $20.0 million, or the ATM Shares. During the term of the 2021 Sales Agreement which ended during the quarter ended March 31, 2023, we sold a total of 13,980,060 ATM Shares for total gross proceeds of approximately $20.0 million, thereby completing the ATM program under said agreement.</w:t>
      </w:r>
    </w:p>
    <w:p>
      <w:pPr>
        <w:spacing w:after="0" w:line="16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February 27, 2023, we entered into an At The Market Offering Agreement, or the 2023 Sales Agreement, with the Agent. Pursuant to the terms of the 2023 Sales Agreement, we may sell, from time to time through the Agent, ATM Shares having an aggregate offering price of up to $20.0 million. As of December 31, 2024, shares of common stock for total gross proceeds of approximately $2.5 million were available to be sold under the 2023 Sales Agreement. Since December 31, 2024, we sold the remaining shares of common stock available for sale under the 2023 Sales Agreement thereby completing the ATM program thereunder.</w:t>
      </w:r>
    </w:p>
    <w:p>
      <w:pPr>
        <w:spacing w:after="0" w:line="14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Under each of the Chiesi Agreements, Chiesi made an upfront payment to Protalix Ltd. of $25.0 million in connection with the execution of each agreement. In addition, under the Chiesi Ex-US Agreement, Protalix Ltd. was entitled to additional payments of up to $25.0 million in pegunigalsidase alfa development costs, and to receive additional payments of up to $320.0 million, in the aggregate, in regulatory and commercial milestone payments. Under the Chiesi US Agreement, Protalix Ltd. was entitled to payments of up to a maximum of $20.0 million to cover development costs for pegunigalsidase alfa, and is entitled to receive additional payments of up to a maximum of $760.0 million, in the aggregate, in regulatory and commercial milestone payments. To date, Protalix Ltd. has received the complete amount of development costs to which it is entitled under the Chiesi Agreements. In addition, following the approval of Elfabrio by the FDA, we received a milestone payment equal to $20.0 million.</w:t>
      </w:r>
    </w:p>
    <w:p>
      <w:pPr>
        <w:spacing w:after="0" w:line="14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pursuant to which we and Chiesi amended the Chiesi Agreements in order to provide us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5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is required to manufacture all of the Elfabrio drug substance needed under the agreements, subject to certain exceptions, and Chiesi will purchase Elfabrio drug product from Protalix, subject to certain terms and conditions. The consideration for Protalix Ltd. is based on the drug product supplied to Chiesi and the average selling price of the drug product in the relevant territory multiplied by tiered payments as described in the relevant agreement. Under the Chiesi Ex-US Agreement, the price payable to us for drug product supplied is based on a range of 15% to 35% of the average selling price of the drug product in the applicable territory, and, under the Chiesi US Agreement, such price is based on a range of 15% to 40% of the average selling price of the drug product in the United States.</w:t>
      </w:r>
    </w:p>
    <w:p>
      <w:pPr>
        <w:spacing w:after="0" w:line="151"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On August 29, 2022, we entered into a Fill/Finish Agreement, or the F/F Agreement, and a Letter Agreement, or the Letter Agreement, in each case with Chiesi. We agreed to supply Chiesi with drug substance for Elfabrio and, following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relevant technology and technical information transfer activities, Chiesi has agreed, among other things, to provide us with commercial fill/finish services for Elfabrio, including to support the anticipated global launch of Elfabrio. Subsequently, we and Chiesi agreed that the F/F Agreement shall have an initial term of 10 years, unless terminated earlier in accordance with the terms of the F/F Agreement and the term may be extended by mutual agreement for an additional period of seven years upon mutual written agreement prior to expiration of the initial term.</w:t>
      </w:r>
    </w:p>
    <w:p>
      <w:pPr>
        <w:spacing w:after="0" w:line="15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Since its approval by the FDA, Elelyso has been marketed by Pfizer in accordance with the Pfizer Agreement. In October 2015, Protalix Ltd. and Pfizer entered into the Amended Pfizer Agreement, pursuant to which we sold to Pfizer our share in the collaboration created under the Pfizer Agreement for the commercialization of Elelyso. As part of the sale, we agreed to transfer our rights to Elelyso in Israel to Pfizer while gaining full rights to it in Brazil. Under the Amended Pfizer Agreement, Pfizer is entitled to all of the revenues, and is responsible for 100% of expenses globally for Elelyso, excluding Brazil where we are responsible for all expenses and retain all revenues.</w:t>
      </w:r>
    </w:p>
    <w:p>
      <w:pPr>
        <w:spacing w:after="0" w:line="14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On June 18, 2013, we entered into the Brazil Agreement. Fiocruz’s purchases of BioManguinhos alfataliglicerase to date have been significantly below certain agreed-upon purchase milestones and, accordingly, we have the right to terminate the Brazil Agreement. Notwithstanding the termination right, we are, at this time, continuing to supply BioManguinhos alfataliglicerase to Fiocruz and patients continue to be treated with BioManguinhos alfataliglicerase in Brazil.</w:t>
      </w:r>
    </w:p>
    <w:p>
      <w:pPr>
        <w:spacing w:after="0" w:line="13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Because our operations are conducted in the State of Israel, the business and operations may be directly affected by economic, political, geopolitical and military conditions in Israel. 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attacking a number of civilian and military targets. At the same time, clashes between Israel and Hezbollah in Lebanon increased. In response, Israel’s security cabinet declared war against the Hamas and a military campaign against these terrorist organizations commenced in parallel to their continued rocket and terror attacks. Moreover, the attacks by Hamas and Hezbollah, and Israel’s defensive measures, may result in a greater regional conflict. Since the outbreak of the war, other regional actors, including Iran, have taken military action against Israel. During January 2025, a ceasefire with Hamas was declared. As of the date of this Annual Report on Form 10-K, the war is ongoing and continues to evolve. The attacks by Hamas and Hezbollah, and Israel’s defensive measures, as well as actions that could be taken in the future by NATO, the United States, the United Kingdom the European Union or Israel’s neighboring states and other countries have created global security concerns that may result in a greater or lasting regional conflict. We have elected to store manufactured drug substance in multiple locations, both within and outside of Israel, to mitigate the risk of loss due to the military operations. It is currently not possible to predict the duration or severity of the ongoing conflict or its effects on our business, operations and financial conditions. As of the issuance of these financial statements, the impact of the war has not had an adverse effect on our operations. See “</w:t>
      </w:r>
      <w:r>
        <w:rPr>
          <w:rFonts w:ascii="Times New Roman" w:cs="Times New Roman" w:eastAsia="Times New Roman" w:hAnsi="Times New Roman"/>
          <w:sz w:val="18"/>
          <w:szCs w:val="18"/>
          <w:u w:val="single" w:color="auto"/>
          <w:color w:val="0000EE"/>
        </w:rPr>
        <w:t>Risk Factors—Significant parts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our operations are located in Israel and, therefore, our results may be adversely affected by political, economic and military conditions in Israel.</w:t>
      </w:r>
      <w:r>
        <w:rPr>
          <w:rFonts w:ascii="Times New Roman" w:cs="Times New Roman" w:eastAsia="Times New Roman" w:hAnsi="Times New Roman"/>
          <w:sz w:val="18"/>
          <w:szCs w:val="18"/>
          <w:color w:val="000000"/>
        </w:rPr>
        <w:t>”</w:t>
      </w:r>
    </w:p>
    <w:p>
      <w:pPr>
        <w:spacing w:after="0" w:line="164"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and short-term bank deposits as of December 31, 2024 are sufficient to satisfy our capital needs for at least 12 months from the date that these financial statements are issued.</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at the end of this Annual Report on Form 10-K. We believe that the accounting policies below are critical for one to fully understand and evaluate our financial condition and results of operations.</w:t>
      </w:r>
    </w:p>
    <w:p>
      <w:pPr>
        <w:spacing w:after="0" w:line="14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carrying value of assets and liabilities that are not readily apparent from other sources. Actual results may differ from these estimates under different assumptions or conditions.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left="60" w:right="419"/>
        <w:spacing w:after="0" w:line="289" w:lineRule="auto"/>
        <w:rPr>
          <w:sz w:val="20"/>
          <w:szCs w:val="20"/>
          <w:color w:val="auto"/>
        </w:rPr>
      </w:pPr>
      <w:r>
        <w:rPr>
          <w:rFonts w:ascii="Times New Roman" w:cs="Times New Roman" w:eastAsia="Times New Roman" w:hAnsi="Times New Roman"/>
          <w:sz w:val="17"/>
          <w:szCs w:val="17"/>
          <w:color w:val="auto"/>
        </w:rPr>
        <w:t xml:space="preserve">Our primary sources of revenues include our sales of drug product to Chiesi under the Chiesi Agreements, of BioManguinhos alfataliglicerase to Brazil and of drug substance to Pfizer under our Amended Pfizer Agreement. For a discussion of our accounting treatment for revenue recognition, see </w:t>
      </w:r>
      <w:r>
        <w:rPr>
          <w:rFonts w:ascii="Times New Roman" w:cs="Times New Roman" w:eastAsia="Times New Roman" w:hAnsi="Times New Roman"/>
          <w:sz w:val="17"/>
          <w:szCs w:val="17"/>
          <w:u w:val="single" w:color="auto"/>
          <w:color w:val="0000EE"/>
        </w:rPr>
        <w:t>Note 1(k)</w:t>
      </w:r>
      <w:r>
        <w:rPr>
          <w:rFonts w:ascii="Times New Roman" w:cs="Times New Roman" w:eastAsia="Times New Roman" w:hAnsi="Times New Roman"/>
          <w:sz w:val="17"/>
          <w:szCs w:val="17"/>
          <w:color w:val="auto"/>
        </w:rPr>
        <w:t xml:space="preserve"> to our consolidated financial statements.</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We estimate the degree to which deferred tax assets will result in a benefit, after consideration of all positive and negative evidence, and provide a valuation allowance for deferred tax assets that we believe more likely than not will not be realized. In situations in which we are able to determine that our deferred tax assets will be realized, that determination generally relies on future reversals of taxable temporary differences and expected future taxable income. Significant judgment is required in determining any valuation allowance recorded against deferred tax assets. In assessing the need for a valuation allowance, we considered all available evidence, including past operating results, the most recent projections for taxable income, and prudent and feasible tax planning strategies. We reassess our valuation allowance periodically and if future evidence allows for a partial or full release of the valuation allowance, we reverse the related valuation allowance. The tax valuation allowance totaled approximately $50.7 million at December 31, 2024 (see </w:t>
      </w:r>
      <w:r>
        <w:rPr>
          <w:rFonts w:ascii="Times New Roman" w:cs="Times New Roman" w:eastAsia="Times New Roman" w:hAnsi="Times New Roman"/>
          <w:sz w:val="18"/>
          <w:szCs w:val="18"/>
          <w:u w:val="single" w:color="auto"/>
          <w:color w:val="0000EE"/>
        </w:rPr>
        <w:t>Note 12</w:t>
      </w:r>
      <w:r>
        <w:rPr>
          <w:rFonts w:ascii="Times New Roman" w:cs="Times New Roman" w:eastAsia="Times New Roman" w:hAnsi="Times New Roman"/>
          <w:sz w:val="18"/>
          <w:szCs w:val="18"/>
          <w:color w:val="auto"/>
        </w:rPr>
        <w:t xml:space="preserve"> to our consolidated financial statements for additional information). Should our actual future taxable income by tax jurisdiction vary from estimates, additional allowances or reversals thereof may be necessary.</w:t>
      </w:r>
    </w:p>
    <w:p>
      <w:pPr>
        <w:spacing w:after="0" w:line="15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Significant judgment is required in evaluating our uncertain tax positions. In evaluating the exposure associated with our various tax filing positions, we record reserves for uncertain tax positions in accordance with U.S. GAAP based on the technical support for the positions and our past audit experience with similar positions. For those tax positions where it is more likely than not that a tax benefit will be sustained, we record the largest amount of tax benefit with a greater than 50% likelihood of being realized upon ultimate settlement with a taxing authority that has full knowledge of all relevant information. We believe our tax positions comply with applicable tax laws and we intend to defend our positions, no assurance can be given that the final tax outcome of these matters will not be different from that which is reflected in our historical income tax reserves and accruals.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that are considered appropriate. Uncertain tax position totaled approximately $0.8 million at December 31, 2024 (see </w:t>
      </w:r>
      <w:r>
        <w:rPr>
          <w:rFonts w:ascii="Times New Roman" w:cs="Times New Roman" w:eastAsia="Times New Roman" w:hAnsi="Times New Roman"/>
          <w:sz w:val="18"/>
          <w:szCs w:val="18"/>
          <w:u w:val="single" w:color="auto"/>
          <w:color w:val="0000EE"/>
        </w:rPr>
        <w:t>Note 12</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 to remain our primary expense in the near future as we continue to develop our product candidates. Research and development expense consists of:</w:t>
      </w:r>
    </w:p>
    <w:p>
      <w:pPr>
        <w:spacing w:after="0" w:line="121" w:lineRule="exact"/>
        <w:rPr>
          <w:sz w:val="20"/>
          <w:szCs w:val="20"/>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associated with research and development activities;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to third party contract research organizations, investigative/clinical sites and consultants;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development costs;</w:t>
      </w:r>
    </w:p>
    <w:p>
      <w:pPr>
        <w:spacing w:after="0" w:line="184"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travel and related costs for the personnel involved in research and development;</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relating to the advancement of product candidates through preclinical studies and clinical trials; and</w:t>
      </w:r>
    </w:p>
    <w:p>
      <w:pPr>
        <w:spacing w:after="0" w:line="198"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as well as laboratory and other supplies.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identifies our current major research and development projects: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2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30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Expected Near Term Milestones</w:t>
            </w:r>
          </w:p>
        </w:tc>
      </w:tr>
      <w:tr>
        <w:trPr>
          <w:trHeight w:val="204"/>
        </w:trPr>
        <w:tc>
          <w:tcPr>
            <w:tcW w:w="3260" w:type="dxa"/>
            <w:vAlign w:val="bottom"/>
            <w:shd w:val="clear" w:color="auto" w:fill="CCEEFF"/>
          </w:tcPr>
          <w:p>
            <w:pPr>
              <w:jc w:val="center"/>
              <w:ind w:right="230"/>
              <w:spacing w:after="0" w:line="205" w:lineRule="exact"/>
              <w:rPr>
                <w:sz w:val="20"/>
                <w:szCs w:val="20"/>
                <w:color w:val="auto"/>
              </w:rPr>
            </w:pPr>
            <w:r>
              <w:rPr>
                <w:rFonts w:ascii="Times New Roman" w:cs="Times New Roman" w:eastAsia="Times New Roman" w:hAnsi="Times New Roman"/>
                <w:sz w:val="18"/>
                <w:szCs w:val="18"/>
                <w:color w:val="auto"/>
                <w:w w:val="99"/>
              </w:rPr>
              <w:t>PRX-115 – PEGylated Uricase</w:t>
            </w:r>
          </w:p>
        </w:tc>
        <w:tc>
          <w:tcPr>
            <w:tcW w:w="256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Phase I (completed)</w:t>
            </w:r>
          </w:p>
        </w:tc>
        <w:tc>
          <w:tcPr>
            <w:tcW w:w="3080" w:type="dxa"/>
            <w:vAlign w:val="bottom"/>
            <w:shd w:val="clear" w:color="auto" w:fill="CCEEFF"/>
          </w:tcPr>
          <w:p>
            <w:pPr>
              <w:jc w:val="center"/>
              <w:ind w:left="290"/>
              <w:spacing w:after="0" w:line="205" w:lineRule="exact"/>
              <w:rPr>
                <w:sz w:val="20"/>
                <w:szCs w:val="20"/>
                <w:color w:val="auto"/>
              </w:rPr>
            </w:pPr>
            <w:r>
              <w:rPr>
                <w:rFonts w:ascii="Times New Roman" w:cs="Times New Roman" w:eastAsia="Times New Roman" w:hAnsi="Times New Roman"/>
                <w:sz w:val="18"/>
                <w:szCs w:val="18"/>
                <w:color w:val="auto"/>
              </w:rPr>
              <w:t>Phase II clinical trial expected to</w:t>
            </w:r>
          </w:p>
        </w:tc>
      </w:tr>
      <w:tr>
        <w:trPr>
          <w:trHeight w:val="248"/>
        </w:trPr>
        <w:tc>
          <w:tcPr>
            <w:tcW w:w="326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30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launch in the second half of 2025.</w:t>
            </w:r>
          </w:p>
        </w:tc>
      </w:tr>
      <w:tr>
        <w:trPr>
          <w:trHeight w:val="230"/>
        </w:trPr>
        <w:tc>
          <w:tcPr>
            <w:tcW w:w="3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29"/>
        </w:trPr>
        <w:tc>
          <w:tcPr>
            <w:tcW w:w="326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PRX-119 – Long Acting DNase I</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Preclinical</w:t>
            </w:r>
          </w:p>
        </w:tc>
        <w:tc>
          <w:tcPr>
            <w:tcW w:w="308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We anticipate incurring increasing costs in connection with the continued development of PRX-115 and PRX-119 and in the expansion of our pipeline. Our internal resources, employees and infrastructure are not tied to any individual research project and are typically deployed across all of our projects. We currently do not record and maintain research and development costs per project.</w:t>
      </w:r>
    </w:p>
    <w:p>
      <w:pPr>
        <w:spacing w:after="0" w:line="15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At this time, due to the inherently unpredictable nature of preclinical and clinical development processes and given the early stage of our preclinical product development programs, we are unable to estimate with any certainty the costs we will incur in the continued development of the product candidates in our pipeline for potential commercialization. Clinical development timelines, the probability of success and development costs can differ materially from expectations. Our future research and development expenses for our product candidates will depend on the preclinical and clinical success of each product candidate, as well as ongoing assessments of each product candidate’s commercial potential. In addition, we cannot forecast with any degree of certainty which product candidates may be subject to future collaborations, when such arrangements will be secured, if at all, and to what degree such arrangements would affect our development plans and capital requirements. See “</w:t>
      </w:r>
      <w:r>
        <w:rPr>
          <w:rFonts w:ascii="Times New Roman" w:cs="Times New Roman" w:eastAsia="Times New Roman" w:hAnsi="Times New Roman"/>
          <w:sz w:val="18"/>
          <w:szCs w:val="18"/>
          <w:u w:val="single" w:color="auto"/>
          <w:color w:val="0000EE"/>
        </w:rPr>
        <w:t>Risk Factors—We may not obtain the necessary U.S., EMA or other worldwide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approvals to commercialize our drug candidates in a timely manner, if at all, which would have a material adverse effect on our business, results of operations and financial condition.</w:t>
      </w:r>
      <w:r>
        <w:rPr>
          <w:rFonts w:ascii="Times New Roman" w:cs="Times New Roman" w:eastAsia="Times New Roman" w:hAnsi="Times New Roman"/>
          <w:sz w:val="18"/>
          <w:szCs w:val="18"/>
          <w:color w:val="000000"/>
        </w:rPr>
        <w:t>”</w:t>
      </w:r>
    </w:p>
    <w:p>
      <w:pPr>
        <w:spacing w:after="0" w:line="15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be our primary expense in the future as we continue the advancement of our clinical trials and preclinical product development programs for our product candidates. The lengthy process of completing clinical trials and seeking regulatory approvals for our product candidates requires expenditure of substantial resources. Any failure or delay in completing clinical trials, or in obtaining regulatory approvals, could cause a delay in generating product revenue and cause our research and development expense to increase and, in turn, have a material adverse effect on our operations. Due to the factors set forth above, we are not able to estimate with any certainty when we would recognize any net cash inflows from our projects. See “</w:t>
      </w:r>
      <w:r>
        <w:rPr>
          <w:rFonts w:ascii="Times New Roman" w:cs="Times New Roman" w:eastAsia="Times New Roman" w:hAnsi="Times New Roman"/>
          <w:sz w:val="18"/>
          <w:szCs w:val="18"/>
          <w:u w:val="single" w:color="auto"/>
          <w:color w:val="0000EE"/>
        </w:rPr>
        <w:t>Risk Factors—Preclinical and clinical trials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very expensive, time-consuming and difficult to design and implement and may result in unforeseen costs, which may have a material adverse effect on our business, results of operations and financial condition.</w:t>
      </w:r>
      <w:r>
        <w:rPr>
          <w:rFonts w:ascii="Times New Roman" w:cs="Times New Roman" w:eastAsia="Times New Roman" w:hAnsi="Times New Roman"/>
          <w:sz w:val="18"/>
          <w:szCs w:val="18"/>
          <w:color w:val="000000"/>
        </w:rPr>
        <w: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the Year Ended December 31, 2023</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recorded revenues from selling goods of $53.0 million for the year ended December 31, 2024, an increase of</w:t>
      </w:r>
    </w:p>
    <w:p>
      <w:pPr>
        <w:spacing w:after="0" w:line="27"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 xml:space="preserve">$12.6 million, or 31%, compared to revenues of $40.4 million for the year ended December 31, 2023. The increase resulted </w:t>
      </w:r>
      <w:r>
        <w:rPr>
          <w:rFonts w:ascii="Times New Roman" w:cs="Times New Roman" w:eastAsia="Times New Roman" w:hAnsi="Times New Roman"/>
          <w:sz w:val="18"/>
          <w:szCs w:val="18"/>
          <w:color w:val="212529"/>
        </w:rPr>
        <w:t>primarily from an increase of $11.8 million in sales to Chiesi, an increase of $0.6 million in sales to Brazil and an increase of $0.1 million in sales to Pfizer.</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We recorded revenues from license and R&amp;D services of $0.4 million for the year ended December 31, 2024, a decrease of $24.7 million, or 98%, compared to revenues of $25.1 million for the year ended December 31, 2023. </w:t>
      </w:r>
      <w:r>
        <w:rPr>
          <w:rFonts w:ascii="Times New Roman" w:cs="Times New Roman" w:eastAsia="Times New Roman" w:hAnsi="Times New Roman"/>
          <w:sz w:val="18"/>
          <w:szCs w:val="18"/>
          <w:color w:val="212529"/>
        </w:rPr>
        <w:t>Revenues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license and R&amp;D services are comprised primarily of revenues we recognized in connection with the Chiesi Agreements. The revenues from license and R&amp;D services for the </w:t>
      </w:r>
      <w:r>
        <w:rPr>
          <w:rFonts w:ascii="Times New Roman" w:cs="Times New Roman" w:eastAsia="Times New Roman" w:hAnsi="Times New Roman"/>
          <w:sz w:val="18"/>
          <w:szCs w:val="18"/>
          <w:color w:val="000000"/>
        </w:rPr>
        <w:t>year ended December 31, 2023</w:t>
      </w:r>
      <w:r>
        <w:rPr>
          <w:rFonts w:ascii="Times New Roman" w:cs="Times New Roman" w:eastAsia="Times New Roman" w:hAnsi="Times New Roman"/>
          <w:sz w:val="18"/>
          <w:szCs w:val="18"/>
          <w:color w:val="212529"/>
        </w:rPr>
        <w:t xml:space="preserve"> included the $20.0 million regulatory milestone payment from Chiesi in connection with the FDA approval of Elfabrio granted during that period. The remaining decrease resulted from the completion of our revenue-generating research and development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212529"/>
        </w:rPr>
        <w:t>obligations with respect to Elfabrio and, as Elfabrio was approved in the United States and the European Union in May 2023, from the completion of the regulatory processes related to the review of the BLA and the MAA for Elfabrio by the FDA and EMA, respectively. As a result of the completion of the Fabry clinical program in 2023, we expect to generate minimal revenues from license and R&amp;D services other than potential regulatory milestone payments.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Cost of goods sold was $24.3 million for the year ended December 31, 2024, an increase of $1.3 million, or 6%, compared to cost of goods sold of $23.0 million for the year ended December 31, 2023. </w:t>
      </w:r>
      <w:r>
        <w:rPr>
          <w:rFonts w:ascii="Times New Roman" w:cs="Times New Roman" w:eastAsia="Times New Roman" w:hAnsi="Times New Roman"/>
          <w:sz w:val="18"/>
          <w:szCs w:val="18"/>
          <w:color w:val="212529"/>
        </w:rPr>
        <w:t>The increase in cost of goods sold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primarily the result of the increase in sales to Chiesi. In addition, during the </w:t>
      </w:r>
      <w:r>
        <w:rPr>
          <w:rFonts w:ascii="Times New Roman" w:cs="Times New Roman" w:eastAsia="Times New Roman" w:hAnsi="Times New Roman"/>
          <w:sz w:val="18"/>
          <w:szCs w:val="18"/>
          <w:color w:val="000000"/>
        </w:rPr>
        <w:t>year ended December 31, 2023,</w:t>
      </w:r>
      <w:r>
        <w:rPr>
          <w:rFonts w:ascii="Times New Roman" w:cs="Times New Roman" w:eastAsia="Times New Roman" w:hAnsi="Times New Roman"/>
          <w:sz w:val="18"/>
          <w:szCs w:val="18"/>
          <w:color w:val="212529"/>
        </w:rPr>
        <w:t xml:space="preserve"> a portion of the costs for certain drug substance sold were recognized as research and development expenses, not cost of goods sold, as such drug substance was produced as part of our research and development activities.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our total research and development expenses were approximately $13.0 million comprised of approximately $7.1 million of salary and related expenses, approximately $2.4 million in subcontractor-related expenses, approximately $0.9 million of materials-related expenses and approximately $2.6 million of other expenses. For the year ended December 31, 2023, our total research and development expenses were approximately $17.1 million comprised of approximately $7.8 million of salary and related expenses, approximately $6.3 million in subcontractor-related expenses, approximately $0.6 million of materials-related expenses and approximately $2.4 million of other expenses.</w:t>
      </w:r>
    </w:p>
    <w:p>
      <w:pPr>
        <w:spacing w:after="0" w:line="148" w:lineRule="exact"/>
        <w:rPr>
          <w:sz w:val="20"/>
          <w:szCs w:val="20"/>
          <w:color w:val="auto"/>
        </w:rPr>
      </w:pPr>
    </w:p>
    <w:p>
      <w:pPr>
        <w:ind w:left="60" w:right="659"/>
        <w:spacing w:after="0" w:line="261" w:lineRule="auto"/>
        <w:rPr>
          <w:sz w:val="20"/>
          <w:szCs w:val="20"/>
          <w:color w:val="auto"/>
        </w:rPr>
      </w:pPr>
      <w:r>
        <w:rPr>
          <w:rFonts w:ascii="Times New Roman" w:cs="Times New Roman" w:eastAsia="Times New Roman" w:hAnsi="Times New Roman"/>
          <w:sz w:val="18"/>
          <w:szCs w:val="18"/>
          <w:color w:val="auto"/>
        </w:rPr>
        <w:t xml:space="preserve">Total decrease in research and developments expenses was $4.1 million, or 24%, for the year ended December 31, 2024 compared to the year ended December 31, 2023. The decrease in research and development expenses resulted primarily from </w:t>
      </w:r>
      <w:r>
        <w:rPr>
          <w:rFonts w:ascii="Times New Roman" w:cs="Times New Roman" w:eastAsia="Times New Roman" w:hAnsi="Times New Roman"/>
          <w:sz w:val="18"/>
          <w:szCs w:val="18"/>
          <w:color w:val="212529"/>
        </w:rPr>
        <w:t>the completion of our Fabry clinical program and the regulatory processes related to the BLA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MAA review of Elfabrio by the applicable regulatory agencies.</w:t>
      </w:r>
    </w:p>
    <w:p>
      <w:pPr>
        <w:spacing w:after="0" w:line="18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212529"/>
        </w:rPr>
        <w:t>We expect to continue to incur significant, increasing research and development expenses as we enter into a more advanced stage of preclinical and clinical trials for certain of our product candidates.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 were $12.2 million for the year ended December 31, 2024, a decrease of</w:t>
      </w:r>
    </w:p>
    <w:p>
      <w:pPr>
        <w:spacing w:after="0" w:line="27" w:lineRule="exact"/>
        <w:rPr>
          <w:sz w:val="20"/>
          <w:szCs w:val="20"/>
          <w:color w:val="auto"/>
        </w:rPr>
      </w:pPr>
    </w:p>
    <w:p>
      <w:pPr>
        <w:ind w:left="60" w:right="339"/>
        <w:spacing w:after="0" w:line="260" w:lineRule="auto"/>
        <w:rPr>
          <w:sz w:val="20"/>
          <w:szCs w:val="20"/>
          <w:color w:val="auto"/>
        </w:rPr>
      </w:pPr>
      <w:r>
        <w:rPr>
          <w:rFonts w:ascii="Times New Roman" w:cs="Times New Roman" w:eastAsia="Times New Roman" w:hAnsi="Times New Roman"/>
          <w:sz w:val="18"/>
          <w:szCs w:val="18"/>
          <w:color w:val="auto"/>
        </w:rPr>
        <w:t xml:space="preserve">$2.8 million, or 19%, from $15.0 million for the year ended December 31, 2023. The decrease resulted primarily from </w:t>
      </w:r>
      <w:r>
        <w:rPr>
          <w:rFonts w:ascii="Times New Roman" w:cs="Times New Roman" w:eastAsia="Times New Roman" w:hAnsi="Times New Roman"/>
          <w:sz w:val="18"/>
          <w:szCs w:val="18"/>
          <w:color w:val="212529"/>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decrease of $1.8 million in professional fees and of $1.0 million in salaries and related expenses</w:t>
      </w:r>
      <w:r>
        <w:rPr>
          <w:rFonts w:ascii="Times New Roman" w:cs="Times New Roman" w:eastAsia="Times New Roman" w:hAnsi="Times New Roman"/>
          <w:sz w:val="18"/>
          <w:szCs w:val="18"/>
          <w:color w:val="000000"/>
        </w:rPr>
        <w: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Expenses and Income, Net</w:t>
      </w:r>
    </w:p>
    <w:p>
      <w:pPr>
        <w:spacing w:after="0" w:line="187"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 xml:space="preserve">Financial income, net was $0.2 million for the year ended December 31, 2024, compared to financial expenses, net of $1.9 million for the year ended December 31, 2023. </w:t>
      </w:r>
      <w:r>
        <w:rPr>
          <w:rFonts w:ascii="Times New Roman" w:cs="Times New Roman" w:eastAsia="Times New Roman" w:hAnsi="Times New Roman"/>
          <w:sz w:val="18"/>
          <w:szCs w:val="18"/>
          <w:color w:val="212529"/>
        </w:rPr>
        <w:t>The difference resulted primarily from a decrease of approximately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$1.4 million in lower interest and related expenses due to the note conversions executed in 2023 and the September 2024 repayment in full of all the outstanding principal and interest payable under the 2024 Notes, as well as an increase in interest income, net of $0.7 million.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2024, we recorded income taxes of approximately $1.2 million, an increase of</w:t>
      </w:r>
    </w:p>
    <w:p>
      <w:pPr>
        <w:spacing w:after="0" w:line="2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$0.9 million, or 300%, compared to income taxes of $0.3 million for the year ended December 31, 2023. The income taxes resulted primarily from the provision for current taxes on income mainly derived from GILTI income mainly in respect of Section 174 of the TCJA. Effective in 2022, Section 174 of the TCJA requires all U.S. companies, for tax purposes, to capitalize and subsequently amortize R&amp;D expenses that fall within the scope of Section 174 over five years for research activities conducted in the United States and over 15 years for research activities conducted outside of the United States rather than deducting such costs in the current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the Year Ended December 31, 2022</w:t>
      </w:r>
    </w:p>
    <w:p>
      <w:pPr>
        <w:spacing w:after="0" w:line="20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For a discussion of the year ended December 31, 2023 compared to the year ended December 31, 2022, see Management’s Discussion and Analysis of Financial Condition and Results of Operations included in our Annual Report on Form 10-K for the year ended December 31, 2023.</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Our sources of liquidity include our cash balances and bank deposits. At December 31, 2024, we had $34.8 million in cash and cash equivalents and short term bank deposits. </w:t>
      </w:r>
      <w:r>
        <w:rPr>
          <w:rFonts w:ascii="Times New Roman" w:cs="Times New Roman" w:eastAsia="Times New Roman" w:hAnsi="Times New Roman"/>
          <w:sz w:val="18"/>
          <w:szCs w:val="18"/>
          <w:color w:val="212529"/>
        </w:rPr>
        <w:t>In September 2024, we satisfied the outstanding principal and 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interest under the 2024 Notes with a cash payment of approximately $21.2 million which was available primarily from the withdrawal of short term deposits. </w:t>
      </w:r>
      <w:r>
        <w:rPr>
          <w:rFonts w:ascii="Times New Roman" w:cs="Times New Roman" w:eastAsia="Times New Roman" w:hAnsi="Times New Roman"/>
          <w:sz w:val="18"/>
          <w:szCs w:val="18"/>
          <w:color w:val="000000"/>
        </w:rPr>
        <w:t>We have primarily financed our operations through sales proceeds, equity and debt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financings, business collaborations, and grants funding.</w:t>
      </w:r>
    </w:p>
    <w:p>
      <w:pPr>
        <w:spacing w:after="0" w:line="15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we raised gross proceeds equal to approximately $3.8 million from the sale, in the aggregate, of 2,216,692 shares of our common stock under our ATM program. All such sales were completed during the quarter ended December 31, 2024. Subsequent to December 31, 2024, we sold, in the aggregate, an additional 1,223,935 shares of common stock under program generating gross proceeds equal to approximately $2.5 million. Such sales completed the ATM program. In addition, since December 31, 2024, we issued 908,000 shares of our common stock in connection with the exercise of warrants issued in 2020 generating proceeds equal to approximately $2.1 million. The warrants expired on March 11, 2025. Accordingly, no warrants remain outstanding.</w:t>
      </w:r>
    </w:p>
    <w:p>
      <w:pPr>
        <w:spacing w:after="0" w:line="14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raised gross proceeds equal to approximately $24.9 million from the sale of 12,560,150 shares of our common stock under our ATM program.</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00"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212529"/>
        </w:rPr>
        <w:t xml:space="preserve">Net cash provided by operations was $8.7 million for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12529"/>
        </w:rPr>
        <w:t xml:space="preserve">. The net income for the </w:t>
      </w:r>
      <w:r>
        <w:rPr>
          <w:rFonts w:ascii="Times New Roman" w:cs="Times New Roman" w:eastAsia="Times New Roman" w:hAnsi="Times New Roman"/>
          <w:sz w:val="18"/>
          <w:szCs w:val="18"/>
          <w:color w:val="000000"/>
        </w:rPr>
        <w:t>year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ended December 31, 2024 </w:t>
      </w:r>
      <w:r>
        <w:rPr>
          <w:rFonts w:ascii="Times New Roman" w:cs="Times New Roman" w:eastAsia="Times New Roman" w:hAnsi="Times New Roman"/>
          <w:sz w:val="18"/>
          <w:szCs w:val="18"/>
          <w:color w:val="212529"/>
        </w:rPr>
        <w:t>of $2.9 million was increased by a $0.7 million increase in accounts payable and accruals,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$2.3 million decrease in accounts receivable-trade and other assets, $3.3 million in share-based compensation and $1.3 million in depreciation, partially offset by a $2.2 million increase in inventories.</w:t>
      </w:r>
    </w:p>
    <w:p>
      <w:pPr>
        <w:spacing w:after="0" w:line="13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212529"/>
        </w:rPr>
        <w:t xml:space="preserve">Net cash provided by investing activities for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12529"/>
        </w:rPr>
        <w:t xml:space="preserve"> was $4.2 million and consisted primarily of $20.4 million in proceeds from the sale of deposits partially offset by $15.0 million in bank deposits and a $1.3 million purchase of property and equipment.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 xml:space="preserve">Net cash used in financing activities for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12529"/>
        </w:rPr>
        <w:t xml:space="preserve"> was $16.8 million representing the</w:t>
      </w:r>
    </w:p>
    <w:p>
      <w:pPr>
        <w:spacing w:after="0" w:line="27" w:lineRule="exact"/>
        <w:rPr>
          <w:sz w:val="20"/>
          <w:szCs w:val="20"/>
          <w:color w:val="auto"/>
        </w:rPr>
      </w:pPr>
    </w:p>
    <w:p>
      <w:pPr>
        <w:ind w:left="60" w:right="479"/>
        <w:spacing w:after="0" w:line="260" w:lineRule="auto"/>
        <w:rPr>
          <w:sz w:val="20"/>
          <w:szCs w:val="20"/>
          <w:color w:val="auto"/>
        </w:rPr>
      </w:pPr>
      <w:r>
        <w:rPr>
          <w:rFonts w:ascii="Times New Roman" w:cs="Times New Roman" w:eastAsia="Times New Roman" w:hAnsi="Times New Roman"/>
          <w:sz w:val="18"/>
          <w:szCs w:val="18"/>
          <w:color w:val="212529"/>
        </w:rPr>
        <w:t xml:space="preserve">$20.4 million payment of the outstanding principal under our 2024 Notes which matured in September 2024, partially offset by $3.6 million </w:t>
      </w:r>
      <w:r>
        <w:rPr>
          <w:rFonts w:ascii="Times New Roman" w:cs="Times New Roman" w:eastAsia="Times New Roman" w:hAnsi="Times New Roman"/>
          <w:sz w:val="18"/>
          <w:szCs w:val="18"/>
          <w:color w:val="000000"/>
        </w:rPr>
        <w:t>from the sale of common stock under our ATM program</w:t>
      </w:r>
      <w:r>
        <w:rPr>
          <w:rFonts w:ascii="Times New Roman" w:cs="Times New Roman" w:eastAsia="Times New Roman" w:hAnsi="Times New Roman"/>
          <w:sz w:val="18"/>
          <w:szCs w:val="18"/>
          <w:color w:val="212529"/>
        </w:rPr>
        <w:t>.</w:t>
      </w:r>
    </w:p>
    <w:p>
      <w:pPr>
        <w:spacing w:after="0" w:line="154"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Net cash used in operations was $1.3 million for the year ended December 31, 2023. The net income for the year ended December 31, 2023 of $8.3 million was decreased by a $13.2 million decrease in contracts liability, a $3.1 million increase in deferred tax assets, a $2.2 million increase in inventories, a $0.4 million increase in accounts receivable-trade and other assets and a $0.4 million financial income-net. The net income was increased by a $5.3 million increase in accounts payable and accruals, $3.4 million in share-based compensation and $1.2 million in depreciation. Net cash used in investing activities for the year ended December 31, 2023 was $16.7 million and consisted primarily of net investment in bank deposits. Net cash provided by financing activities was $24.7 million resulting primarily from the sale of common stock under our ATM program.</w:t>
      </w:r>
    </w:p>
    <w:p>
      <w:pPr>
        <w:spacing w:after="0" w:line="151"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212529"/>
        </w:rPr>
        <w:t xml:space="preserve">At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 there were warrants to purchase 13,439,712 shares outstanding at an exercise price equal to $2.36 per share. As of March 12, 2025, no warrants remain outstanding.</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200"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Since our inception, we have incurred significant research and development expenditures which have not been offset by revenues. We have not generated significant revenues from sales of Elelyso, and commercial sales of Elfabrio only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commenced in the middle of 2023. We have generated operating losses from our continuing operations since our inception although the revenues generated in the years ended December 31, 2023 and 2024 exceeded our expenditures for the same period.</w:t>
      </w:r>
    </w:p>
    <w:p>
      <w:pPr>
        <w:spacing w:after="0" w:line="14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212529"/>
        </w:rPr>
        <w:t xml:space="preserve">As the 2024 Notes were paid in full during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2024, we are no longer subject to the financial limitations related to such notes.</w:t>
      </w:r>
    </w:p>
    <w:p>
      <w:pPr>
        <w:spacing w:after="0" w:line="121"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7"/>
          <w:szCs w:val="17"/>
          <w:color w:val="auto"/>
        </w:rPr>
        <w:t>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Our material cash needs for the next 24 months will include, among other expenses, (i) costs of preclinical and clinical trials, (ii) employee salaries,</w:t>
      </w:r>
    </w:p>
    <w:p>
      <w:pPr>
        <w:spacing w:after="0" w:line="5" w:lineRule="exact"/>
        <w:rPr>
          <w:sz w:val="20"/>
          <w:szCs w:val="20"/>
          <w:color w:val="auto"/>
        </w:rPr>
      </w:pPr>
    </w:p>
    <w:p>
      <w:pPr>
        <w:jc w:val="both"/>
        <w:ind w:left="60" w:right="79" w:hanging="10"/>
        <w:spacing w:after="0" w:line="253" w:lineRule="auto"/>
        <w:tabs>
          <w:tab w:leader="none" w:pos="3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for rent and operation of our manufacturing facilities, (iv) fees to our consultants and legal advisors, patent advisors and fees for service providers in connection with our research and development efforts and (v) tax payments. We believe that the funds currently available to us are sufficient to satisfy our capital needs for at least 12 months </w:t>
      </w:r>
      <w:r>
        <w:rPr>
          <w:rFonts w:ascii="Times New Roman" w:cs="Times New Roman" w:eastAsia="Times New Roman" w:hAnsi="Times New Roman"/>
          <w:sz w:val="18"/>
          <w:szCs w:val="18"/>
          <w:color w:val="212529"/>
        </w:rPr>
        <w:t>from the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that these financial statements are issued</w:t>
      </w:r>
      <w:r>
        <w:rPr>
          <w:rFonts w:ascii="Times New Roman" w:cs="Times New Roman" w:eastAsia="Times New Roman" w:hAnsi="Times New Roman"/>
          <w:sz w:val="18"/>
          <w:szCs w:val="18"/>
          <w:color w:val="000000"/>
        </w:rPr>
        <w:t>.</w:t>
      </w:r>
    </w:p>
    <w:p>
      <w:pPr>
        <w:spacing w:after="0" w:line="148"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149" w:lineRule="exact"/>
        <w:rPr>
          <w:sz w:val="20"/>
          <w:szCs w:val="20"/>
          <w:color w:val="auto"/>
        </w:rPr>
      </w:pPr>
    </w:p>
    <w:p>
      <w:pPr>
        <w:ind w:left="1040" w:right="29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progress in commercializing Elfabrio;</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9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expect to finance our future cash needs through sales of Elfabrio and Elelyso, corporate collaborations, licensing or similar arrangements, public or private equity offerings and/or debt financings. We currently do not have any commitments for future external funding, except with respect to the milestone payments that may become payable under the Chiesi Agreements.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Our contractual obligations include operating lease obligations, purchase obligations, certain clinical contracts and the liability for employee rights upon retirement.</w:t>
      </w:r>
    </w:p>
    <w:p>
      <w:pPr>
        <w:spacing w:after="0" w:line="135"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lease certain assets under operating leases, which expire through 2026, with an option to extend the lease on our main facility to 2031. The leases relate primarily to office, laboratory and manufacturing space and vehicles used by our employees. Our aggregate future minimum commitments under these facility and vehicles leases over the next five fiscal years is approximately $2.8 million as of December 31, 2024.</w:t>
      </w:r>
    </w:p>
    <w:p>
      <w:pPr>
        <w:spacing w:after="0" w:line="13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As of December 31, 2024, we are subject to open purchase orders issued to certain suppliers and other vendors mainly in connection with our research and development and manufacturing activities that were outstanding as of December 31, 2024 for approximately $9.2 million over the next five fiscal years.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have a contractual obligation of approximately $1.5 million as of December 31, 2024 payable over the fiscal year ending December 31, 2025 in connection with contractual arrangements we enter into in the normal course of business with CROs, CMOs and other clinical providers and consultants for clinical trials, preclinical and other research studies and manufacturing services in connection with our primary product development process. These contracts do not contain minimum purchase commitments and are cancelable by us upon prior notice. Payments due upon cancellation consist only of payments for services provided or expenses incurred, including non-cancelable obligations of our service providers, up to the date of cancellation.</w:t>
      </w:r>
    </w:p>
    <w:p>
      <w:pPr>
        <w:spacing w:after="0" w:line="162"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As of December 31, 2024, we have a contractual obligation of approximately $0.6 million for employee rights upon retirement.</w:t>
      </w:r>
    </w:p>
    <w:p>
      <w:pPr>
        <w:spacing w:after="0" w:line="121"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are also party to certain research and license agreements. If all of the contingencies with respect to milestone payments under our research and license agreements are met, as of December 31, 2024, the aggregate milestone payments payable would be approximately $8.4 million, and would be payable, if at all, as our projects progress over the course of a number of years. The royalty payments payable by our company in connection with sales of each of our product candidates, if any, shall not exceed low, single-digit percentages of net sales of the relevant product.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202"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Currency fluctuations during the year ended December 31, 2022, resulted in $1.0 million being recognized as financial income. We do not believe currency fluctuations have had a material effect on our results of operations during the years ended December 31, 2023 or 2024.</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Certain recently issued and recently adopted accounting pronouncements are discussed in Note 1(r) of the financial statements included in Item 8 of this Annual Report on Form 10-K.</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18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above 50% of our expenses and capital expenditures are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48"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Approximately 37%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3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7620</wp:posOffset>
            </wp:positionV>
            <wp:extent cx="16033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5600"/>
        <w:spacing w:after="0"/>
        <w:tabs>
          <w:tab w:leader="none" w:pos="6480" w:val="left"/>
          <w:tab w:leader="none" w:pos="73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tbl>
      <w:tblPr>
        <w:tblLayout w:type="fixed"/>
        <w:tblInd w:w="9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7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3.519</w:t>
            </w:r>
          </w:p>
        </w:tc>
        <w:tc>
          <w:tcPr>
            <w:tcW w:w="16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3.647</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left="60" w:right="359"/>
        <w:spacing w:after="0" w:line="289" w:lineRule="auto"/>
        <w:rPr>
          <w:sz w:val="20"/>
          <w:szCs w:val="20"/>
          <w:color w:val="auto"/>
        </w:rPr>
      </w:pPr>
      <w:r>
        <w:rPr>
          <w:rFonts w:ascii="Times New Roman" w:cs="Times New Roman" w:eastAsia="Times New Roman" w:hAnsi="Times New Roman"/>
          <w:sz w:val="17"/>
          <w:szCs w:val="17"/>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u w:val="single" w:color="auto"/>
          <w:color w:val="0000EE"/>
        </w:rPr>
        <w:t>Index to Consolidated Financial Statements</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u w:val="single" w:color="auto"/>
          <w:color w:val="0000EE"/>
        </w:rPr>
        <w:t>Page F-1</w:t>
      </w:r>
      <w:r>
        <w:rPr>
          <w:rFonts w:ascii="Times New Roman" w:cs="Times New Roman" w:eastAsia="Times New Roman" w:hAnsi="Times New Roman"/>
          <w:sz w:val="18"/>
          <w:szCs w:val="18"/>
          <w:color w:val="auto"/>
        </w:rPr>
        <w:t xml:space="preserve"> attached hereto.</w:t>
      </w:r>
    </w:p>
    <w:p>
      <w:pPr>
        <w:spacing w:after="0" w:line="18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Form 10-K,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The evaluation of our disclosure controls and procedures included a review of the controls’ objectives and design, our implementation of the controls and their effect on the information generated for use in this Annual Report on Form 10-K. This type of evaluation will be performed on a quarterly basis so that the conclusions of management, including the Chief Executive Officer and Chief Financial Officer, concerning the effectiveness of the disclosure controls and procedures can be reported in our periodic reports on Form 10-Q and Form 10-K. The overall goals of these various evaluation activities are to monitor our disclosure controls and procedures, and to modify them as necessary. Our intent is to maintain the disclosure controls and procedures as dynamic systems that change as conditions warrant.</w:t>
      </w:r>
    </w:p>
    <w:p>
      <w:pPr>
        <w:spacing w:after="0" w:line="148"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Based on the controls evaluation, our Chief Executive Officer and Chief Financial Officer have concluded that, as of the end of the period covered by this Form 10-K,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related to our company and our consolidated subsidiaries are made known to management, including the Chief Executive Officer and Chief Financial Officer, particularly during the period when our periodic reports are being prepared.</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U.S. generally accepted accounting principles, and that receipts and expenditures of our company are being made only in accordance with authorizations of management and our directors; and (iii) provide reasonable assurance regarding prevention or timely detection of unauthorized acquisition, use or disposition of our assets that could have a material effect on our financial statements.</w:t>
      </w:r>
    </w:p>
    <w:p>
      <w:pPr>
        <w:spacing w:after="0" w:line="15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31, 2024, the end of our fiscal year. Management based its assessment on criteria established in Internal Control—Integrated Framework (2013) issued by the Committee of Sponsoring Organizations of the Treadway Commission (COSO). Management’s assessment included evaluation of elements such as the design and operating effectiveness of key financial reporting controls, process documentation, accounting policies and our overall control environment.</w:t>
      </w:r>
    </w:p>
    <w:p>
      <w:pPr>
        <w:spacing w:after="0" w:line="14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U.S. generally accepted accounting principles. We reviewed the results of management’s assessment with the Audit Committee of our Board of Directors.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3" w:lineRule="exact"/>
        <w:rPr>
          <w:sz w:val="20"/>
          <w:szCs w:val="20"/>
          <w:color w:val="auto"/>
        </w:rPr>
      </w:pPr>
    </w:p>
    <w:p>
      <w:pPr>
        <w:ind w:left="60" w:right="3579"/>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Attestation Report of Independent Registered Public Accounting Firm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8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2024 that have materially affected, or that are reasonably likely to materially affect, our internal control over financial reporting.</w:t>
      </w:r>
    </w:p>
    <w:p>
      <w:pPr>
        <w:spacing w:after="0" w:line="13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8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officers adopted or terminated a Rule 10b5-1 trading arrangement or non-Rule 10b5-1 trading arrangement (as such terms are defined in Item 408 of Regulation S-K).</w:t>
      </w:r>
    </w:p>
    <w:p>
      <w:pPr>
        <w:spacing w:after="0" w:line="117"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8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information in our 2025 Proxy Statement regarding directors and executive officers appearing under the headings “Security Ownership of Certain Beneficial Owners and Management — Section 16(a) Beneficial Ownership Reporting Compliance” and “Election of Directors” is incorporated by reference in this section.</w:t>
      </w:r>
    </w:p>
    <w:p>
      <w:pPr>
        <w:spacing w:after="0" w:line="13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our securities by our directors, officers, and employees, and by our company. We believe this policy is reasonably designed to promote compliance with insider trading laws, rules, and regulations and listing standards applicable to our company. A copy of our insider trading policy is filed as Exhibit 19 to this Annual Report on Form 10-K.</w:t>
      </w:r>
    </w:p>
    <w:p>
      <w:pPr>
        <w:spacing w:after="0" w:line="149"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8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information appearing in our 2025 Proxy Statement under the headings “Director Compensation,” “Compensation Discussion and Analysis,” “Report of the Compensation Committee,” and “Executive Compensation” is incorporated by reference in this section.</w:t>
      </w:r>
    </w:p>
    <w:p>
      <w:pPr>
        <w:spacing w:after="0" w:line="13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02"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information appearing in our 2025 Proxy Statement under the heading “Security Ownership of Certain Beneficial Owners and Management” is incorporated by reference in this section.</w:t>
      </w:r>
    </w:p>
    <w:p>
      <w:pPr>
        <w:spacing w:after="0" w:line="13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89" w:lineRule="exact"/>
        <w:rPr>
          <w:sz w:val="20"/>
          <w:szCs w:val="20"/>
          <w:color w:val="auto"/>
        </w:rPr>
      </w:pPr>
    </w:p>
    <w:p>
      <w:pPr>
        <w:ind w:left="60" w:right="779"/>
        <w:spacing w:after="0" w:line="312" w:lineRule="auto"/>
        <w:rPr>
          <w:sz w:val="20"/>
          <w:szCs w:val="20"/>
          <w:color w:val="auto"/>
        </w:rPr>
      </w:pPr>
      <w:r>
        <w:rPr>
          <w:rFonts w:ascii="Times New Roman" w:cs="Times New Roman" w:eastAsia="Times New Roman" w:hAnsi="Times New Roman"/>
          <w:sz w:val="17"/>
          <w:szCs w:val="17"/>
          <w:color w:val="auto"/>
        </w:rPr>
        <w:t>The information appearing in our 2025 Proxy Statement under the headings “Election of Directors—Corporate Governance” and “—Certain Relationships and Related Transactions” is incorporated by reference in this section.</w:t>
      </w:r>
    </w:p>
    <w:p>
      <w:pPr>
        <w:spacing w:after="0" w:line="109"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 xml:space="preserve">Our independent registered public accounting firm is </w:t>
      </w:r>
      <w:r>
        <w:rPr>
          <w:rFonts w:ascii="Times New Roman" w:cs="Times New Roman" w:eastAsia="Times New Roman" w:hAnsi="Times New Roman"/>
          <w:sz w:val="18"/>
          <w:szCs w:val="18"/>
          <w:u w:val="single" w:color="auto"/>
          <w:color w:val="0000EE"/>
        </w:rPr>
        <w:t>Kesselman &amp; Kesselman, Certified Public Accountants (Isr.),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member of PricewaterhouseCoopers International Limited,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Tel Aviv, Israel, PCAOB ID. No. 1309.</w:t>
      </w:r>
    </w:p>
    <w:p>
      <w:pPr>
        <w:spacing w:after="0" w:line="121"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information appearing in our 2025 Proxy Statement under the heading “Ratification of Appointment of Independent Registered Public Accounting Firm” is incorporated by reference in this section.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83" w:lineRule="exact"/>
        <w:rPr>
          <w:sz w:val="20"/>
          <w:szCs w:val="20"/>
          <w:color w:val="auto"/>
        </w:rPr>
      </w:pPr>
    </w:p>
    <w:p>
      <w:pPr>
        <w:ind w:left="60" w:right="279" w:firstLine="638"/>
        <w:spacing w:after="0" w:line="284" w:lineRule="auto"/>
        <w:tabs>
          <w:tab w:leader="none" w:pos="8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Consolidated Financial Statements of Protalix BioTherapeutics, Inc.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Item 8 of this Annual Report on Form 10-K:</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name: Kesselman &amp; Kesselman C.P.A.s and</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0000EE"/>
            </w:tcBorders>
          </w:tcPr>
          <w:p>
            <w:pPr>
              <w:spacing w:after="0"/>
              <w:rPr>
                <w:sz w:val="20"/>
                <w:szCs w:val="20"/>
                <w:color w:val="auto"/>
              </w:rPr>
            </w:pPr>
          </w:p>
        </w:tc>
        <w:tc>
          <w:tcPr>
            <w:tcW w:w="4200" w:type="dxa"/>
            <w:vAlign w:val="bottom"/>
            <w:tcBorders>
              <w:top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PCAOB ID: 1309)</w:t>
            </w:r>
          </w:p>
        </w:tc>
        <w:tc>
          <w:tcPr>
            <w:tcW w:w="4060" w:type="dxa"/>
            <w:vAlign w:val="bottom"/>
            <w:tcBorders>
              <w:top w:val="single" w:sz="8" w:color="CCEEFF"/>
            </w:tcBorders>
            <w:gridSpan w:val="5"/>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2024</w:t>
            </w:r>
          </w:p>
        </w:tc>
        <w:tc>
          <w:tcPr>
            <w:tcW w:w="140" w:type="dxa"/>
            <w:vAlign w:val="bottom"/>
          </w:tcPr>
          <w:p>
            <w:pPr>
              <w:spacing w:after="0"/>
              <w:rPr>
                <w:sz w:val="15"/>
                <w:szCs w:val="15"/>
                <w:color w:val="auto"/>
              </w:rPr>
            </w:pPr>
          </w:p>
        </w:tc>
        <w:tc>
          <w:tcPr>
            <w:tcW w:w="4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2022, 2023 and 2024</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732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(Capital Deficiency) for the years ended</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December 31, 2022, 2023 and 2024</w:t>
            </w:r>
          </w:p>
        </w:tc>
        <w:tc>
          <w:tcPr>
            <w:tcW w:w="140" w:type="dxa"/>
            <w:vAlign w:val="bottom"/>
          </w:tcPr>
          <w:p>
            <w:pPr>
              <w:spacing w:after="0"/>
              <w:rPr>
                <w:sz w:val="17"/>
                <w:szCs w:val="17"/>
                <w:color w:val="auto"/>
              </w:rPr>
            </w:pPr>
          </w:p>
        </w:tc>
        <w:tc>
          <w:tcPr>
            <w:tcW w:w="48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2023 and 2024</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68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80" w:type="dxa"/>
            <w:vAlign w:val="bottom"/>
            <w:tcBorders>
              <w:top w:val="single" w:sz="8" w:color="CCEEFF"/>
            </w:tcBorders>
            <w:gridSpan w:val="2"/>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right="239" w:firstLine="638"/>
        <w:spacing w:after="0" w:line="315" w:lineRule="auto"/>
        <w:tabs>
          <w:tab w:leader="none" w:pos="88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 Schedule. </w:t>
      </w:r>
      <w:r>
        <w:rPr>
          <w:rFonts w:ascii="Times New Roman" w:cs="Times New Roman" w:eastAsia="Times New Roman" w:hAnsi="Times New Roman"/>
          <w:sz w:val="17"/>
          <w:szCs w:val="17"/>
          <w:color w:val="auto"/>
        </w:rPr>
        <w:t>Financial statement schedules have been omitted since they are either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are not applicable or the required information is shown in the consolidated financial statements or related notes.</w:t>
      </w:r>
    </w:p>
    <w:p>
      <w:pPr>
        <w:spacing w:after="0" w:line="107" w:lineRule="exact"/>
        <w:rPr>
          <w:rFonts w:ascii="Times New Roman" w:cs="Times New Roman" w:eastAsia="Times New Roman" w:hAnsi="Times New Roman"/>
          <w:sz w:val="17"/>
          <w:szCs w:val="17"/>
          <w:color w:val="auto"/>
        </w:rPr>
      </w:pPr>
    </w:p>
    <w:p>
      <w:pPr>
        <w:ind w:left="880" w:hanging="18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gridSpan w:val="1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64"/>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1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6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98"/>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2980" w:type="dxa"/>
            <w:vAlign w:val="bottom"/>
            <w:gridSpan w:val="15"/>
          </w:tcPr>
          <w:p>
            <w:pPr>
              <w:spacing w:after="0" w:line="198"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At the Market Offering Agreement,</w:t>
              </w:r>
            </w:hyperlink>
          </w:p>
        </w:tc>
        <w:tc>
          <w:tcPr>
            <w:tcW w:w="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001-33357</w:t>
            </w: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1.1</w:t>
            </w: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February 27, 2023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7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dated February 27, 2023, between the</w:t>
              </w:r>
            </w:hyperlink>
          </w:p>
        </w:tc>
        <w:tc>
          <w:tcPr>
            <w:tcW w:w="2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Company and H.C. Wainwright &amp; Co.,</w:t>
              </w:r>
            </w:hyperlink>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980" w:type="dxa"/>
            <w:vAlign w:val="bottom"/>
            <w:gridSpan w:val="1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LLC</w:t>
              </w:r>
            </w:hyperlink>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980" w:type="dxa"/>
            <w:vAlign w:val="bottom"/>
            <w:gridSpan w:val="15"/>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Certificate of Incorporation of the</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Company</w:t>
              </w:r>
            </w:hyperlink>
          </w:p>
        </w:tc>
        <w:tc>
          <w:tcPr>
            <w:tcW w:w="54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980" w:type="dxa"/>
            <w:vAlign w:val="bottom"/>
            <w:gridSpan w:val="15"/>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Amendment to Certificate of</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Def</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Incorporation of the Company</w:t>
              </w:r>
            </w:hyperlink>
          </w:p>
        </w:tc>
        <w:tc>
          <w:tcPr>
            <w:tcW w:w="780" w:type="dxa"/>
            <w:vAlign w:val="bottom"/>
            <w:gridSpan w:val="9"/>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14A</w:t>
            </w: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Second Amendment to Certificate of</w:t>
              </w:r>
            </w:hyperlink>
          </w:p>
        </w:tc>
        <w:tc>
          <w:tcPr>
            <w:tcW w:w="320" w:type="dxa"/>
            <w:vAlign w:val="bottom"/>
            <w:gridSpan w:val="4"/>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Def</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17, 2018</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Incorporation of the Company</w:t>
              </w:r>
            </w:hyperlink>
          </w:p>
        </w:tc>
        <w:tc>
          <w:tcPr>
            <w:tcW w:w="780" w:type="dxa"/>
            <w:vAlign w:val="bottom"/>
            <w:gridSpan w:val="9"/>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14A</w:t>
            </w: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980" w:type="dxa"/>
            <w:vAlign w:val="bottom"/>
            <w:gridSpan w:val="15"/>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Third Amendment to Certificate of</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20, 2019</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Incorporation of the Company</w:t>
              </w:r>
            </w:hyperlink>
          </w:p>
        </w:tc>
        <w:tc>
          <w:tcPr>
            <w:tcW w:w="360" w:type="dxa"/>
            <w:vAlign w:val="bottom"/>
            <w:tcBorders>
              <w:top w:val="single" w:sz="8" w:color="0000EE"/>
            </w:tcBorders>
            <w:gridSpan w:val="3"/>
          </w:tcPr>
          <w:p>
            <w:pPr>
              <w:spacing w:after="0"/>
              <w:rPr>
                <w:sz w:val="17"/>
                <w:szCs w:val="17"/>
                <w:color w:val="auto"/>
              </w:rPr>
            </w:pPr>
          </w:p>
        </w:tc>
        <w:tc>
          <w:tcPr>
            <w:tcW w:w="42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2980" w:type="dxa"/>
            <w:vAlign w:val="bottom"/>
            <w:gridSpan w:val="15"/>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Fourth Amendment to Certificate of</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2022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Incorporation of the Company</w:t>
              </w:r>
            </w:hyperlink>
          </w:p>
        </w:tc>
        <w:tc>
          <w:tcPr>
            <w:tcW w:w="400" w:type="dxa"/>
            <w:vAlign w:val="bottom"/>
            <w:tcBorders>
              <w:top w:val="single" w:sz="8" w:color="0000EE"/>
            </w:tcBorders>
            <w:gridSpan w:val="4"/>
          </w:tcPr>
          <w:p>
            <w:pPr>
              <w:spacing w:after="0"/>
              <w:rPr>
                <w:sz w:val="17"/>
                <w:szCs w:val="17"/>
                <w:color w:val="auto"/>
              </w:rPr>
            </w:pPr>
          </w:p>
        </w:tc>
        <w:tc>
          <w:tcPr>
            <w:tcW w:w="38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24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Fifth Amendment to Certificate of</w:t>
              </w:r>
            </w:hyperlink>
          </w:p>
        </w:tc>
        <w:tc>
          <w:tcPr>
            <w:tcW w:w="500" w:type="dxa"/>
            <w:vAlign w:val="bottom"/>
            <w:gridSpan w:val="7"/>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7, 2023</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Incorporation of the Company</w:t>
              </w:r>
            </w:hyperlink>
          </w:p>
        </w:tc>
        <w:tc>
          <w:tcPr>
            <w:tcW w:w="78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2980" w:type="dxa"/>
            <w:vAlign w:val="bottom"/>
            <w:gridSpan w:val="15"/>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Amended and Restated Bylaws of the</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7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Company</w:t>
              </w:r>
            </w:hyperlink>
          </w:p>
        </w:tc>
        <w:tc>
          <w:tcPr>
            <w:tcW w:w="26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980" w:type="dxa"/>
            <w:vAlign w:val="bottom"/>
            <w:gridSpan w:val="1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Restricted Stock</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18, 2012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Agreement/Notice</w:t>
              </w:r>
            </w:hyperlink>
          </w:p>
        </w:tc>
        <w:tc>
          <w:tcPr>
            <w:tcW w:w="480" w:type="dxa"/>
            <w:vAlign w:val="bottom"/>
            <w:tcBorders>
              <w:top w:val="single" w:sz="8" w:color="0000EE"/>
            </w:tcBorders>
          </w:tcPr>
          <w:p>
            <w:pPr>
              <w:spacing w:after="0"/>
              <w:rPr>
                <w:sz w:val="17"/>
                <w:szCs w:val="17"/>
                <w:color w:val="auto"/>
              </w:rPr>
            </w:pPr>
          </w:p>
        </w:tc>
        <w:tc>
          <w:tcPr>
            <w:tcW w:w="116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of Stock Option Agreement</w:t>
              </w:r>
            </w:hyperlink>
          </w:p>
        </w:tc>
        <w:tc>
          <w:tcPr>
            <w:tcW w:w="540" w:type="dxa"/>
            <w:vAlign w:val="bottom"/>
            <w:gridSpan w:val="16"/>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196"/>
        </w:trPr>
        <w:tc>
          <w:tcPr>
            <w:tcW w:w="820" w:type="dxa"/>
            <w:vAlign w:val="bottom"/>
          </w:tcPr>
          <w:p>
            <w:pPr>
              <w:spacing w:after="0"/>
              <w:rPr>
                <w:sz w:val="17"/>
                <w:szCs w:val="17"/>
                <w:color w:val="auto"/>
              </w:rPr>
            </w:pPr>
          </w:p>
        </w:tc>
        <w:tc>
          <w:tcPr>
            <w:tcW w:w="2980" w:type="dxa"/>
            <w:vAlign w:val="bottom"/>
            <w:gridSpan w:val="28"/>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(Executives)</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Form of Stock Option Agreement</w:t>
              </w:r>
            </w:hyperlink>
          </w:p>
        </w:tc>
        <w:tc>
          <w:tcPr>
            <w:tcW w:w="540" w:type="dxa"/>
            <w:vAlign w:val="bottom"/>
            <w:gridSpan w:val="16"/>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196"/>
        </w:trPr>
        <w:tc>
          <w:tcPr>
            <w:tcW w:w="82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13">
              <w:r>
                <w:rPr>
                  <w:rFonts w:ascii="Times New Roman" w:cs="Times New Roman" w:eastAsia="Times New Roman" w:hAnsi="Times New Roman"/>
                  <w:sz w:val="18"/>
                  <w:szCs w:val="18"/>
                  <w:color w:val="0000EE"/>
                  <w:w w:val="97"/>
                </w:rPr>
                <w:t>(Standard)</w:t>
              </w:r>
            </w:hyperlink>
          </w:p>
        </w:tc>
        <w:tc>
          <w:tcPr>
            <w:tcW w:w="2220" w:type="dxa"/>
            <w:vAlign w:val="bottom"/>
            <w:gridSpan w:val="26"/>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9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Lease Agreement between Protalix Ltd.</w:t>
              </w:r>
            </w:hyperlink>
          </w:p>
        </w:tc>
        <w:tc>
          <w:tcPr>
            <w:tcW w:w="120" w:type="dxa"/>
            <w:vAlign w:val="bottom"/>
            <w:gridSpan w:val="3"/>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January 8, 2007</w:t>
            </w:r>
          </w:p>
        </w:tc>
      </w:tr>
      <w:tr>
        <w:trPr>
          <w:trHeight w:val="196"/>
        </w:trPr>
        <w:tc>
          <w:tcPr>
            <w:tcW w:w="820" w:type="dxa"/>
            <w:vAlign w:val="bottom"/>
          </w:tcPr>
          <w:p>
            <w:pPr>
              <w:spacing w:after="0"/>
              <w:rPr>
                <w:sz w:val="17"/>
                <w:szCs w:val="17"/>
                <w:color w:val="auto"/>
              </w:rPr>
            </w:pPr>
          </w:p>
        </w:tc>
        <w:tc>
          <w:tcPr>
            <w:tcW w:w="29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and Angel Science Park (99) Ltd., dated</w:t>
              </w:r>
            </w:hyperlink>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7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as of October 28, 2003 as amended on</w:t>
              </w:r>
            </w:hyperlink>
          </w:p>
        </w:tc>
        <w:tc>
          <w:tcPr>
            <w:tcW w:w="22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980" w:type="dxa"/>
            <w:vAlign w:val="bottom"/>
            <w:gridSpan w:val="28"/>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April 18, 2005</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Unprotected Lease Agreement</w:t>
              </w:r>
            </w:hyperlink>
          </w:p>
        </w:tc>
        <w:tc>
          <w:tcPr>
            <w:tcW w:w="780" w:type="dxa"/>
            <w:vAlign w:val="bottom"/>
            <w:gridSpan w:val="19"/>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2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March 17, 2008</w:t>
            </w: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980" w:type="dxa"/>
            <w:vAlign w:val="bottom"/>
            <w:gridSpan w:val="28"/>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Amended and Restated Agreement</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7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between Protalix Ltd. and Comercio e</w:t>
              </w:r>
            </w:hyperlink>
          </w:p>
        </w:tc>
        <w:tc>
          <w:tcPr>
            <w:tcW w:w="24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5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Serviços Ltda. dated June 17, 2013</w:t>
              </w:r>
            </w:hyperlink>
          </w:p>
        </w:tc>
        <w:tc>
          <w:tcPr>
            <w:tcW w:w="44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980" w:type="dxa"/>
            <w:vAlign w:val="bottom"/>
            <w:gridSpan w:val="28"/>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Technology Transfer and Supply</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9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Agreement made as of June 18, 2013 by</w:t>
              </w:r>
            </w:hyperlink>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and between Protalix Ltd. and</w:t>
              </w:r>
            </w:hyperlink>
          </w:p>
        </w:tc>
        <w:tc>
          <w:tcPr>
            <w:tcW w:w="820" w:type="dxa"/>
            <w:vAlign w:val="bottom"/>
            <w:gridSpan w:val="20"/>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Fundação Oswaldo Cruz</w:t>
              </w:r>
            </w:hyperlink>
          </w:p>
        </w:tc>
        <w:tc>
          <w:tcPr>
            <w:tcW w:w="1200" w:type="dxa"/>
            <w:vAlign w:val="bottom"/>
            <w:gridSpan w:val="22"/>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7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Binding Term Sheet between Protalix</w:t>
              </w:r>
            </w:hyperlink>
          </w:p>
        </w:tc>
        <w:tc>
          <w:tcPr>
            <w:tcW w:w="260" w:type="dxa"/>
            <w:vAlign w:val="bottom"/>
            <w:gridSpan w:val="8"/>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196"/>
        </w:trPr>
        <w:tc>
          <w:tcPr>
            <w:tcW w:w="820" w:type="dxa"/>
            <w:vAlign w:val="bottom"/>
          </w:tcPr>
          <w:p>
            <w:pPr>
              <w:spacing w:after="0"/>
              <w:rPr>
                <w:sz w:val="17"/>
                <w:szCs w:val="17"/>
                <w:color w:val="auto"/>
              </w:rPr>
            </w:pPr>
          </w:p>
        </w:tc>
        <w:tc>
          <w:tcPr>
            <w:tcW w:w="2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Ltd. and Chiesi Farmaceutici S.p.A.</w:t>
              </w:r>
            </w:hyperlink>
          </w:p>
        </w:tc>
        <w:tc>
          <w:tcPr>
            <w:tcW w:w="38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4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Amended and Restated Exclusive</w:t>
              </w:r>
            </w:hyperlink>
          </w:p>
        </w:tc>
        <w:tc>
          <w:tcPr>
            <w:tcW w:w="560" w:type="dxa"/>
            <w:vAlign w:val="bottom"/>
            <w:gridSpan w:val="17"/>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10-Q/A</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December 11, 2015</w:t>
            </w:r>
          </w:p>
        </w:tc>
      </w:tr>
      <w:tr>
        <w:trPr>
          <w:trHeight w:val="196"/>
        </w:trPr>
        <w:tc>
          <w:tcPr>
            <w:tcW w:w="820" w:type="dxa"/>
            <w:vAlign w:val="bottom"/>
          </w:tcPr>
          <w:p>
            <w:pPr>
              <w:spacing w:after="0"/>
              <w:rPr>
                <w:sz w:val="17"/>
                <w:szCs w:val="17"/>
                <w:color w:val="auto"/>
              </w:rPr>
            </w:pPr>
          </w:p>
        </w:tc>
        <w:tc>
          <w:tcPr>
            <w:tcW w:w="2980" w:type="dxa"/>
            <w:vAlign w:val="bottom"/>
            <w:gridSpan w:val="28"/>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License and Supply Agreement by and</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between Pfizer Inc. and Protalix Ltd.,</w:t>
              </w:r>
            </w:hyperlink>
          </w:p>
        </w:tc>
        <w:tc>
          <w:tcPr>
            <w:tcW w:w="80" w:type="dxa"/>
            <w:vAlign w:val="bottom"/>
            <w:tcBorders>
              <w:top w:val="single" w:sz="8" w:color="0000EE"/>
            </w:tcBorders>
            <w:gridSpan w:val="4"/>
          </w:tcPr>
          <w:p>
            <w:pPr>
              <w:spacing w:after="0"/>
              <w:rPr>
                <w:sz w:val="17"/>
                <w:szCs w:val="17"/>
                <w:color w:val="auto"/>
              </w:rPr>
            </w:pPr>
          </w:p>
        </w:tc>
        <w:tc>
          <w:tcPr>
            <w:tcW w:w="20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980" w:type="dxa"/>
            <w:vAlign w:val="bottom"/>
            <w:gridSpan w:val="28"/>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dated October 12, 2015</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980" w:type="dxa"/>
            <w:vAlign w:val="bottom"/>
            <w:gridSpan w:val="28"/>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Exclusive License and Supply</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2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March 6, 2018</w:t>
            </w: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5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Agreement dated as of October 17,</w:t>
              </w:r>
            </w:hyperlink>
          </w:p>
        </w:tc>
        <w:tc>
          <w:tcPr>
            <w:tcW w:w="46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980" w:type="dxa"/>
            <w:vAlign w:val="bottom"/>
            <w:gridSpan w:val="28"/>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2017, made by and between</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tcBorders>
              <w:right w:val="single" w:sz="8" w:color="0000EE"/>
            </w:tcBorders>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Protalix Ltd. and Chiesi Farmaceutici</w:t>
              </w:r>
            </w:hyperlink>
          </w:p>
        </w:tc>
        <w:tc>
          <w:tcPr>
            <w:tcW w:w="28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980" w:type="dxa"/>
            <w:vAlign w:val="bottom"/>
            <w:gridSpan w:val="28"/>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S.p.A.</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5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Exclusive U.S. License and Supply</w:t>
              </w:r>
            </w:hyperlink>
          </w:p>
        </w:tc>
        <w:tc>
          <w:tcPr>
            <w:tcW w:w="440" w:type="dxa"/>
            <w:vAlign w:val="bottom"/>
            <w:gridSpan w:val="13"/>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November 7, 2018</w:t>
            </w:r>
          </w:p>
        </w:tc>
      </w:tr>
      <w:tr>
        <w:trPr>
          <w:trHeight w:val="196"/>
        </w:trPr>
        <w:tc>
          <w:tcPr>
            <w:tcW w:w="820" w:type="dxa"/>
            <w:vAlign w:val="bottom"/>
          </w:tcPr>
          <w:p>
            <w:pPr>
              <w:spacing w:after="0"/>
              <w:rPr>
                <w:sz w:val="17"/>
                <w:szCs w:val="17"/>
                <w:color w:val="auto"/>
              </w:rPr>
            </w:pPr>
          </w:p>
        </w:tc>
        <w:tc>
          <w:tcPr>
            <w:tcW w:w="2980" w:type="dxa"/>
            <w:vAlign w:val="bottom"/>
            <w:gridSpan w:val="28"/>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Agreement dated as of July 23, 2018,</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200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8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made by and between Protalix Ltd. and</w:t>
              </w:r>
            </w:hyperlink>
          </w:p>
        </w:tc>
        <w:tc>
          <w:tcPr>
            <w:tcW w:w="16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Chiesi Farmaceutici S.p.A.</w:t>
              </w:r>
            </w:hyperlink>
          </w:p>
        </w:tc>
        <w:tc>
          <w:tcPr>
            <w:tcW w:w="980" w:type="dxa"/>
            <w:vAlign w:val="bottom"/>
            <w:gridSpan w:val="21"/>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8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Employment Agreement made effective</w:t>
              </w:r>
            </w:hyperlink>
          </w:p>
        </w:tc>
        <w:tc>
          <w:tcPr>
            <w:tcW w:w="100" w:type="dxa"/>
            <w:vAlign w:val="bottom"/>
            <w:gridSpan w:val="2"/>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May 21, 2019</w:t>
            </w:r>
          </w:p>
        </w:tc>
      </w:tr>
      <w:tr>
        <w:trPr>
          <w:trHeight w:val="196"/>
        </w:trPr>
        <w:tc>
          <w:tcPr>
            <w:tcW w:w="820" w:type="dxa"/>
            <w:vAlign w:val="bottom"/>
          </w:tcPr>
          <w:p>
            <w:pPr>
              <w:spacing w:after="0"/>
              <w:rPr>
                <w:sz w:val="17"/>
                <w:szCs w:val="17"/>
                <w:color w:val="auto"/>
              </w:rPr>
            </w:pPr>
          </w:p>
        </w:tc>
        <w:tc>
          <w:tcPr>
            <w:tcW w:w="2980" w:type="dxa"/>
            <w:vAlign w:val="bottom"/>
            <w:gridSpan w:val="28"/>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as of May 20, 2019, by and between</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6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Protalix Ltd. and Mr. Dror Bashan</w:t>
              </w:r>
            </w:hyperlink>
          </w:p>
        </w:tc>
        <w:tc>
          <w:tcPr>
            <w:tcW w:w="38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234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8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Employment Agreement made effective</w:t>
              </w:r>
            </w:hyperlink>
          </w:p>
        </w:tc>
        <w:tc>
          <w:tcPr>
            <w:tcW w:w="100" w:type="dxa"/>
            <w:vAlign w:val="bottom"/>
            <w:gridSpan w:val="2"/>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July 29, 2019</w:t>
            </w:r>
          </w:p>
        </w:tc>
      </w:tr>
      <w:tr>
        <w:trPr>
          <w:trHeight w:val="196"/>
        </w:trPr>
        <w:tc>
          <w:tcPr>
            <w:tcW w:w="820" w:type="dxa"/>
            <w:vAlign w:val="bottom"/>
          </w:tcPr>
          <w:p>
            <w:pPr>
              <w:spacing w:after="0"/>
              <w:rPr>
                <w:sz w:val="17"/>
                <w:szCs w:val="17"/>
                <w:color w:val="auto"/>
              </w:rPr>
            </w:pPr>
          </w:p>
        </w:tc>
        <w:tc>
          <w:tcPr>
            <w:tcW w:w="25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as of July 28, 2019, by and between</w:t>
              </w:r>
            </w:hyperlink>
          </w:p>
        </w:tc>
        <w:tc>
          <w:tcPr>
            <w:tcW w:w="40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980" w:type="dxa"/>
            <w:vAlign w:val="bottom"/>
            <w:gridSpan w:val="28"/>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Protalix Ltd. and Mr. Eyal Rubin</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9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Amended and Restated Pro</w:t>
              </w:r>
            </w:hyperlink>
          </w:p>
        </w:tc>
        <w:tc>
          <w:tcPr>
            <w:tcW w:w="1080" w:type="dxa"/>
            <w:vAlign w:val="bottom"/>
            <w:gridSpan w:val="18"/>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2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28, 2024</w:t>
            </w:r>
          </w:p>
        </w:tc>
      </w:tr>
      <w:tr>
        <w:trPr>
          <w:trHeight w:val="196"/>
        </w:trPr>
        <w:tc>
          <w:tcPr>
            <w:tcW w:w="780" w:type="dxa"/>
            <w:vAlign w:val="bottom"/>
          </w:tcPr>
          <w:p>
            <w:pPr>
              <w:spacing w:after="0"/>
              <w:rPr>
                <w:sz w:val="17"/>
                <w:szCs w:val="17"/>
                <w:color w:val="auto"/>
              </w:rPr>
            </w:pPr>
          </w:p>
        </w:tc>
        <w:tc>
          <w:tcPr>
            <w:tcW w:w="3060" w:type="dxa"/>
            <w:vAlign w:val="bottom"/>
            <w:gridSpan w:val="2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BioTherapeutics, Inc. 2006 Stock</w:t>
              </w:r>
            </w:hyperlink>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Incentive Plan, as amended</w:t>
              </w:r>
            </w:hyperlink>
          </w:p>
        </w:tc>
        <w:tc>
          <w:tcPr>
            <w:tcW w:w="440" w:type="dxa"/>
            <w:vAlign w:val="bottom"/>
            <w:tcBorders>
              <w:top w:val="single" w:sz="8" w:color="0000EE"/>
            </w:tcBorders>
            <w:gridSpan w:val="5"/>
          </w:tcPr>
          <w:p>
            <w:pPr>
              <w:spacing w:after="0"/>
              <w:rPr>
                <w:sz w:val="17"/>
                <w:szCs w:val="17"/>
                <w:color w:val="auto"/>
              </w:rPr>
            </w:pPr>
          </w:p>
        </w:tc>
        <w:tc>
          <w:tcPr>
            <w:tcW w:w="640" w:type="dxa"/>
            <w:vAlign w:val="bottom"/>
            <w:gridSpan w:val="13"/>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5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Fill/Finish Agreement effective on</w:t>
              </w:r>
            </w:hyperlink>
          </w:p>
        </w:tc>
        <w:tc>
          <w:tcPr>
            <w:tcW w:w="560" w:type="dxa"/>
            <w:vAlign w:val="bottom"/>
            <w:gridSpan w:val="12"/>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2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November 14, 2022</w:t>
            </w:r>
          </w:p>
        </w:tc>
      </w:tr>
      <w:tr>
        <w:trPr>
          <w:trHeight w:val="196"/>
        </w:trPr>
        <w:tc>
          <w:tcPr>
            <w:tcW w:w="780" w:type="dxa"/>
            <w:vAlign w:val="bottom"/>
          </w:tcPr>
          <w:p>
            <w:pPr>
              <w:spacing w:after="0"/>
              <w:rPr>
                <w:sz w:val="17"/>
                <w:szCs w:val="17"/>
                <w:color w:val="auto"/>
              </w:rPr>
            </w:pPr>
          </w:p>
        </w:tc>
        <w:tc>
          <w:tcPr>
            <w:tcW w:w="28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August 29, 2022 made by and between</w:t>
              </w:r>
            </w:hyperlink>
          </w:p>
        </w:tc>
        <w:tc>
          <w:tcPr>
            <w:tcW w:w="24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060" w:type="dxa"/>
            <w:vAlign w:val="bottom"/>
            <w:gridSpan w:val="2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Chiesi Farmaceutici S.p.A and Protalix</w:t>
              </w:r>
            </w:hyperlink>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8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Ltd.</w:t>
              </w:r>
            </w:hyperlink>
          </w:p>
        </w:tc>
        <w:tc>
          <w:tcPr>
            <w:tcW w:w="24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5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Letter Agreement dated August 29,</w:t>
              </w:r>
            </w:hyperlink>
          </w:p>
        </w:tc>
        <w:tc>
          <w:tcPr>
            <w:tcW w:w="500" w:type="dxa"/>
            <w:vAlign w:val="bottom"/>
            <w:gridSpan w:val="10"/>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2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November 14, 2022</w:t>
            </w:r>
          </w:p>
        </w:tc>
      </w:tr>
      <w:tr>
        <w:trPr>
          <w:trHeight w:val="196"/>
        </w:trPr>
        <w:tc>
          <w:tcPr>
            <w:tcW w:w="780" w:type="dxa"/>
            <w:vAlign w:val="bottom"/>
          </w:tcPr>
          <w:p>
            <w:pPr>
              <w:spacing w:after="0"/>
              <w:rPr>
                <w:sz w:val="17"/>
                <w:szCs w:val="17"/>
                <w:color w:val="auto"/>
              </w:rPr>
            </w:pPr>
          </w:p>
        </w:tc>
        <w:tc>
          <w:tcPr>
            <w:tcW w:w="29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2022 from Chiesi Farmaceutici S.p.A to</w:t>
              </w:r>
            </w:hyperlink>
          </w:p>
        </w:tc>
        <w:tc>
          <w:tcPr>
            <w:tcW w:w="1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Protalix Ltd.</w:t>
              </w:r>
            </w:hyperlink>
          </w:p>
        </w:tc>
        <w:tc>
          <w:tcPr>
            <w:tcW w:w="2140" w:type="dxa"/>
            <w:vAlign w:val="bottom"/>
            <w:gridSpan w:val="19"/>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26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Insider Trading and Blackout Policy</w:t>
            </w:r>
          </w:p>
        </w:tc>
        <w:tc>
          <w:tcPr>
            <w:tcW w:w="44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76"/>
              </w:rPr>
              <w:t>X</w:t>
            </w: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Subsidiaries</w:t>
            </w:r>
          </w:p>
        </w:tc>
        <w:tc>
          <w:tcPr>
            <w:tcW w:w="2160" w:type="dxa"/>
            <w:vAlign w:val="bottom"/>
            <w:gridSpan w:val="20"/>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76"/>
              </w:rPr>
              <w:t>X</w:t>
            </w: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7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Consent of Kesselman &amp; Kesselman,</w:t>
            </w:r>
          </w:p>
        </w:tc>
        <w:tc>
          <w:tcPr>
            <w:tcW w:w="36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780" w:type="dxa"/>
            <w:vAlign w:val="bottom"/>
          </w:tcPr>
          <w:p>
            <w:pPr>
              <w:spacing w:after="0"/>
              <w:rPr>
                <w:sz w:val="17"/>
                <w:szCs w:val="17"/>
                <w:color w:val="auto"/>
              </w:rPr>
            </w:pPr>
          </w:p>
        </w:tc>
        <w:tc>
          <w:tcPr>
            <w:tcW w:w="26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Certified Public Accountants (Isr.), a</w:t>
            </w:r>
          </w:p>
        </w:tc>
        <w:tc>
          <w:tcPr>
            <w:tcW w:w="40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member of PricewaterhouseCoopers</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International Limited, independent</w:t>
            </w:r>
          </w:p>
        </w:tc>
        <w:tc>
          <w:tcPr>
            <w:tcW w:w="100" w:type="dxa"/>
            <w:vAlign w:val="bottom"/>
            <w:tcBorders>
              <w:top w:val="single" w:sz="8" w:color="0000EE"/>
            </w:tcBorders>
            <w:gridSpan w:val="2"/>
          </w:tcPr>
          <w:p>
            <w:pPr>
              <w:spacing w:after="0"/>
              <w:rPr>
                <w:sz w:val="17"/>
                <w:szCs w:val="17"/>
                <w:color w:val="auto"/>
              </w:rPr>
            </w:pPr>
          </w:p>
        </w:tc>
        <w:tc>
          <w:tcPr>
            <w:tcW w:w="44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9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registered public accounting firm for the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Registrant</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0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Power of Attorney (included on the</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78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 page to this Annual Report on</w:t>
            </w:r>
          </w:p>
        </w:tc>
        <w:tc>
          <w:tcPr>
            <w:tcW w:w="1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w:t>
            </w:r>
          </w:p>
        </w:tc>
        <w:tc>
          <w:tcPr>
            <w:tcW w:w="2180" w:type="dxa"/>
            <w:vAlign w:val="bottom"/>
            <w:gridSpan w:val="21"/>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0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78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as adopted</w:t>
            </w:r>
          </w:p>
        </w:tc>
        <w:tc>
          <w:tcPr>
            <w:tcW w:w="120" w:type="dxa"/>
            <w:vAlign w:val="bottom"/>
            <w:tcBorders>
              <w:top w:val="single" w:sz="8" w:color="0000EE"/>
            </w:tcBorders>
            <w:gridSpan w:val="3"/>
          </w:tcPr>
          <w:p>
            <w:pPr>
              <w:spacing w:after="0"/>
              <w:rPr>
                <w:sz w:val="17"/>
                <w:szCs w:val="17"/>
                <w:color w:val="auto"/>
              </w:rPr>
            </w:pPr>
          </w:p>
        </w:tc>
        <w:tc>
          <w:tcPr>
            <w:tcW w:w="1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w:t>
            </w:r>
          </w:p>
        </w:tc>
        <w:tc>
          <w:tcPr>
            <w:tcW w:w="88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22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780" w:type="dxa"/>
            <w:vAlign w:val="bottom"/>
          </w:tcPr>
          <w:p>
            <w:pPr>
              <w:spacing w:after="0"/>
              <w:rPr>
                <w:sz w:val="17"/>
                <w:szCs w:val="17"/>
                <w:color w:val="auto"/>
              </w:rPr>
            </w:pPr>
          </w:p>
        </w:tc>
        <w:tc>
          <w:tcPr>
            <w:tcW w:w="27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as adopted</w:t>
            </w:r>
          </w:p>
        </w:tc>
        <w:tc>
          <w:tcPr>
            <w:tcW w:w="30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w:t>
            </w:r>
          </w:p>
        </w:tc>
        <w:tc>
          <w:tcPr>
            <w:tcW w:w="88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0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18 U.S.C. Section 1350, as adopted</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78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w:t>
            </w:r>
          </w:p>
        </w:tc>
        <w:tc>
          <w:tcPr>
            <w:tcW w:w="380" w:type="dxa"/>
            <w:vAlign w:val="bottom"/>
            <w:tcBorders>
              <w:top w:val="single" w:sz="8" w:color="0000EE"/>
            </w:tcBorders>
            <w:gridSpan w:val="5"/>
          </w:tcPr>
          <w:p>
            <w:pPr>
              <w:spacing w:after="0"/>
              <w:rPr>
                <w:sz w:val="17"/>
                <w:szCs w:val="17"/>
                <w:color w:val="auto"/>
              </w:rPr>
            </w:pPr>
          </w:p>
        </w:tc>
        <w:tc>
          <w:tcPr>
            <w:tcW w:w="50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88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18 U.S.C. Section 1350, as adopted</w:t>
            </w:r>
          </w:p>
        </w:tc>
        <w:tc>
          <w:tcPr>
            <w:tcW w:w="18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78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w:t>
            </w:r>
          </w:p>
        </w:tc>
        <w:tc>
          <w:tcPr>
            <w:tcW w:w="380" w:type="dxa"/>
            <w:vAlign w:val="bottom"/>
            <w:tcBorders>
              <w:top w:val="single" w:sz="8" w:color="0000EE"/>
            </w:tcBorders>
            <w:gridSpan w:val="5"/>
          </w:tcPr>
          <w:p>
            <w:pPr>
              <w:spacing w:after="0"/>
              <w:rPr>
                <w:sz w:val="17"/>
                <w:szCs w:val="17"/>
                <w:color w:val="auto"/>
              </w:rPr>
            </w:pPr>
          </w:p>
        </w:tc>
        <w:tc>
          <w:tcPr>
            <w:tcW w:w="50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22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Policy Relating to Recovery of</w:t>
              </w:r>
            </w:hyperlink>
          </w:p>
        </w:tc>
        <w:tc>
          <w:tcPr>
            <w:tcW w:w="820" w:type="dxa"/>
            <w:vAlign w:val="bottom"/>
            <w:gridSpan w:val="14"/>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97.1</w:t>
            </w:r>
          </w:p>
        </w:tc>
        <w:tc>
          <w:tcPr>
            <w:tcW w:w="2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March 14, 2024</w:t>
            </w:r>
          </w:p>
        </w:tc>
      </w:tr>
      <w:tr>
        <w:trPr>
          <w:trHeight w:val="196"/>
        </w:trPr>
        <w:tc>
          <w:tcPr>
            <w:tcW w:w="780" w:type="dxa"/>
            <w:vAlign w:val="bottom"/>
          </w:tcPr>
          <w:p>
            <w:pPr>
              <w:spacing w:after="0"/>
              <w:rPr>
                <w:sz w:val="17"/>
                <w:szCs w:val="17"/>
                <w:color w:val="auto"/>
              </w:rPr>
            </w:pPr>
          </w:p>
        </w:tc>
        <w:tc>
          <w:tcPr>
            <w:tcW w:w="2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Erroneously Awarded Compensation</w:t>
              </w:r>
            </w:hyperlink>
          </w:p>
        </w:tc>
        <w:tc>
          <w:tcPr>
            <w:tcW w:w="40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0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INSTANCE DOCUMENT - the</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780" w:type="dxa"/>
            <w:vAlign w:val="bottom"/>
          </w:tcPr>
          <w:p>
            <w:pPr>
              <w:spacing w:after="0"/>
              <w:rPr>
                <w:sz w:val="20"/>
                <w:szCs w:val="20"/>
                <w:color w:val="auto"/>
              </w:rPr>
            </w:pPr>
          </w:p>
        </w:tc>
        <w:tc>
          <w:tcPr>
            <w:tcW w:w="30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instance document does not appear</w:t>
            </w: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the Interactive Data File because its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XBRL tags are embedded within the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Inline XBRL document</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SHEMA FILE</w:t>
            </w:r>
          </w:p>
        </w:tc>
        <w:tc>
          <w:tcPr>
            <w:tcW w:w="254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CALCULATION FILE</w:t>
            </w:r>
          </w:p>
        </w:tc>
        <w:tc>
          <w:tcPr>
            <w:tcW w:w="254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DEFINITION FILE</w:t>
            </w:r>
          </w:p>
        </w:tc>
        <w:tc>
          <w:tcPr>
            <w:tcW w:w="254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LABEL FILE</w:t>
            </w:r>
          </w:p>
        </w:tc>
        <w:tc>
          <w:tcPr>
            <w:tcW w:w="254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PRESENTATION FILE</w:t>
            </w:r>
          </w:p>
        </w:tc>
        <w:tc>
          <w:tcPr>
            <w:tcW w:w="254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76"/>
              </w:rPr>
              <w:t>X</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 -</w:t>
            </w:r>
          </w:p>
        </w:tc>
        <w:tc>
          <w:tcPr>
            <w:tcW w:w="254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720" w:type="dxa"/>
            <w:vAlign w:val="bottom"/>
          </w:tcPr>
          <w:p>
            <w:pPr>
              <w:spacing w:after="0"/>
              <w:rPr>
                <w:sz w:val="18"/>
                <w:szCs w:val="18"/>
                <w:color w:val="auto"/>
              </w:rPr>
            </w:pP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formatted in Inline XBRL and included</w:t>
            </w:r>
          </w:p>
        </w:tc>
        <w:tc>
          <w:tcPr>
            <w:tcW w:w="25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Exhibit 101</w:t>
            </w:r>
          </w:p>
        </w:tc>
        <w:tc>
          <w:tcPr>
            <w:tcW w:w="2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380" w:right="239" w:hanging="330"/>
        <w:spacing w:after="0" w:line="282" w:lineRule="auto"/>
        <w:tabs>
          <w:tab w:leader="none" w:pos="3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54" w:lineRule="exact"/>
        <w:rPr>
          <w:sz w:val="20"/>
          <w:szCs w:val="20"/>
          <w:color w:val="auto"/>
        </w:rPr>
      </w:pPr>
    </w:p>
    <w:p>
      <w:pPr>
        <w:ind w:left="380" w:right="179" w:hanging="330"/>
        <w:spacing w:after="0" w:line="266" w:lineRule="auto"/>
        <w:tabs>
          <w:tab w:leader="none" w:pos="3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omitted and have been filed separately with the Secretary of the Securities and Exchange Commission pursuant to the Registrant’s application requesting confidential treatment under Rule 24b-2 of the Exchange Act.</w:t>
      </w:r>
    </w:p>
    <w:p>
      <w:pPr>
        <w:spacing w:after="0" w:line="14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as of March 17, 2025.</w:t>
      </w:r>
    </w:p>
    <w:p>
      <w:pPr>
        <w:spacing w:after="0" w:line="1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26485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Dror Bashan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Dror Bashan and Eyal Rubin, and each of them,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said attorneys-in-fact and agents, or any of them, or their or his substitute or substitutes, may lawfully do or cause to be done by virtue hereof.</w:t>
      </w:r>
    </w:p>
    <w:p>
      <w:pPr>
        <w:spacing w:after="0" w:line="14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2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6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Dror Bashan</w:t>
            </w:r>
          </w:p>
        </w:tc>
        <w:tc>
          <w:tcPr>
            <w:tcW w:w="4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16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Dror Bashan</w:t>
            </w:r>
          </w:p>
        </w:tc>
        <w:tc>
          <w:tcPr>
            <w:tcW w:w="4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Eyal Rubin</w:t>
            </w:r>
          </w:p>
        </w:tc>
        <w:tc>
          <w:tcPr>
            <w:tcW w:w="4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Chief Financial Officer, Treasurer and</w:t>
            </w:r>
          </w:p>
        </w:tc>
        <w:tc>
          <w:tcPr>
            <w:tcW w:w="16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198"/>
        </w:trPr>
        <w:tc>
          <w:tcPr>
            <w:tcW w:w="2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Eyal Rubin</w:t>
            </w:r>
          </w:p>
        </w:tc>
        <w:tc>
          <w:tcPr>
            <w:tcW w:w="424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Secretary (Principal Financial</w:t>
            </w:r>
          </w:p>
        </w:tc>
        <w:tc>
          <w:tcPr>
            <w:tcW w:w="1660" w:type="dxa"/>
            <w:vAlign w:val="bottom"/>
          </w:tcPr>
          <w:p>
            <w:pPr>
              <w:spacing w:after="0"/>
              <w:rPr>
                <w:sz w:val="17"/>
                <w:szCs w:val="17"/>
                <w:color w:val="auto"/>
              </w:rPr>
            </w:pPr>
          </w:p>
        </w:tc>
      </w:tr>
      <w:tr>
        <w:trPr>
          <w:trHeight w:val="234"/>
        </w:trPr>
        <w:tc>
          <w:tcPr>
            <w:tcW w:w="2620" w:type="dxa"/>
            <w:vAlign w:val="bottom"/>
          </w:tcPr>
          <w:p>
            <w:pPr>
              <w:spacing w:after="0"/>
              <w:rPr>
                <w:sz w:val="20"/>
                <w:szCs w:val="20"/>
                <w:color w:val="auto"/>
              </w:rPr>
            </w:pPr>
          </w:p>
        </w:tc>
        <w:tc>
          <w:tcPr>
            <w:tcW w:w="4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and Accounting Officer)</w:t>
            </w:r>
          </w:p>
        </w:tc>
        <w:tc>
          <w:tcPr>
            <w:tcW w:w="1660" w:type="dxa"/>
            <w:vAlign w:val="bottom"/>
          </w:tcPr>
          <w:p>
            <w:pPr>
              <w:spacing w:after="0"/>
              <w:rPr>
                <w:sz w:val="20"/>
                <w:szCs w:val="20"/>
                <w:color w:val="auto"/>
              </w:rPr>
            </w:pPr>
          </w:p>
        </w:tc>
      </w:tr>
      <w:tr>
        <w:trPr>
          <w:trHeight w:val="439"/>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Eliot Richard Forster</w:t>
            </w:r>
          </w:p>
        </w:tc>
        <w:tc>
          <w:tcPr>
            <w:tcW w:w="4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Chairman of the Board</w:t>
            </w:r>
          </w:p>
        </w:tc>
        <w:tc>
          <w:tcPr>
            <w:tcW w:w="16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Eliot Richard Forster, Ph.D.</w:t>
            </w:r>
          </w:p>
        </w:tc>
        <w:tc>
          <w:tcPr>
            <w:tcW w:w="4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Amos Bar Shalev</w:t>
            </w:r>
          </w:p>
        </w:tc>
        <w:tc>
          <w:tcPr>
            <w:tcW w:w="4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Amos Bar Shalev</w:t>
            </w:r>
          </w:p>
        </w:tc>
        <w:tc>
          <w:tcPr>
            <w:tcW w:w="4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Shmuel Ben Zvi</w:t>
            </w:r>
          </w:p>
        </w:tc>
        <w:tc>
          <w:tcPr>
            <w:tcW w:w="4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Shmuel Ben Zvi, Ph.D.</w:t>
            </w:r>
          </w:p>
        </w:tc>
        <w:tc>
          <w:tcPr>
            <w:tcW w:w="4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Pol F. Boudes</w:t>
            </w:r>
          </w:p>
        </w:tc>
        <w:tc>
          <w:tcPr>
            <w:tcW w:w="4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Pol F. Boudes, M.D.</w:t>
            </w:r>
          </w:p>
        </w:tc>
        <w:tc>
          <w:tcPr>
            <w:tcW w:w="4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Gwen A. Melincoff</w:t>
            </w:r>
          </w:p>
        </w:tc>
        <w:tc>
          <w:tcPr>
            <w:tcW w:w="4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Gwen A. Melincoff</w:t>
            </w:r>
          </w:p>
        </w:tc>
        <w:tc>
          <w:tcPr>
            <w:tcW w:w="4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Aharon Schwartz</w:t>
            </w:r>
          </w:p>
        </w:tc>
        <w:tc>
          <w:tcPr>
            <w:tcW w:w="4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17, 2025</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Aharon Schwartz, Ph.D.</w:t>
            </w:r>
          </w:p>
        </w:tc>
        <w:tc>
          <w:tcPr>
            <w:tcW w:w="42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20" w:type="dxa"/>
            <w:vAlign w:val="bottom"/>
            <w:shd w:val="clear" w:color="auto" w:fill="CCEEFF"/>
          </w:tcPr>
          <w:p>
            <w:pPr>
              <w:spacing w:after="0"/>
              <w:rPr>
                <w:sz w:val="13"/>
                <w:szCs w:val="13"/>
                <w:color w:val="auto"/>
              </w:rPr>
            </w:pPr>
          </w:p>
        </w:tc>
        <w:tc>
          <w:tcPr>
            <w:tcW w:w="824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 xml:space="preserve">REPORT OF INDEPENDENT REGISTERED PUBLIC ACCOUNTING FIRM </w:t>
            </w:r>
            <w:r>
              <w:rPr>
                <w:rFonts w:ascii="Times New Roman" w:cs="Times New Roman" w:eastAsia="Times New Roman" w:hAnsi="Times New Roman"/>
                <w:sz w:val="15"/>
                <w:szCs w:val="15"/>
                <w:b w:val="1"/>
                <w:bCs w:val="1"/>
                <w:color w:val="000000"/>
              </w:rPr>
              <w:t>(PCAOB name:</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Kesselman &amp; Kesselman C.P.A.s and PCAOB ID: 1309)</w:t>
            </w:r>
          </w:p>
        </w:tc>
        <w:tc>
          <w:tcPr>
            <w:tcW w:w="2080" w:type="dxa"/>
            <w:vAlign w:val="bottom"/>
            <w:tcBorders>
              <w:top w:val="single" w:sz="8" w:color="CCEEFF"/>
            </w:tcBorders>
            <w:gridSpan w:val="4"/>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2023 and 2024</w:t>
            </w:r>
          </w:p>
        </w:tc>
        <w:tc>
          <w:tcPr>
            <w:tcW w:w="36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20" w:type="dxa"/>
            <w:vAlign w:val="bottom"/>
          </w:tcPr>
          <w:p>
            <w:pPr>
              <w:spacing w:after="0"/>
              <w:rPr>
                <w:sz w:val="15"/>
                <w:szCs w:val="15"/>
                <w:color w:val="auto"/>
              </w:rPr>
            </w:pPr>
          </w:p>
        </w:tc>
        <w:tc>
          <w:tcPr>
            <w:tcW w:w="8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2022, 2023 and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(Capital Deficiency) for the years ended</w:t>
            </w:r>
          </w:p>
        </w:tc>
        <w:tc>
          <w:tcPr>
            <w:tcW w:w="64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732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December 31, 2022, 2023 and 2024</w:t>
            </w:r>
          </w:p>
        </w:tc>
        <w:tc>
          <w:tcPr>
            <w:tcW w:w="9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2023 and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20" w:type="dxa"/>
            <w:vAlign w:val="bottom"/>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643255</wp:posOffset>
            </wp:positionV>
            <wp:extent cx="985520" cy="7029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Protalix BioTherapeutics, Inc.</w:t>
      </w:r>
    </w:p>
    <w:p>
      <w:pPr>
        <w:spacing w:after="0" w:line="171"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Opinion on the Financial Statements</w:t>
      </w:r>
    </w:p>
    <w:p>
      <w:pPr>
        <w:spacing w:after="0" w:line="134"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We have audited the accompanying consolidated balance sheets of Protalix BioTherapeutics, Inc. and its subsidiaries (the “Company”) as of December 31, 2024 and 2023, and the related consolidated statements of operations, changes in stockholders’ equity (capital deficiency) and cash flows for each of the three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51"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14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643255</wp:posOffset>
            </wp:positionV>
            <wp:extent cx="985520" cy="7029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34" w:lineRule="exact"/>
        <w:rPr>
          <w:sz w:val="20"/>
          <w:szCs w:val="20"/>
          <w:color w:val="auto"/>
        </w:rPr>
      </w:pPr>
    </w:p>
    <w:p>
      <w:pPr>
        <w:jc w:val="both"/>
        <w:ind w:left="60" w:right="59"/>
        <w:spacing w:after="0" w:line="237" w:lineRule="auto"/>
        <w:rPr>
          <w:sz w:val="20"/>
          <w:szCs w:val="20"/>
          <w:color w:val="auto"/>
        </w:rPr>
      </w:pPr>
      <w:r>
        <w:rPr>
          <w:rFonts w:ascii="Georgia" w:cs="Georgia" w:eastAsia="Georgia" w:hAnsi="Georgia"/>
          <w:sz w:val="18"/>
          <w:szCs w:val="18"/>
          <w:color w:val="auto"/>
        </w:rPr>
        <w:t>Critical audit matters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We determined there are no critical audit matters.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 Kesselman &amp; Kesselman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Certified Public Accountants (Isr.)</w:t>
      </w:r>
    </w:p>
    <w:p>
      <w:pPr>
        <w:spacing w:after="0" w:line="9" w:lineRule="exact"/>
        <w:rPr>
          <w:sz w:val="20"/>
          <w:szCs w:val="20"/>
          <w:color w:val="auto"/>
        </w:rPr>
      </w:pPr>
    </w:p>
    <w:p>
      <w:pPr>
        <w:ind w:left="60" w:right="4279"/>
        <w:spacing w:after="0" w:line="433" w:lineRule="auto"/>
        <w:rPr>
          <w:sz w:val="20"/>
          <w:szCs w:val="20"/>
          <w:color w:val="auto"/>
        </w:rPr>
      </w:pPr>
      <w:r>
        <w:rPr>
          <w:rFonts w:ascii="Times New Roman" w:cs="Times New Roman" w:eastAsia="Times New Roman" w:hAnsi="Times New Roman"/>
          <w:sz w:val="18"/>
          <w:szCs w:val="18"/>
          <w:b w:val="1"/>
          <w:bCs w:val="1"/>
          <w:color w:val="auto"/>
        </w:rPr>
        <w:t xml:space="preserve">A member of PricewaterhouseCoopers International Limited </w:t>
      </w:r>
      <w:r>
        <w:rPr>
          <w:rFonts w:ascii="Times New Roman" w:cs="Times New Roman" w:eastAsia="Times New Roman" w:hAnsi="Times New Roman"/>
          <w:sz w:val="18"/>
          <w:szCs w:val="18"/>
          <w:color w:val="auto"/>
        </w:rPr>
        <w:t>Tel Aviv, Israel</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bank deposits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as of December 31, 2023 and 2024,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185,000,000 shares; issued and outstanding - as of December 31, 2023 and 2024,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72,952,124 and 75,850,275 shares,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(381,549)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33,569</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amounts)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TAXES ON INCOME</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USED IN COMPUTING EARNINGS (LOSS) PER SHARE: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48,472,159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67,512,527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72,530,698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48,472,159</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82,424,016</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81,057,176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DEFICIENCY)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10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45,556,647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$ 368,852</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 (374,934)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7,473,038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(14,927)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53,790,167</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379,167</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(389,861)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(10,640)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2023:</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12,560,150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conversions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4,691,623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1,371,362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72,952,124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$ 415,045</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(381,549)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33,569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adoption of ASU 2020-06</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2,216,692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681,459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75,850,275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$ 421,528</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(378,393)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43,211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Represents an amount less than $1.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198"/>
        </w:trPr>
        <w:tc>
          <w:tcPr>
            <w:tcW w:w="61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Adjustments required to reconcile net income (loss) to net cash provided by</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4"/>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income, net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deferred income tax asset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(gain) on amounts funded in respect of employee rights upon retirement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sale of fixed assets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conversions of convertible notes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contracts liability</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(7,162)</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(13,178)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(increase) in accounts receivable-trade and other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16"/>
        </w:trPr>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16"/>
        </w:trPr>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r>
      <w:tr>
        <w:trPr>
          <w:trHeight w:val="210"/>
        </w:trPr>
        <w:tc>
          <w:tcPr>
            <w:tcW w:w="6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bank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deposit withdrawal</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paid (funded) in respect of employee rights upon retirement,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6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09"/>
        </w:trPr>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for convertible notes redemption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r>
      <w:tr>
        <w:trPr>
          <w:trHeight w:val="216"/>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16"/>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r>
      <w:tr>
        <w:trPr>
          <w:trHeight w:val="174"/>
        </w:trPr>
        <w:tc>
          <w:tcPr>
            <w:tcW w:w="6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(21,874)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r>
      <w:tr>
        <w:trPr>
          <w:trHeight w:val="194"/>
        </w:trPr>
        <w:tc>
          <w:tcPr>
            <w:tcW w:w="6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OF CASH AND CASH EQUIVALENTS AT BEGINNING OF</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8"/>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23,634</w:t>
            </w:r>
          </w:p>
        </w:tc>
      </w:tr>
      <w:tr>
        <w:trPr>
          <w:trHeight w:val="210"/>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19,760</w:t>
            </w: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CONSOLIDATED STATEMENTS OF CASH FLOWS </w:t>
      </w:r>
      <w:r>
        <w:rPr>
          <w:rFonts w:ascii="Times New Roman" w:cs="Times New Roman" w:eastAsia="Times New Roman" w:hAnsi="Times New Roman"/>
          <w:sz w:val="16"/>
          <w:szCs w:val="16"/>
          <w:b w:val="1"/>
          <w:bCs w:val="1"/>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dollars in thousands)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ACTIVITIES NOT INVOLVING CASH FLOWS: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Pr>
          <w:p>
            <w:pPr>
              <w:spacing w:after="0"/>
              <w:rPr>
                <w:sz w:val="20"/>
                <w:szCs w:val="20"/>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vMerge w:val="restart"/>
            <w:shd w:val="clear" w:color="auto" w:fill="CCEEFF"/>
          </w:tcPr>
          <w:p>
            <w:pPr>
              <w:ind w:left="200"/>
              <w:spacing w:after="0" w:line="171" w:lineRule="exact"/>
              <w:rPr>
                <w:sz w:val="20"/>
                <w:szCs w:val="20"/>
                <w:color w:val="auto"/>
              </w:rPr>
            </w:pPr>
            <w:r>
              <w:rPr>
                <w:rFonts w:ascii="Times New Roman" w:cs="Times New Roman" w:eastAsia="Times New Roman" w:hAnsi="Times New Roman"/>
                <w:sz w:val="18"/>
                <w:szCs w:val="18"/>
                <w:color w:val="auto"/>
              </w:rPr>
              <w:t>Operating lease right of use assets obtained in exchange for new operating</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vMerge w:val="continue"/>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00" w:type="dxa"/>
            <w:vAlign w:val="bottom"/>
            <w:tcBorders>
              <w:right w:val="single" w:sz="8" w:color="CCEEFF"/>
            </w:tcBorders>
            <w:shd w:val="clear" w:color="auto" w:fill="CCEEFF"/>
          </w:tcPr>
          <w:p>
            <w:pPr>
              <w:spacing w:after="0"/>
              <w:rPr>
                <w:sz w:val="13"/>
                <w:szCs w:val="13"/>
                <w:color w:val="auto"/>
              </w:rPr>
            </w:pPr>
          </w:p>
        </w:tc>
        <w:tc>
          <w:tcPr>
            <w:tcW w:w="24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Convertible notes conversions</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9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7,783</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shd w:val="clear" w:color="auto" w:fill="CCEEFF"/>
          </w:tcPr>
          <w:p>
            <w:pPr>
              <w:ind w:left="200"/>
              <w:spacing w:after="0" w:line="151" w:lineRule="exact"/>
              <w:rPr>
                <w:sz w:val="20"/>
                <w:szCs w:val="20"/>
                <w:color w:val="auto"/>
              </w:rPr>
            </w:pPr>
            <w:r>
              <w:rPr>
                <w:rFonts w:ascii="Times New Roman" w:cs="Times New Roman" w:eastAsia="Times New Roman" w:hAnsi="Times New Roman"/>
                <w:sz w:val="17"/>
                <w:szCs w:val="17"/>
                <w:color w:val="auto"/>
              </w:rPr>
              <w:t>Partial settlement of liability for employee rights upon retirement through</w:t>
            </w:r>
          </w:p>
        </w:tc>
        <w:tc>
          <w:tcPr>
            <w:tcW w:w="26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tcBorders>
              <w:right w:val="single" w:sz="8" w:color="CCEEFF"/>
            </w:tcBorders>
            <w:shd w:val="clear" w:color="auto" w:fill="CCEEFF"/>
          </w:tcPr>
          <w:p>
            <w:pPr>
              <w:spacing w:after="0"/>
              <w:rPr>
                <w:sz w:val="13"/>
                <w:szCs w:val="13"/>
                <w:color w:val="auto"/>
              </w:rPr>
            </w:pPr>
          </w:p>
        </w:tc>
        <w:tc>
          <w:tcPr>
            <w:tcW w:w="24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transfer of the related funds</w:t>
            </w:r>
          </w:p>
        </w:tc>
        <w:tc>
          <w:tcPr>
            <w:tcW w:w="2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paid</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2"/>
                <w:szCs w:val="2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Interest paid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2,742</w:t>
            </w: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Interest received</w:t>
            </w: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1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1020" w:right="179"/>
        <w:spacing w:after="0" w:line="22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subsidiary,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two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with Gaucher disease. Elfabrio, which the Company referred to as PRX-102 during its development stage, has been approved for marketing in the United States, the European Union, Great Britain, Switzerland, Peru, Israel, Russia and Singapore. The Company has partnered with Chiesi Farmaceutici S.p.A. (“Chiesi”) for the development and commercialization of Elfabrio.</w:t>
      </w:r>
    </w:p>
    <w:p>
      <w:pPr>
        <w:spacing w:after="0" w:line="179" w:lineRule="exact"/>
        <w:rPr>
          <w:rFonts w:ascii="Times New Roman" w:cs="Times New Roman" w:eastAsia="Times New Roman" w:hAnsi="Times New Roman"/>
          <w:sz w:val="18"/>
          <w:szCs w:val="18"/>
          <w:b w:val="1"/>
          <w:bCs w:val="1"/>
          <w:color w:val="auto"/>
        </w:rPr>
      </w:pPr>
    </w:p>
    <w:p>
      <w:pPr>
        <w:jc w:val="both"/>
        <w:ind w:left="1020" w:right="2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licensed the rights to commercialize Elelyso worldwide (other than Brazil) to Pfizer Inc. (“Pfizer”), and in Brazil to Fundação Oswaldo Cruz (“Fiocruz”), an arm of the Brazilian Ministry of Health (the “Brazilian MoH”). Elelyso is marketed as BioManguinhos alfataliglicerase in Brazil.</w:t>
      </w:r>
    </w:p>
    <w:p>
      <w:pPr>
        <w:spacing w:after="0" w:line="135" w:lineRule="exact"/>
        <w:rPr>
          <w:rFonts w:ascii="Times New Roman" w:cs="Times New Roman" w:eastAsia="Times New Roman" w:hAnsi="Times New Roman"/>
          <w:sz w:val="18"/>
          <w:szCs w:val="18"/>
          <w:b w:val="1"/>
          <w:bCs w:val="1"/>
          <w:color w:val="auto"/>
        </w:rPr>
      </w:pPr>
    </w:p>
    <w:p>
      <w:pPr>
        <w:ind w:left="1020" w:right="13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leveraging its track record of success as the Company progresses with the development of treatments for rare and orphan diseases. In addition, the Company continuously works on the further development and enhancement of its ProCellEx technology. Accordingly, the Company is turning its focus to new, early-stage product candidates that treat indications for which there are high unmet needs in terms of efficacy and safety, including renal diseases. Treatments of interest will address both genetic and non-genetic diseases. The Company intends to use its ProCellEx platform and PEGylation capabilities, as well as other modalities such as small molecules and antibodies, to take advantage of highly innovative opportunities. The Company is also exploring novel platform technologies.</w:t>
      </w:r>
    </w:p>
    <w:p>
      <w:pPr>
        <w:spacing w:after="0" w:line="151" w:lineRule="exact"/>
        <w:rPr>
          <w:rFonts w:ascii="Times New Roman" w:cs="Times New Roman" w:eastAsia="Times New Roman" w:hAnsi="Times New Roman"/>
          <w:sz w:val="18"/>
          <w:szCs w:val="18"/>
          <w:b w:val="1"/>
          <w:bCs w:val="1"/>
          <w:color w:val="auto"/>
        </w:rPr>
      </w:pPr>
    </w:p>
    <w:p>
      <w:pPr>
        <w:ind w:left="1020" w:right="43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5, 2023, the European Commission (“EC”) announced that it had approved the Marketing Authorization Application (“MAA”) for Elfabrio and on May 9, 2023, the U.S. Food and Drug Administration (“FDA”) announced that it had approved the Biologics License Application (“BLA”) for Elfabrio (pegunigalsidase alfa), each for adult patients with a confirmed diagnosis of Fabry disease. Both approvals cover the 1 mg/kg every two weeks dosage.</w:t>
      </w:r>
    </w:p>
    <w:p>
      <w:pPr>
        <w:spacing w:after="0" w:line="156" w:lineRule="exact"/>
        <w:rPr>
          <w:rFonts w:ascii="Times New Roman" w:cs="Times New Roman" w:eastAsia="Times New Roman" w:hAnsi="Times New Roman"/>
          <w:sz w:val="18"/>
          <w:szCs w:val="18"/>
          <w:b w:val="1"/>
          <w:bCs w:val="1"/>
          <w:color w:val="auto"/>
        </w:rPr>
      </w:pPr>
    </w:p>
    <w:p>
      <w:pPr>
        <w:ind w:left="1020" w:right="5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two exclusive global licensing and supply agreements for Elfabrio with Chiesi. On October 19, 2017, Protalix Ltd., the Company’s wholly-owned subsidiary, entered into an Exclusive License and Supply Agreement with Chiesi (the “Chiesi Ex-US Agreement”), pursuant to which Chiesi was granted an exclusive license for all markets outside of the United States to commercialize Elfabrio. On</w:t>
      </w:r>
    </w:p>
    <w:p>
      <w:pPr>
        <w:spacing w:after="0" w:line="2" w:lineRule="exact"/>
        <w:rPr>
          <w:rFonts w:ascii="Times New Roman" w:cs="Times New Roman" w:eastAsia="Times New Roman" w:hAnsi="Times New Roman"/>
          <w:sz w:val="18"/>
          <w:szCs w:val="18"/>
          <w:b w:val="1"/>
          <w:bCs w:val="1"/>
          <w:color w:val="auto"/>
        </w:rPr>
      </w:pPr>
    </w:p>
    <w:p>
      <w:pPr>
        <w:ind w:left="1020" w:right="5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July 23, 2018, Protalix Ltd. entered into an Exclusive License and Supply Agreement with Chiesi (the “Chiesi US Agreement”) with respect to the commercialization of Elfabrio in the United States.</w:t>
      </w:r>
    </w:p>
    <w:p>
      <w:pPr>
        <w:spacing w:after="0" w:line="140" w:lineRule="exact"/>
        <w:rPr>
          <w:rFonts w:ascii="Times New Roman" w:cs="Times New Roman" w:eastAsia="Times New Roman" w:hAnsi="Times New Roman"/>
          <w:sz w:val="18"/>
          <w:szCs w:val="18"/>
          <w:b w:val="1"/>
          <w:bCs w:val="1"/>
          <w:color w:val="auto"/>
        </w:rPr>
      </w:pPr>
    </w:p>
    <w:p>
      <w:pPr>
        <w:ind w:left="1020" w:right="1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candidates.</w:t>
      </w:r>
    </w:p>
    <w:p>
      <w:pPr>
        <w:spacing w:after="0" w:line="139"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product pipeline currently includes, among other candidates:</w:t>
      </w:r>
    </w:p>
    <w:p>
      <w:pPr>
        <w:spacing w:after="0" w:line="198" w:lineRule="exact"/>
        <w:rPr>
          <w:rFonts w:ascii="Times New Roman" w:cs="Times New Roman" w:eastAsia="Times New Roman" w:hAnsi="Times New Roman"/>
          <w:sz w:val="18"/>
          <w:szCs w:val="18"/>
          <w:b w:val="1"/>
          <w:bCs w:val="1"/>
          <w:color w:val="auto"/>
        </w:rPr>
      </w:pPr>
    </w:p>
    <w:p>
      <w:pPr>
        <w:ind w:left="1700" w:right="299" w:hanging="651"/>
        <w:spacing w:after="0" w:line="282" w:lineRule="auto"/>
        <w:tabs>
          <w:tab w:leader="none" w:pos="17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uncontrolled gout;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700" w:right="459" w:hanging="651"/>
        <w:spacing w:after="0" w:line="266" w:lineRule="auto"/>
        <w:tabs>
          <w:tab w:leader="none" w:pos="1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the Company’s plant cell-expressed PEGylated recombinant human DNase I product candidate for long and customized systemic circulation in the bloodstream for NETs-related diseases.</w:t>
      </w:r>
    </w:p>
    <w:p>
      <w:pPr>
        <w:spacing w:after="0" w:line="135" w:lineRule="exact"/>
        <w:rPr>
          <w:sz w:val="20"/>
          <w:szCs w:val="20"/>
          <w:color w:val="auto"/>
        </w:rPr>
      </w:pPr>
    </w:p>
    <w:p>
      <w:pPr>
        <w:ind w:left="1020" w:right="379"/>
        <w:spacing w:after="0" w:line="261"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pacing w:after="0" w:line="139" w:lineRule="exact"/>
        <w:rPr>
          <w:sz w:val="20"/>
          <w:szCs w:val="20"/>
          <w:color w:val="auto"/>
        </w:rPr>
      </w:pPr>
    </w:p>
    <w:p>
      <w:pPr>
        <w:ind w:left="1020" w:right="119"/>
        <w:spacing w:after="0" w:line="254" w:lineRule="auto"/>
        <w:rPr>
          <w:sz w:val="20"/>
          <w:szCs w:val="20"/>
          <w:color w:val="auto"/>
        </w:rPr>
      </w:pPr>
      <w:r>
        <w:rPr>
          <w:rFonts w:ascii="Times New Roman" w:cs="Times New Roman" w:eastAsia="Times New Roman" w:hAnsi="Times New Roman"/>
          <w:sz w:val="18"/>
          <w:szCs w:val="18"/>
          <w:color w:val="auto"/>
        </w:rPr>
        <w:t>Since its approval by the FDA, Elelyso has been marketed by Pfizer in accordance with the exclusive license and supply agreement entered into between Protalix Ltd. and Pfizer, which is 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61" w:lineRule="exact"/>
        <w:rPr>
          <w:sz w:val="20"/>
          <w:szCs w:val="20"/>
          <w:color w:val="auto"/>
        </w:rPr>
      </w:pPr>
    </w:p>
    <w:p>
      <w:pPr>
        <w:ind w:left="1020" w:right="239"/>
        <w:spacing w:after="0" w:line="256"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Fiocruz for BioManguinhos alfataliglicerase.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06" w:lineRule="exact"/>
        <w:rPr>
          <w:sz w:val="20"/>
          <w:szCs w:val="20"/>
          <w:color w:val="auto"/>
        </w:rPr>
      </w:pPr>
    </w:p>
    <w:p>
      <w:pPr>
        <w:ind w:left="1020" w:right="79"/>
        <w:spacing w:after="0" w:line="252" w:lineRule="auto"/>
        <w:rPr>
          <w:sz w:val="20"/>
          <w:szCs w:val="20"/>
          <w:color w:val="auto"/>
        </w:rPr>
      </w:pPr>
      <w:r>
        <w:rPr>
          <w:rFonts w:ascii="Times New Roman" w:cs="Times New Roman" w:eastAsia="Times New Roman" w:hAnsi="Times New Roman"/>
          <w:sz w:val="18"/>
          <w:szCs w:val="18"/>
          <w:color w:val="auto"/>
        </w:rPr>
        <w:t>Because the Company’s operations are conducted in the State of Israel, the business and operations may be directly affected by economic, political, geopolitical and military conditions in Israel. 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attacking a number of civilian and military targets while simultaneously launching extensive rocket attacks on the Israeli population and industrial centers. At the same time, clashes between Israel and Hezbollah in Lebanon increased. In response, Israel’s security cabinet declared war against the Hamas and a military campaign against these terrorist organizations commenced in parallel to their continued rocket and terror attacks. Moreover, the attacks by Hamas and Hezbollah, and Israel’s defensive measures, may result in a greater regional conflict. Since the outbreak of the war, other regional actors, including Iran, have taken military action against Israel. It is currently not possible to predict the duration or severity of the ongoing conflict or its effects on the Company’s business, operations and financial conditions. The situation could disrupt certain of the Company’s business and operations, among others. The Company has elected to store manufactured drug substance in multiple locations, both within and outside of Israel, to mitigate the risk of loss due to the military operations. As of the issuance of these financial statements, the impact of the war has not had an adverse effect on the Company’s operations.</w:t>
      </w:r>
    </w:p>
    <w:p>
      <w:pPr>
        <w:spacing w:after="0" w:line="166" w:lineRule="exact"/>
        <w:rPr>
          <w:sz w:val="20"/>
          <w:szCs w:val="20"/>
          <w:color w:val="auto"/>
        </w:rPr>
      </w:pPr>
    </w:p>
    <w:p>
      <w:pPr>
        <w:ind w:left="1020" w:right="339"/>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incur significant expenditures in the near future due to research and developments efforts with respect to its product candidates. The Company believes that its cash and cash equivalents and short-term bank deposits as of December 31, 2024, are sufficient to satisfy the Company’s capital needs for at least 12 months from the date that these financial statements are issued.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in the United States (“U.S. GAAP”).</w:t>
      </w:r>
    </w:p>
    <w:p>
      <w:pPr>
        <w:spacing w:after="0" w:line="117"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02" w:lineRule="exact"/>
        <w:rPr>
          <w:rFonts w:ascii="Times New Roman" w:cs="Times New Roman" w:eastAsia="Times New Roman" w:hAnsi="Times New Roman"/>
          <w:sz w:val="18"/>
          <w:szCs w:val="18"/>
          <w:b w:val="1"/>
          <w:bCs w:val="1"/>
          <w:color w:val="auto"/>
        </w:rPr>
      </w:pPr>
    </w:p>
    <w:p>
      <w:pPr>
        <w:ind w:left="1020" w:right="6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liabilities at the date of the financial statements and the reported amounts of revenues and expenses during the reporting period. Actual results may differ from those estimates.</w:t>
      </w:r>
    </w:p>
    <w:p>
      <w:pPr>
        <w:spacing w:after="0" w:line="135"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188" w:lineRule="exact"/>
        <w:rPr>
          <w:rFonts w:ascii="Times New Roman" w:cs="Times New Roman" w:eastAsia="Times New Roman" w:hAnsi="Times New Roman"/>
          <w:sz w:val="18"/>
          <w:szCs w:val="18"/>
          <w:b w:val="1"/>
          <w:bCs w:val="1"/>
          <w:color w:val="auto"/>
        </w:rPr>
      </w:pPr>
    </w:p>
    <w:p>
      <w:pPr>
        <w:ind w:left="1020" w:right="1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dollar is the currency of the primary economic environment in which the operations of the Company and its Subsidiaries are conducted. The Company’s revenues are derived in dollars. Most of the Company’s expenses and capital expenditures are incurred in dollars, and the major source of the Company’s financing has been provided in dollars.</w:t>
      </w:r>
    </w:p>
    <w:p>
      <w:pPr>
        <w:spacing w:after="0" w:line="152" w:lineRule="exact"/>
        <w:rPr>
          <w:rFonts w:ascii="Times New Roman" w:cs="Times New Roman" w:eastAsia="Times New Roman" w:hAnsi="Times New Roman"/>
          <w:sz w:val="18"/>
          <w:szCs w:val="18"/>
          <w:b w:val="1"/>
          <w:bCs w:val="1"/>
          <w:color w:val="auto"/>
        </w:rPr>
      </w:pPr>
    </w:p>
    <w:p>
      <w:pPr>
        <w:ind w:left="1020" w:right="1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and balances originally denominated in dollars are presented at their original amounts. Balances in non-dollar currencies are translated into dollars using historical and current exchange rates for non-monetary and monetary balances, respectively. For non-dollar transactions and other items (stated below) reflected in the statements of operations, the following exchange rates are used: (i) for transactions – exchange rates at the transaction dates or average rates; and (ii) for other items (derived from non-monetary balance sheet items such as depreciation and amortization, etc.) – historical exchange rates. Currency translation gains and losses are recorded as financial income or expenses, as appropriate.</w:t>
      </w:r>
    </w:p>
    <w:p>
      <w:pPr>
        <w:spacing w:after="0" w:line="144"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w:t>
      </w:r>
    </w:p>
    <w:p>
      <w:pPr>
        <w:spacing w:after="0" w:line="188" w:lineRule="exact"/>
        <w:rPr>
          <w:rFonts w:ascii="Times New Roman" w:cs="Times New Roman" w:eastAsia="Times New Roman" w:hAnsi="Times New Roman"/>
          <w:sz w:val="18"/>
          <w:szCs w:val="18"/>
          <w:b w:val="1"/>
          <w:bCs w:val="1"/>
          <w:color w:val="auto"/>
        </w:rPr>
      </w:pPr>
    </w:p>
    <w:p>
      <w:pPr>
        <w:ind w:left="1020" w:right="3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all short-term, highly liquid investments, which include short-term bank deposits with original maturities of three months or less from the date of purchase, that are not restricted as to withdrawal or use and are readily convertible to known amounts of cash, to be cash equivalents.</w:t>
      </w:r>
    </w:p>
    <w:p>
      <w:pPr>
        <w:spacing w:after="0" w:line="144"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w:t>
      </w:r>
    </w:p>
    <w:p>
      <w:pPr>
        <w:spacing w:after="0" w:line="189" w:lineRule="exact"/>
        <w:rPr>
          <w:sz w:val="20"/>
          <w:szCs w:val="20"/>
          <w:color w:val="auto"/>
        </w:rPr>
      </w:pPr>
    </w:p>
    <w:p>
      <w:pPr>
        <w:ind w:left="1020" w:right="99"/>
        <w:spacing w:after="0" w:line="255" w:lineRule="auto"/>
        <w:rPr>
          <w:sz w:val="20"/>
          <w:szCs w:val="20"/>
          <w:color w:val="auto"/>
        </w:rPr>
      </w:pPr>
      <w:r>
        <w:rPr>
          <w:rFonts w:ascii="Times New Roman" w:cs="Times New Roman" w:eastAsia="Times New Roman" w:hAnsi="Times New Roman"/>
          <w:sz w:val="18"/>
          <w:szCs w:val="18"/>
          <w:color w:val="auto"/>
        </w:rPr>
        <w:t>Accounts receivable have been reduced by an allowance for credit losses. The Company maintains the allowance for estimated losses resulting from the inability of the Company’s customers to make required payments. The allowance represents the current estimate of lifetime expected credit losses over the remaining duration of existing accounts receivable considering current market conditions and supportable forecasts when appropriate. The estimate is a result of the Company’s ongoing evaluation of collectability, customer creditworthiness, historical levels of credit losses and future expectations. As of December 31, 2024 and 2023, the allowance was negligible.</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 write-off activity and recoveries for the periods presented were recognized.</w:t>
      </w:r>
    </w:p>
    <w:p>
      <w:pPr>
        <w:spacing w:after="0" w:line="194" w:lineRule="exact"/>
        <w:rPr>
          <w:sz w:val="20"/>
          <w:szCs w:val="20"/>
          <w:color w:val="auto"/>
        </w:rPr>
      </w:pPr>
    </w:p>
    <w:p>
      <w:pPr>
        <w:ind w:left="1020" w:hanging="322"/>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valued at the lower of cost or net realizable value. Cost of raw and packaging materials and purchased products is determined using the “moving average” basis.</w:t>
      </w:r>
    </w:p>
    <w:p>
      <w:pPr>
        <w:spacing w:after="0" w:line="121" w:lineRule="exact"/>
        <w:rPr>
          <w:rFonts w:ascii="Times New Roman" w:cs="Times New Roman" w:eastAsia="Times New Roman" w:hAnsi="Times New Roman"/>
          <w:sz w:val="18"/>
          <w:szCs w:val="18"/>
          <w:b w:val="1"/>
          <w:bCs w:val="1"/>
          <w:color w:val="auto"/>
        </w:rPr>
      </w:pPr>
    </w:p>
    <w:p>
      <w:pPr>
        <w:jc w:val="both"/>
        <w:ind w:left="1020" w:right="1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finished products is determined as follows: the value of the raw and packaging materials component is determined primarily using the “moving average” basis; the value of the labor and overhead component is determined on an average basis over the production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479"/>
        <w:spacing w:after="0" w:line="282" w:lineRule="auto"/>
        <w:rPr>
          <w:sz w:val="20"/>
          <w:szCs w:val="20"/>
          <w:color w:val="auto"/>
        </w:rPr>
      </w:pPr>
      <w:r>
        <w:rPr>
          <w:rFonts w:ascii="Times New Roman" w:cs="Times New Roman" w:eastAsia="Times New Roman" w:hAnsi="Times New Roman"/>
          <w:sz w:val="18"/>
          <w:szCs w:val="18"/>
          <w:color w:val="auto"/>
        </w:rPr>
        <w:t>Inventory is written down for estimated obsolescence based upon management assumptions about future demand and market conditions.</w:t>
      </w:r>
    </w:p>
    <w:p>
      <w:pPr>
        <w:spacing w:after="0" w:line="117" w:lineRule="exact"/>
        <w:rPr>
          <w:sz w:val="20"/>
          <w:szCs w:val="20"/>
          <w:color w:val="auto"/>
        </w:rPr>
      </w:pPr>
    </w:p>
    <w:p>
      <w:pPr>
        <w:ind w:left="1020" w:hanging="322"/>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88"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and amortization.</w:t>
      </w:r>
    </w:p>
    <w:p>
      <w:pPr>
        <w:spacing w:after="0" w:line="198" w:lineRule="exact"/>
        <w:rPr>
          <w:rFonts w:ascii="Times New Roman" w:cs="Times New Roman" w:eastAsia="Times New Roman" w:hAnsi="Times New Roman"/>
          <w:sz w:val="18"/>
          <w:szCs w:val="18"/>
          <w:color w:val="auto"/>
        </w:rPr>
      </w:pPr>
    </w:p>
    <w:p>
      <w:pPr>
        <w:ind w:left="1340" w:right="259" w:hanging="318"/>
        <w:spacing w:after="0" w:line="282" w:lineRule="auto"/>
        <w:tabs>
          <w:tab w:leader="none" w:pos="132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are depreciated by the straight-line method on the basis of their estimated useful lives as follows:</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ind w:left="1020" w:right="219"/>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(i) the expected lease term and (ii) the estimated useful life of the improvements.</w:t>
      </w:r>
    </w:p>
    <w:p>
      <w:pPr>
        <w:spacing w:after="0" w:line="117" w:lineRule="exact"/>
        <w:rPr>
          <w:sz w:val="20"/>
          <w:szCs w:val="20"/>
          <w:color w:val="auto"/>
        </w:rPr>
      </w:pPr>
    </w:p>
    <w:p>
      <w:pPr>
        <w:ind w:left="980" w:hanging="282"/>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in value of long-lived assets</w:t>
      </w:r>
    </w:p>
    <w:p>
      <w:pPr>
        <w:spacing w:after="0" w:line="202" w:lineRule="exact"/>
        <w:rPr>
          <w:sz w:val="20"/>
          <w:szCs w:val="20"/>
          <w:color w:val="auto"/>
        </w:rPr>
      </w:pPr>
    </w:p>
    <w:p>
      <w:pPr>
        <w:ind w:left="1020" w:right="139"/>
        <w:spacing w:after="0" w:line="266" w:lineRule="auto"/>
        <w:rPr>
          <w:sz w:val="20"/>
          <w:szCs w:val="20"/>
          <w:color w:val="auto"/>
        </w:rPr>
      </w:pPr>
      <w:r>
        <w:rPr>
          <w:rFonts w:ascii="Times New Roman" w:cs="Times New Roman" w:eastAsia="Times New Roman" w:hAnsi="Times New Roman"/>
          <w:sz w:val="18"/>
          <w:szCs w:val="18"/>
          <w:color w:val="auto"/>
        </w:rPr>
        <w:t>The Company tests long-lived assets for impairment if an indication of impairment exists. If the sum of expected future cash flows of definite life assets (undiscounted) is less than the carrying amount of such assets, the Company recognizes an impairment loss, and writes down the assets to their estimated fair values.</w:t>
      </w:r>
    </w:p>
    <w:p>
      <w:pPr>
        <w:spacing w:after="0" w:line="131" w:lineRule="exact"/>
        <w:rPr>
          <w:sz w:val="20"/>
          <w:szCs w:val="20"/>
          <w:color w:val="auto"/>
        </w:rPr>
      </w:pPr>
    </w:p>
    <w:p>
      <w:pPr>
        <w:ind w:left="980" w:hanging="282"/>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8"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w:t>
      </w:r>
    </w:p>
    <w:p>
      <w:pPr>
        <w:spacing w:after="0" w:line="198" w:lineRule="exact"/>
        <w:rPr>
          <w:rFonts w:ascii="Times New Roman" w:cs="Times New Roman" w:eastAsia="Times New Roman" w:hAnsi="Times New Roman"/>
          <w:sz w:val="18"/>
          <w:szCs w:val="18"/>
          <w:color w:val="auto"/>
        </w:rPr>
      </w:pPr>
    </w:p>
    <w:p>
      <w:pPr>
        <w:ind w:left="1340" w:right="7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are determined utilizing the assets and liabilities method based on the estimated future tax effects of the differences between the financial accounting and tax bases of assets and liabilities under the applicable tax laws. Deferred tax balances are computed using the tax rates expected to be in effect when those differences reverse. A valuation allowance in respect of deferred tax assets is provided if, based upon the weight of available evidence, it is more likely than not that some or all of the deferred tax assets will not be realized.</w:t>
      </w:r>
    </w:p>
    <w:p>
      <w:pPr>
        <w:spacing w:after="0" w:line="146"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income taxes</w:t>
      </w:r>
    </w:p>
    <w:p>
      <w:pPr>
        <w:spacing w:after="0" w:line="184" w:lineRule="exact"/>
        <w:rPr>
          <w:rFonts w:ascii="Times New Roman" w:cs="Times New Roman" w:eastAsia="Times New Roman" w:hAnsi="Times New Roman"/>
          <w:sz w:val="18"/>
          <w:szCs w:val="18"/>
          <w:color w:val="auto"/>
        </w:rPr>
      </w:pPr>
    </w:p>
    <w:p>
      <w:pPr>
        <w:ind w:left="1340" w:right="1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recognized in the financial statements are those that the Company’s management deems at least more likely than not to be sustained, based on technical merits. The amount of benefits recorded for these tax benefits is measured as the largest benefit the Company’s management deems more likely than not to be sustained. Liabilities relating to uncertain tax positions are classified as current in the consolidated balance sheets to the extent the Company anticipates making payments within one year.</w:t>
      </w:r>
    </w:p>
    <w:p>
      <w:pPr>
        <w:spacing w:after="0" w:line="152"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88" w:lineRule="exact"/>
        <w:rPr>
          <w:rFonts w:ascii="Times New Roman" w:cs="Times New Roman" w:eastAsia="Times New Roman" w:hAnsi="Times New Roman"/>
          <w:sz w:val="18"/>
          <w:szCs w:val="18"/>
          <w:b w:val="1"/>
          <w:bCs w:val="1"/>
          <w:color w:val="auto"/>
        </w:rPr>
      </w:pPr>
    </w:p>
    <w:p>
      <w:pPr>
        <w:ind w:left="1020" w:right="23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Accounting Standards Codification (“ASC”), Topic 606, Revenue from Contracts with Customers,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79"/>
        <w:spacing w:after="0" w:line="282" w:lineRule="auto"/>
        <w:rPr>
          <w:sz w:val="20"/>
          <w:szCs w:val="20"/>
          <w:color w:val="auto"/>
        </w:rPr>
      </w:pPr>
      <w:r>
        <w:rPr>
          <w:rFonts w:ascii="Times New Roman" w:cs="Times New Roman" w:eastAsia="Times New Roman" w:hAnsi="Times New Roman"/>
          <w:sz w:val="18"/>
          <w:szCs w:val="18"/>
          <w:color w:val="auto"/>
        </w:rPr>
        <w:t>probable that the Company will collect the consideration to which it will be entitled in exchange for the goods or services that will be transferred to the customer.</w:t>
      </w:r>
    </w:p>
    <w:p>
      <w:pPr>
        <w:spacing w:after="0" w:line="121" w:lineRule="exact"/>
        <w:rPr>
          <w:sz w:val="20"/>
          <w:szCs w:val="20"/>
          <w:color w:val="auto"/>
        </w:rPr>
      </w:pPr>
    </w:p>
    <w:p>
      <w:pPr>
        <w:ind w:left="1020" w:right="679"/>
        <w:spacing w:after="0" w:line="282" w:lineRule="auto"/>
        <w:rPr>
          <w:sz w:val="20"/>
          <w:szCs w:val="20"/>
          <w:color w:val="auto"/>
        </w:rPr>
      </w:pPr>
      <w:r>
        <w:rPr>
          <w:rFonts w:ascii="Times New Roman" w:cs="Times New Roman" w:eastAsia="Times New Roman" w:hAnsi="Times New Roman"/>
          <w:sz w:val="18"/>
          <w:szCs w:val="18"/>
          <w:color w:val="auto"/>
        </w:rPr>
        <w:t>Revenues are recorded in the amount of consideration to which the Company expects to be entitled in exchange for performance obligations upon transfer of control to the customer.</w:t>
      </w:r>
    </w:p>
    <w:p>
      <w:pPr>
        <w:spacing w:after="0" w:line="121" w:lineRule="exact"/>
        <w:rPr>
          <w:sz w:val="20"/>
          <w:szCs w:val="20"/>
          <w:color w:val="auto"/>
        </w:rPr>
      </w:pPr>
    </w:p>
    <w:p>
      <w:pPr>
        <w:ind w:left="1340" w:hanging="318"/>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selling products</w:t>
      </w:r>
    </w:p>
    <w:p>
      <w:pPr>
        <w:spacing w:after="0" w:line="198" w:lineRule="exact"/>
        <w:rPr>
          <w:rFonts w:ascii="Times New Roman" w:cs="Times New Roman" w:eastAsia="Times New Roman" w:hAnsi="Times New Roman"/>
          <w:sz w:val="18"/>
          <w:szCs w:val="18"/>
          <w:color w:val="auto"/>
        </w:rPr>
      </w:pPr>
    </w:p>
    <w:p>
      <w:pPr>
        <w:ind w:left="1340" w:right="1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revenues from selling goods at a point in time when control over the product is transferred to customers (upon delivery).</w:t>
      </w:r>
    </w:p>
    <w:p>
      <w:pPr>
        <w:spacing w:after="0" w:line="121" w:lineRule="exact"/>
        <w:rPr>
          <w:rFonts w:ascii="Times New Roman" w:cs="Times New Roman" w:eastAsia="Times New Roman" w:hAnsi="Times New Roman"/>
          <w:sz w:val="18"/>
          <w:szCs w:val="18"/>
          <w:color w:val="auto"/>
        </w:rPr>
      </w:pPr>
    </w:p>
    <w:p>
      <w:pPr>
        <w:ind w:left="1340" w:right="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is the consideration to which the Company expects to be entitled from the customer. The consideration promised in a contract with a Company’s customer is based on either fixed amounts or variable amounts. Variable amounts are based on the average net selling price of the drug product in the applicable territory. The Company estimates the variable consideration and recognizes revenue only to the extent the variable consideration is probable and that a significant reversal of cumulative revenue recognized will not occur when the uncertainty associated with the variable consideration is subsequently resolved. Prior to recognizing revenue from variable consideration, the Company uses significant judgment to determine the probability of significant reversal of such revenue.</w:t>
      </w:r>
    </w:p>
    <w:p>
      <w:pPr>
        <w:spacing w:after="0" w:line="15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Chiesi Agreements</w:t>
      </w:r>
    </w:p>
    <w:p>
      <w:pPr>
        <w:spacing w:after="0" w:line="198" w:lineRule="exact"/>
        <w:rPr>
          <w:rFonts w:ascii="Times New Roman" w:cs="Times New Roman" w:eastAsia="Times New Roman" w:hAnsi="Times New Roman"/>
          <w:sz w:val="18"/>
          <w:szCs w:val="18"/>
          <w:color w:val="auto"/>
        </w:rPr>
      </w:pPr>
    </w:p>
    <w:p>
      <w:pPr>
        <w:ind w:left="1340" w:right="99"/>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 has identified two performance obligations in each of the Chiesi Ex-US Agreement and the Chiesi US Agreement (collectively, the “Chiesi Agreements”) as follows: (1) the license and research and development services and (2) the contingent performance obligation regarding future manufacturing.</w:t>
      </w:r>
    </w:p>
    <w:p>
      <w:pPr>
        <w:spacing w:after="0" w:line="117" w:lineRule="exact"/>
        <w:rPr>
          <w:rFonts w:ascii="Times New Roman" w:cs="Times New Roman" w:eastAsia="Times New Roman" w:hAnsi="Times New Roman"/>
          <w:sz w:val="18"/>
          <w:szCs w:val="18"/>
          <w:color w:val="auto"/>
        </w:rPr>
      </w:pPr>
    </w:p>
    <w:p>
      <w:pPr>
        <w:ind w:left="134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that the license together with the research and development services should be combined into a single performance obligation since Chiesi cannot benefit from the license without the research and development services. The research and development services are highly specialized and are dependent on the supply of the drug.</w:t>
      </w:r>
    </w:p>
    <w:p>
      <w:pPr>
        <w:spacing w:after="0" w:line="139" w:lineRule="exact"/>
        <w:rPr>
          <w:rFonts w:ascii="Times New Roman" w:cs="Times New Roman" w:eastAsia="Times New Roman" w:hAnsi="Times New Roman"/>
          <w:sz w:val="18"/>
          <w:szCs w:val="18"/>
          <w:color w:val="auto"/>
        </w:rPr>
      </w:pPr>
    </w:p>
    <w:p>
      <w:pPr>
        <w:ind w:left="1340" w:right="13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future manufacturing was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 Following the regulatory approvals for Elfabrio received in May 2023, the Company started recognizing revenue from manufacturing. See also </w:t>
      </w:r>
      <w:r>
        <w:rPr>
          <w:rFonts w:ascii="Times New Roman" w:cs="Times New Roman" w:eastAsia="Times New Roman" w:hAnsi="Times New Roman"/>
          <w:sz w:val="18"/>
          <w:szCs w:val="18"/>
          <w:u w:val="single" w:color="auto"/>
          <w:color w:val="0000EE"/>
        </w:rPr>
        <w:t>revenue from 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products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above.</w:t>
      </w:r>
    </w:p>
    <w:p>
      <w:pPr>
        <w:spacing w:after="0" w:line="160" w:lineRule="exact"/>
        <w:rPr>
          <w:rFonts w:ascii="Times New Roman" w:cs="Times New Roman" w:eastAsia="Times New Roman" w:hAnsi="Times New Roman"/>
          <w:sz w:val="18"/>
          <w:szCs w:val="18"/>
          <w:color w:val="auto"/>
        </w:rPr>
      </w:pPr>
    </w:p>
    <w:p>
      <w:pPr>
        <w:ind w:left="1340" w:right="1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amount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 Following the approval of Elfabrio by the FDA in 2023, the Company received a milestone payment equal to $20.0 million which was recognized as revenue from license and R&amp;D services.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40" w:right="179"/>
        <w:spacing w:after="0" w:line="266" w:lineRule="auto"/>
        <w:rPr>
          <w:sz w:val="20"/>
          <w:szCs w:val="20"/>
          <w:color w:val="auto"/>
        </w:rPr>
      </w:pPr>
      <w:r>
        <w:rPr>
          <w:rFonts w:ascii="Times New Roman" w:cs="Times New Roman" w:eastAsia="Times New Roman" w:hAnsi="Times New Roman"/>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w:t>
      </w:r>
    </w:p>
    <w:p>
      <w:pPr>
        <w:spacing w:after="0" w:line="135" w:lineRule="exact"/>
        <w:rPr>
          <w:sz w:val="20"/>
          <w:szCs w:val="20"/>
          <w:color w:val="auto"/>
        </w:rPr>
      </w:pPr>
    </w:p>
    <w:p>
      <w:pPr>
        <w:ind w:left="1340" w:right="239"/>
        <w:spacing w:after="0" w:line="282" w:lineRule="auto"/>
        <w:rPr>
          <w:sz w:val="20"/>
          <w:szCs w:val="20"/>
          <w:color w:val="auto"/>
        </w:rPr>
      </w:pPr>
      <w:r>
        <w:rPr>
          <w:rFonts w:ascii="Times New Roman" w:cs="Times New Roman" w:eastAsia="Times New Roman" w:hAnsi="Times New Roman"/>
          <w:sz w:val="18"/>
          <w:szCs w:val="18"/>
          <w:color w:val="auto"/>
        </w:rPr>
        <w:t>Revenue from additional research and development services ordered by Chiesi, is recognized over time using the cost-to-cost method.</w:t>
      </w:r>
    </w:p>
    <w:p>
      <w:pPr>
        <w:spacing w:after="0" w:line="121" w:lineRule="exact"/>
        <w:rPr>
          <w:sz w:val="20"/>
          <w:szCs w:val="20"/>
          <w:color w:val="auto"/>
        </w:rPr>
      </w:pPr>
    </w:p>
    <w:p>
      <w:pPr>
        <w:ind w:left="1340" w:hanging="318"/>
        <w:spacing w:after="0"/>
        <w:tabs>
          <w:tab w:leader="none" w:pos="13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R&amp;D services</w:t>
      </w:r>
    </w:p>
    <w:p>
      <w:pPr>
        <w:spacing w:after="0" w:line="198" w:lineRule="exact"/>
        <w:rPr>
          <w:rFonts w:ascii="Times New Roman" w:cs="Times New Roman" w:eastAsia="Times New Roman" w:hAnsi="Times New Roman"/>
          <w:sz w:val="18"/>
          <w:szCs w:val="18"/>
          <w:color w:val="auto"/>
        </w:rPr>
      </w:pPr>
    </w:p>
    <w:p>
      <w:pPr>
        <w:ind w:left="1340" w:right="3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research and development services is recognized over time using the cost-to-cost method since the customer benefits from the research and development services as the entity performs the service.</w:t>
      </w:r>
    </w:p>
    <w:p>
      <w:pPr>
        <w:spacing w:after="0" w:line="131" w:lineRule="exact"/>
        <w:rPr>
          <w:rFonts w:ascii="Times New Roman" w:cs="Times New Roman" w:eastAsia="Times New Roman" w:hAnsi="Times New Roman"/>
          <w:sz w:val="18"/>
          <w:szCs w:val="18"/>
          <w:color w:val="auto"/>
        </w:rPr>
      </w:pPr>
    </w:p>
    <w:p>
      <w:pPr>
        <w:ind w:left="980" w:hanging="282"/>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189" w:lineRule="exact"/>
        <w:rPr>
          <w:sz w:val="20"/>
          <w:szCs w:val="20"/>
          <w:color w:val="auto"/>
        </w:rPr>
      </w:pPr>
    </w:p>
    <w:p>
      <w:pPr>
        <w:ind w:left="1020" w:right="79"/>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subcontractors and consultants (mainly in connection with clinical trials), facilities, equipment and supplies for research and development activities. In connection with purchases of assets, amounts assigned to intangible assets to be used in a particular research and development project that have no alternative future use are charged to research and development costs at the purchase date. Costs incurred for performing research and development services are included in research and development expenses.</w:t>
      </w:r>
    </w:p>
    <w:p>
      <w:pPr>
        <w:spacing w:after="0" w:line="156" w:lineRule="exact"/>
        <w:rPr>
          <w:sz w:val="20"/>
          <w:szCs w:val="20"/>
          <w:color w:val="auto"/>
        </w:rPr>
      </w:pPr>
    </w:p>
    <w:p>
      <w:pPr>
        <w:ind w:left="7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m.</w:t>
      </w:r>
      <w:r>
        <w:rPr>
          <w:sz w:val="20"/>
          <w:szCs w:val="20"/>
          <w:color w:val="auto"/>
        </w:rPr>
        <w:tab/>
      </w:r>
      <w:r>
        <w:rPr>
          <w:rFonts w:ascii="Times New Roman" w:cs="Times New Roman" w:eastAsia="Times New Roman" w:hAnsi="Times New Roman"/>
          <w:sz w:val="17"/>
          <w:szCs w:val="17"/>
          <w:b w:val="1"/>
          <w:bCs w:val="1"/>
          <w:color w:val="auto"/>
        </w:rPr>
        <w:t>Concentration of credit risks and trade receivable</w:t>
      </w:r>
    </w:p>
    <w:p>
      <w:pPr>
        <w:spacing w:after="0" w:line="189" w:lineRule="exact"/>
        <w:rPr>
          <w:sz w:val="20"/>
          <w:szCs w:val="20"/>
          <w:color w:val="auto"/>
        </w:rPr>
      </w:pPr>
    </w:p>
    <w:p>
      <w:pPr>
        <w:ind w:left="1020" w:right="7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bank deposits and account receivables - trade. The Company’s deposits are instruments with highly rated financial institutions, mainly in Israeli banks, and, as a matter of policy, limits the amounts of credit exposure to any one financial institution. The Company has not experienced any credit losses in these accounts and does not believe it is exposed to any significant credit risk on these instruments. The Company’s trade receivables represent amounts to be received from its customers. The Company does not require its customers to post collateral with respect to receivables.</w:t>
      </w:r>
    </w:p>
    <w:p>
      <w:pPr>
        <w:spacing w:after="0" w:line="148" w:lineRule="exact"/>
        <w:rPr>
          <w:sz w:val="20"/>
          <w:szCs w:val="20"/>
          <w:color w:val="auto"/>
        </w:rPr>
      </w:pPr>
    </w:p>
    <w:p>
      <w:pPr>
        <w:jc w:val="both"/>
        <w:ind w:left="1020" w:right="279"/>
        <w:spacing w:after="0" w:line="266" w:lineRule="auto"/>
        <w:rPr>
          <w:sz w:val="20"/>
          <w:szCs w:val="20"/>
          <w:color w:val="auto"/>
        </w:rPr>
      </w:pPr>
      <w:r>
        <w:rPr>
          <w:rFonts w:ascii="Times New Roman" w:cs="Times New Roman" w:eastAsia="Times New Roman" w:hAnsi="Times New Roman"/>
          <w:sz w:val="18"/>
          <w:szCs w:val="18"/>
          <w:color w:val="auto"/>
        </w:rPr>
        <w:t>As of December 31, 2023, the accounts receivables balance was composed of $0.7 million from Chiesi and $4.6 million from Pfizer and as of December 31, 2024, the accounts receivables balance was composed of $1.7 million from Fiocruz and $1.2 million from Pfizer.</w:t>
      </w:r>
    </w:p>
    <w:p>
      <w:pPr>
        <w:spacing w:after="0" w:line="145" w:lineRule="exact"/>
        <w:rPr>
          <w:sz w:val="20"/>
          <w:szCs w:val="20"/>
          <w:color w:val="auto"/>
        </w:rPr>
      </w:pPr>
    </w:p>
    <w:p>
      <w:pPr>
        <w:ind w:left="1020" w:hanging="322"/>
        <w:spacing w:after="0"/>
        <w:tabs>
          <w:tab w:leader="none" w:pos="10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share-based payment awards classified as equity awards, including stock-based option awards and restricted stock, using the grant-date fair value method. The fair value of share-based payment transactions is recognized as an expense over the requisite service period.</w:t>
      </w:r>
    </w:p>
    <w:p>
      <w:pPr>
        <w:spacing w:after="0" w:line="135" w:lineRule="exact"/>
        <w:rPr>
          <w:rFonts w:ascii="Times New Roman" w:cs="Times New Roman" w:eastAsia="Times New Roman" w:hAnsi="Times New Roman"/>
          <w:sz w:val="18"/>
          <w:szCs w:val="18"/>
          <w:b w:val="1"/>
          <w:bCs w:val="1"/>
          <w:color w:val="auto"/>
        </w:rPr>
      </w:pPr>
    </w:p>
    <w:p>
      <w:pPr>
        <w:ind w:left="1020" w:right="2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the fair value of stock-based option awards on the date of grant using the Black-Scholes option pricing model. This option pricing model requires estimates as to the option’s expected term and the price volatility of the underlying stock.</w:t>
      </w:r>
    </w:p>
    <w:p>
      <w:pPr>
        <w:spacing w:after="0" w:line="148" w:lineRule="exact"/>
        <w:rPr>
          <w:rFonts w:ascii="Times New Roman" w:cs="Times New Roman" w:eastAsia="Times New Roman" w:hAnsi="Times New Roman"/>
          <w:sz w:val="18"/>
          <w:szCs w:val="18"/>
          <w:b w:val="1"/>
          <w:bCs w:val="1"/>
          <w:color w:val="auto"/>
        </w:rPr>
      </w:pPr>
    </w:p>
    <w:p>
      <w:pPr>
        <w:ind w:left="1020" w:right="8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compensation expense for restricted stock based on the market value of the underlying stock at the date of grant.</w:t>
      </w:r>
    </w:p>
    <w:p>
      <w:pPr>
        <w:spacing w:after="0" w:line="121" w:lineRule="exact"/>
        <w:rPr>
          <w:rFonts w:ascii="Times New Roman" w:cs="Times New Roman" w:eastAsia="Times New Roman" w:hAnsi="Times New Roman"/>
          <w:sz w:val="18"/>
          <w:szCs w:val="18"/>
          <w:b w:val="1"/>
          <w:bCs w:val="1"/>
          <w:color w:val="auto"/>
        </w:rPr>
      </w:pPr>
    </w:p>
    <w:p>
      <w:pPr>
        <w:ind w:left="1020" w:right="2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to recognize compensation cost for awards to employees with only service conditions that has a graded vesting schedule using the accelerated method.</w:t>
      </w:r>
    </w:p>
    <w:p>
      <w:pPr>
        <w:spacing w:after="0" w:line="12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elects to account for forfeitures as they occur.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earnings (loss) per share</w:t>
      </w:r>
    </w:p>
    <w:p>
      <w:pPr>
        <w:spacing w:after="0" w:line="188" w:lineRule="exact"/>
        <w:rPr>
          <w:rFonts w:ascii="Times New Roman" w:cs="Times New Roman" w:eastAsia="Times New Roman" w:hAnsi="Times New Roman"/>
          <w:sz w:val="18"/>
          <w:szCs w:val="18"/>
          <w:b w:val="1"/>
          <w:bCs w:val="1"/>
          <w:color w:val="auto"/>
        </w:rPr>
      </w:pPr>
    </w:p>
    <w:p>
      <w:pPr>
        <w:ind w:left="1020" w:right="3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by dividing the net income (loss) by the weighted average number of shares of common stock, par value $0.001 per share (the “Common Stock”), outstanding during each period.</w:t>
      </w:r>
    </w:p>
    <w:p>
      <w:pPr>
        <w:spacing w:after="0" w:line="135" w:lineRule="exact"/>
        <w:rPr>
          <w:rFonts w:ascii="Times New Roman" w:cs="Times New Roman" w:eastAsia="Times New Roman" w:hAnsi="Times New Roman"/>
          <w:sz w:val="18"/>
          <w:szCs w:val="18"/>
          <w:b w:val="1"/>
          <w:bCs w:val="1"/>
          <w:color w:val="auto"/>
        </w:rPr>
      </w:pPr>
    </w:p>
    <w:p>
      <w:pPr>
        <w:ind w:left="1020" w:right="2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earnings per share is calculated by dividing (a) the net income that includes addition of financial expenses related to convertible notes by (b) the weighted-average number of shares of Common Stock outstanding during each period increased to include the number of additional shares of Common Stock that would have been outstanding if the potentially dilutive shares had been issued.</w:t>
      </w:r>
    </w:p>
    <w:p>
      <w:pPr>
        <w:spacing w:after="0" w:line="152" w:lineRule="exact"/>
        <w:rPr>
          <w:rFonts w:ascii="Times New Roman" w:cs="Times New Roman" w:eastAsia="Times New Roman" w:hAnsi="Times New Roman"/>
          <w:sz w:val="18"/>
          <w:szCs w:val="18"/>
          <w:b w:val="1"/>
          <w:bCs w:val="1"/>
          <w:color w:val="auto"/>
        </w:rPr>
      </w:pPr>
    </w:p>
    <w:p>
      <w:pPr>
        <w:ind w:left="1020" w:right="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computing diluted earnings per share, basic earnings per share are adjusted to take into account the potential dilution that could occur upon: (i) the exercise of options and non-vested restricted stock granted under employee stock compensation plans using the treasury stock method; (ii) the exercise of warrants using the treasury stock method; and (iii) the conversion of the convertible notes using the “if-converted” method.</w:t>
      </w:r>
    </w:p>
    <w:p>
      <w:pPr>
        <w:spacing w:after="0" w:line="135"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88" w:lineRule="exact"/>
        <w:rPr>
          <w:rFonts w:ascii="Times New Roman" w:cs="Times New Roman" w:eastAsia="Times New Roman" w:hAnsi="Times New Roman"/>
          <w:sz w:val="18"/>
          <w:szCs w:val="18"/>
          <w:b w:val="1"/>
          <w:bCs w:val="1"/>
          <w:color w:val="auto"/>
        </w:rPr>
      </w:pPr>
    </w:p>
    <w:p>
      <w:pPr>
        <w:ind w:left="1020" w:right="1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2024, the Company repaid in full all of the outstanding principal and interest payable under its 7.50% Senior Secured Convertible Notes due 2024 (the “2024 Notes”). The repayment of the convertible notes at maturity was financed entirely with available cash.</w:t>
      </w:r>
    </w:p>
    <w:p>
      <w:pPr>
        <w:spacing w:after="0" w:line="148" w:lineRule="exact"/>
        <w:rPr>
          <w:rFonts w:ascii="Times New Roman" w:cs="Times New Roman" w:eastAsia="Times New Roman" w:hAnsi="Times New Roman"/>
          <w:sz w:val="18"/>
          <w:szCs w:val="18"/>
          <w:b w:val="1"/>
          <w:bCs w:val="1"/>
          <w:color w:val="auto"/>
        </w:rPr>
      </w:pPr>
    </w:p>
    <w:p>
      <w:pPr>
        <w:ind w:left="1020" w:right="1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January 1, 2024, the Company accounted for its outstanding convertible notes using the guidance set forth in the Financial Accounting Standards Board (“FASB”) Accounting Standards Codification (“ASC”)</w:t>
      </w:r>
    </w:p>
    <w:p>
      <w:pPr>
        <w:ind w:left="1020" w:right="59"/>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815 which required that the Company determine whether the embedded conversion option must be separated from the other features of the applicable note instrument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The Company’s outstanding 2024 Notes were accounted for as a liability (debt) and equity component (conversion option) as the convertible notes may be settled wholly or partly in cash, at the option of the Company, when converted.</w:t>
      </w:r>
    </w:p>
    <w:p>
      <w:pPr>
        <w:spacing w:after="0" w:line="153" w:lineRule="exact"/>
        <w:rPr>
          <w:rFonts w:ascii="Times New Roman" w:cs="Times New Roman" w:eastAsia="Times New Roman" w:hAnsi="Times New Roman"/>
          <w:sz w:val="18"/>
          <w:szCs w:val="18"/>
          <w:b w:val="1"/>
          <w:bCs w:val="1"/>
          <w:color w:val="auto"/>
        </w:rPr>
      </w:pPr>
    </w:p>
    <w:p>
      <w:pPr>
        <w:ind w:left="1020" w:right="6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Starting from January 1, 2024, the convertible debt instruments were accounted for as a single liability measured at amortized cost. See </w:t>
      </w:r>
      <w:r>
        <w:rPr>
          <w:rFonts w:ascii="Times New Roman" w:cs="Times New Roman" w:eastAsia="Times New Roman" w:hAnsi="Times New Roman"/>
          <w:sz w:val="18"/>
          <w:szCs w:val="18"/>
          <w:u w:val="single" w:color="auto"/>
          <w:color w:val="0000EE"/>
        </w:rPr>
        <w:t>Note 1(r)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rFonts w:ascii="Times New Roman" w:cs="Times New Roman" w:eastAsia="Times New Roman" w:hAnsi="Times New Roman"/>
          <w:sz w:val="18"/>
          <w:szCs w:val="18"/>
          <w:b w:val="1"/>
          <w:bCs w:val="1"/>
          <w:color w:val="auto"/>
        </w:rPr>
      </w:pPr>
    </w:p>
    <w:p>
      <w:pPr>
        <w:ind w:left="1020" w:right="13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Leases are classified as finance or operating, with classification affecting the pattern and classification of expense recognition in the statement of operations. The Company determines if an arrangement is a lease at inception. Lease classification is governed by five criteria in ASC 842-10-25-2. If any of these five criteria is met, the Company classifies the lease as a finance lease. Otherwise, the Company classifies the lease as an operating lease. The Company does not have any finance leases.</w:t>
      </w:r>
    </w:p>
    <w:p>
      <w:pPr>
        <w:spacing w:after="0" w:line="142" w:lineRule="exact"/>
        <w:rPr>
          <w:rFonts w:ascii="Times New Roman" w:cs="Times New Roman" w:eastAsia="Times New Roman" w:hAnsi="Times New Roman"/>
          <w:sz w:val="18"/>
          <w:szCs w:val="18"/>
          <w:b w:val="1"/>
          <w:bCs w:val="1"/>
          <w:color w:val="auto"/>
        </w:rPr>
      </w:pPr>
    </w:p>
    <w:p>
      <w:pPr>
        <w:ind w:left="1020" w:right="1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leases are included in operating lease right-of-use (“ROU”) assets and operating lease liabilities in the consolidated balance sheets.</w:t>
      </w:r>
    </w:p>
    <w:p>
      <w:pPr>
        <w:spacing w:after="0" w:line="121" w:lineRule="exact"/>
        <w:rPr>
          <w:rFonts w:ascii="Times New Roman" w:cs="Times New Roman" w:eastAsia="Times New Roman" w:hAnsi="Times New Roman"/>
          <w:sz w:val="18"/>
          <w:szCs w:val="18"/>
          <w:b w:val="1"/>
          <w:bCs w:val="1"/>
          <w:color w:val="auto"/>
        </w:rPr>
      </w:pPr>
    </w:p>
    <w:p>
      <w:pPr>
        <w:ind w:left="1020" w:right="2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439"/>
        <w:spacing w:after="0" w:line="312" w:lineRule="auto"/>
        <w:rPr>
          <w:sz w:val="20"/>
          <w:szCs w:val="20"/>
          <w:color w:val="auto"/>
        </w:rPr>
      </w:pPr>
      <w:r>
        <w:rPr>
          <w:rFonts w:ascii="Times New Roman" w:cs="Times New Roman" w:eastAsia="Times New Roman" w:hAnsi="Times New Roman"/>
          <w:sz w:val="17"/>
          <w:szCs w:val="17"/>
          <w:color w:val="auto"/>
        </w:rPr>
        <w:t>The Company elected the short-term lease recognition exemption for all leases with a term shorter than 12 months. This means, for those leases, the Company does not recognize ROU assets or lease liabilities.</w:t>
      </w:r>
    </w:p>
    <w:p>
      <w:pPr>
        <w:spacing w:after="0" w:line="99" w:lineRule="exact"/>
        <w:rPr>
          <w:sz w:val="20"/>
          <w:szCs w:val="20"/>
          <w:color w:val="auto"/>
        </w:rPr>
      </w:pPr>
    </w:p>
    <w:p>
      <w:pPr>
        <w:ind w:left="1020" w:right="159"/>
        <w:spacing w:after="0" w:line="266" w:lineRule="auto"/>
        <w:rPr>
          <w:sz w:val="20"/>
          <w:szCs w:val="20"/>
          <w:color w:val="auto"/>
        </w:rPr>
      </w:pPr>
      <w:r>
        <w:rPr>
          <w:rFonts w:ascii="Times New Roman" w:cs="Times New Roman" w:eastAsia="Times New Roman" w:hAnsi="Times New Roman"/>
          <w:sz w:val="18"/>
          <w:szCs w:val="18"/>
          <w:color w:val="auto"/>
        </w:rPr>
        <w:t>Lease terms include options to extend or terminate the lease when it is reasonably certain that the Company will either exercise or not exercise the option to renew or terminate the lease. The Company recognizes lease expenses over the lease term on a straight-line basis.</w:t>
      </w:r>
    </w:p>
    <w:p>
      <w:pPr>
        <w:spacing w:after="0" w:line="135" w:lineRule="exact"/>
        <w:rPr>
          <w:sz w:val="20"/>
          <w:szCs w:val="20"/>
          <w:color w:val="auto"/>
        </w:rPr>
      </w:pPr>
    </w:p>
    <w:p>
      <w:pPr>
        <w:ind w:left="1020" w:right="179"/>
        <w:spacing w:after="0" w:line="282" w:lineRule="auto"/>
        <w:rPr>
          <w:sz w:val="20"/>
          <w:szCs w:val="20"/>
          <w:color w:val="auto"/>
        </w:rPr>
      </w:pPr>
      <w:r>
        <w:rPr>
          <w:rFonts w:ascii="Times New Roman" w:cs="Times New Roman" w:eastAsia="Times New Roman" w:hAnsi="Times New Roman"/>
          <w:sz w:val="18"/>
          <w:szCs w:val="18"/>
          <w:color w:val="auto"/>
        </w:rPr>
        <w:t>The Company applies the portfolio approach to account for the operating lease ROU assets and liabilities for certain car leases and incremental borrowing rates.</w:t>
      </w:r>
    </w:p>
    <w:p>
      <w:pPr>
        <w:spacing w:after="0" w:line="131" w:lineRule="exact"/>
        <w:rPr>
          <w:sz w:val="20"/>
          <w:szCs w:val="20"/>
          <w:color w:val="auto"/>
        </w:rPr>
      </w:pPr>
    </w:p>
    <w:p>
      <w:pPr>
        <w:ind w:left="980" w:hanging="282"/>
        <w:spacing w:after="0"/>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7" w:lineRule="exact"/>
        <w:rPr>
          <w:sz w:val="20"/>
          <w:szCs w:val="20"/>
          <w:color w:val="auto"/>
        </w:rPr>
      </w:pPr>
    </w:p>
    <w:p>
      <w:pPr>
        <w:ind w:left="1020" w:right="139"/>
        <w:spacing w:after="0" w:line="270" w:lineRule="auto"/>
        <w:rPr>
          <w:sz w:val="20"/>
          <w:szCs w:val="20"/>
          <w:color w:val="auto"/>
        </w:rPr>
      </w:pPr>
      <w:r>
        <w:rPr>
          <w:rFonts w:ascii="Times New Roman" w:cs="Times New Roman" w:eastAsia="Times New Roman" w:hAnsi="Times New Roman"/>
          <w:sz w:val="17"/>
          <w:szCs w:val="17"/>
          <w:color w:val="auto"/>
        </w:rPr>
        <w:t>In August 2020, the FASB issued ASU 2020-06 “Debt – Debt with Conversion and Other Options (Subtopic 470-20) and Derivatives and Hedging – Contracts in Entity’s Own Equity (Subtopic 815 – 40)” (“ASU 2020-06”). ASU 2020-06 simplifies the accounting for convertible instruments by removing certain separation models in ASC 470-20, Debt—Debt with Conversion and Other Options, for convertible instruments.</w:t>
      </w:r>
    </w:p>
    <w:p>
      <w:pPr>
        <w:spacing w:after="0" w:line="3" w:lineRule="exact"/>
        <w:rPr>
          <w:sz w:val="20"/>
          <w:szCs w:val="20"/>
          <w:color w:val="auto"/>
        </w:rPr>
      </w:pPr>
    </w:p>
    <w:p>
      <w:pPr>
        <w:ind w:left="1020" w:right="79"/>
        <w:spacing w:after="0" w:line="251" w:lineRule="auto"/>
        <w:rPr>
          <w:sz w:val="20"/>
          <w:szCs w:val="20"/>
          <w:color w:val="auto"/>
        </w:rPr>
      </w:pPr>
      <w:r>
        <w:rPr>
          <w:rFonts w:ascii="Times New Roman" w:cs="Times New Roman" w:eastAsia="Times New Roman" w:hAnsi="Times New Roman"/>
          <w:sz w:val="18"/>
          <w:szCs w:val="18"/>
          <w:color w:val="auto"/>
        </w:rPr>
        <w:t>ASU 2020-06 updates the guidance on certain embedded conversion features that are not required to be accounted for as derivatives under Topic 815, Derivatives and Hedging, or that do not result in substantial premiums accounted for as paid-in capital, such that those features are no longer required to be separated from the host contract. The convertible debt instruments will be accounted for as a single liability measured at amortized cost. This will also result in the interest expense recognized for convertible debt instruments to be typically closer to the coupon interest rate when applying the guidance in Topic 835. On January 1, 2024, the Company adopted ASU 2020-06 using the modified retrospective method of adoption. Under this method, the Company applied the guidance to the 2024 Notes at the adoption date and was required to make an adjustment to January 1, 2024, opening accumulated deficit balance and additional paid in capital. The prior period consolidated financial statements have not been retrospectively adjusted and continue to be reported under the accounting standards in effect for those periods. Under ASU 2020-06, the 2024 Notes (debt and conversion option) are accounted for as a liability. The impact to the Company’s consolidated balance sheet as of January 1, 2024 resulting from its adoption of ASU 2020-06 is as follows:</w:t>
      </w:r>
    </w:p>
    <w:p>
      <w:pPr>
        <w:spacing w:after="0" w:line="15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Updated</w:t>
            </w:r>
          </w:p>
        </w:tc>
        <w:tc>
          <w:tcPr>
            <w:tcW w:w="80" w:type="dxa"/>
            <w:vAlign w:val="bottom"/>
          </w:tcPr>
          <w:p>
            <w:pPr>
              <w:spacing w:after="0"/>
              <w:rPr>
                <w:sz w:val="13"/>
                <w:szCs w:val="13"/>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gridSpan w:val="2"/>
            <w:vMerge w:val="continue"/>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20,251</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20,420</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415,045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414,652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381,549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20" w:right="259"/>
        <w:spacing w:after="0" w:line="274"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(the “CODM”) and included within each reported measure of segment profit or loss and an amount and description of its composition for other segment items. The Company adopted this standard in the current period retrospectively to all prior periods presented in its consolidated financial statements. See </w:t>
      </w:r>
      <w:r>
        <w:rPr>
          <w:rFonts w:ascii="Times New Roman" w:cs="Times New Roman" w:eastAsia="Times New Roman" w:hAnsi="Times New Roman"/>
          <w:sz w:val="17"/>
          <w:szCs w:val="17"/>
          <w:u w:val="single" w:color="auto"/>
          <w:color w:val="0000EE"/>
        </w:rPr>
        <w:t>Note 13</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7" w:lineRule="exact"/>
        <w:rPr>
          <w:sz w:val="20"/>
          <w:szCs w:val="20"/>
          <w:color w:val="auto"/>
        </w:rPr>
      </w:pPr>
    </w:p>
    <w:p>
      <w:pPr>
        <w:ind w:left="1020" w:right="7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619"/>
        <w:spacing w:after="0" w:line="261" w:lineRule="auto"/>
        <w:rPr>
          <w:sz w:val="20"/>
          <w:szCs w:val="20"/>
          <w:color w:val="auto"/>
        </w:rPr>
      </w:pPr>
      <w:r>
        <w:rPr>
          <w:rFonts w:ascii="Times New Roman" w:cs="Times New Roman" w:eastAsia="Times New Roman" w:hAnsi="Times New Roman"/>
          <w:sz w:val="18"/>
          <w:szCs w:val="18"/>
          <w:color w:val="auto"/>
        </w:rPr>
        <w:t>both in the U.S. and in foreign jurisdictions. ASU 2023-09 is effective for fiscal years beginning after December 15, 2024 on a prospective basis with the option to apply the standard retrospectively. The Company is currently evaluating this guidance to determine the impact it may have on its consolidated financial statements disclosures.</w:t>
      </w:r>
    </w:p>
    <w:p>
      <w:pPr>
        <w:spacing w:after="0" w:line="139" w:lineRule="exact"/>
        <w:rPr>
          <w:sz w:val="20"/>
          <w:szCs w:val="20"/>
          <w:color w:val="auto"/>
        </w:rPr>
      </w:pPr>
    </w:p>
    <w:p>
      <w:pPr>
        <w:ind w:left="1020" w:right="219"/>
        <w:spacing w:after="0" w:line="273"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 —Expense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within fiscal years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COMMERCIALIZATION AGREEMENTS</w:t>
      </w:r>
    </w:p>
    <w:p>
      <w:pPr>
        <w:spacing w:after="0" w:line="202" w:lineRule="exact"/>
        <w:rPr>
          <w:sz w:val="20"/>
          <w:szCs w:val="20"/>
          <w:color w:val="auto"/>
        </w:rPr>
      </w:pPr>
    </w:p>
    <w:p>
      <w:pPr>
        <w:ind w:left="1040" w:right="279" w:hanging="315"/>
        <w:spacing w:after="0" w:line="261" w:lineRule="auto"/>
        <w:tabs>
          <w:tab w:leader="none" w:pos="10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2015, the Company entered into the Amended Pfizer Agreement with Pfizer that amended and restated the Pfizer Agreement of November 30, 2009. Pursuant to the amendment, the Company granted Pfizer an exclusive license in the entire world, including Israel but excluding Brazil. Pfizer acquired all the information, knowledge and permission to manufacture and sell Elelyso.</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Protalix Ltd. also agreed to provide Pfizer with:</w:t>
      </w:r>
    </w:p>
    <w:p>
      <w:pPr>
        <w:spacing w:after="0" w:line="185" w:lineRule="exact"/>
        <w:rPr>
          <w:sz w:val="20"/>
          <w:szCs w:val="20"/>
          <w:color w:val="auto"/>
        </w:rPr>
      </w:pPr>
    </w:p>
    <w:p>
      <w:pPr>
        <w:ind w:left="1020" w:right="699" w:firstLine="2"/>
        <w:spacing w:after="0" w:line="282" w:lineRule="auto"/>
        <w:tabs>
          <w:tab w:leader="none" w:pos="13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supply of the drug substance for its incorporation into the licensed product in consideration of an agreed price per unit.</w:t>
      </w:r>
    </w:p>
    <w:p>
      <w:pPr>
        <w:spacing w:after="0" w:line="134" w:lineRule="exact"/>
        <w:rPr>
          <w:rFonts w:ascii="Times New Roman" w:cs="Times New Roman" w:eastAsia="Times New Roman" w:hAnsi="Times New Roman"/>
          <w:sz w:val="18"/>
          <w:szCs w:val="18"/>
          <w:color w:val="auto"/>
        </w:rPr>
      </w:pPr>
    </w:p>
    <w:p>
      <w:pPr>
        <w:ind w:left="1020" w:right="399" w:firstLine="2"/>
        <w:spacing w:after="0" w:line="282" w:lineRule="auto"/>
        <w:tabs>
          <w:tab w:leader="none" w:pos="13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arranging for the manufacture of the drug substance by Pfizer or by alternative supplier chosen by Pfizer in consideration of an agreed hourly rate plus reimbursement of expenses.</w:t>
      </w:r>
    </w:p>
    <w:p>
      <w:pPr>
        <w:spacing w:after="0" w:line="121" w:lineRule="exact"/>
        <w:rPr>
          <w:rFonts w:ascii="Times New Roman" w:cs="Times New Roman" w:eastAsia="Times New Roman" w:hAnsi="Times New Roman"/>
          <w:sz w:val="18"/>
          <w:szCs w:val="18"/>
          <w:color w:val="auto"/>
        </w:rPr>
      </w:pPr>
    </w:p>
    <w:p>
      <w:pPr>
        <w:ind w:left="1020" w:right="99" w:hanging="322"/>
        <w:spacing w:after="0" w:line="256" w:lineRule="auto"/>
        <w:tabs>
          <w:tab w:leader="none" w:pos="102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2017, Protalix Ltd. entered into the Chiesi Ex-U.S. Agreement with respect to the commercialization of pegunigalsidase alfa (hereafter – the drug) for the treatment of Fabry disease. Under the terms of the Chiesi Ex-U.S. Agreement, Protalix Ltd. granted to Chiesi exclusive licensing rights for the commercialization of the drug for all markets outside of the United States. At the effective date, Protalix Ltd. had maintained the exclusive commercialization rights to the drug in the United States, which rights were subsequently granted to Chiesi in July 2018.</w:t>
      </w:r>
    </w:p>
    <w:p>
      <w:pPr>
        <w:spacing w:after="0" w:line="146" w:lineRule="exact"/>
        <w:rPr>
          <w:rFonts w:ascii="Times New Roman" w:cs="Times New Roman" w:eastAsia="Times New Roman" w:hAnsi="Times New Roman"/>
          <w:sz w:val="18"/>
          <w:szCs w:val="18"/>
          <w:b w:val="1"/>
          <w:bCs w:val="1"/>
          <w:color w:val="auto"/>
        </w:rPr>
      </w:pPr>
    </w:p>
    <w:p>
      <w:pPr>
        <w:ind w:left="1020" w:right="1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Ltd. is mainly responsible for (i) continuing the development of the drug until a regulatory approval is granted and (ii) manufacture and supply the drug to Chiesi, based on Chiesi’s requests.</w:t>
      </w:r>
    </w:p>
    <w:p>
      <w:pPr>
        <w:spacing w:after="0" w:line="134"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consideration consists of the following:</w:t>
      </w:r>
    </w:p>
    <w:p>
      <w:pPr>
        <w:spacing w:after="0" w:line="184" w:lineRule="exact"/>
        <w:rPr>
          <w:rFonts w:ascii="Times New Roman" w:cs="Times New Roman" w:eastAsia="Times New Roman" w:hAnsi="Times New Roman"/>
          <w:sz w:val="18"/>
          <w:szCs w:val="18"/>
          <w:b w:val="1"/>
          <w:bCs w:val="1"/>
          <w:color w:val="auto"/>
        </w:rPr>
      </w:pPr>
    </w:p>
    <w:p>
      <w:pPr>
        <w:ind w:left="1380" w:hanging="331"/>
        <w:spacing w:after="0"/>
        <w:tabs>
          <w:tab w:leader="none" w:pos="13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non-refundable payment of $25.0 million.</w:t>
      </w:r>
    </w:p>
    <w:p>
      <w:pPr>
        <w:spacing w:after="0" w:line="18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of up to $25.0 million in development costs, capped at $10.0 million per year.</w:t>
      </w:r>
    </w:p>
    <w:p>
      <w:pPr>
        <w:spacing w:after="0" w:line="19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additional studies, as may be approved from time to time by Chiesi.</w:t>
      </w:r>
    </w:p>
    <w:p>
      <w:pPr>
        <w:spacing w:after="0" w:line="184" w:lineRule="exact"/>
        <w:rPr>
          <w:rFonts w:ascii="Times New Roman" w:cs="Times New Roman" w:eastAsia="Times New Roman" w:hAnsi="Times New Roman"/>
          <w:sz w:val="18"/>
          <w:szCs w:val="18"/>
          <w:color w:val="auto"/>
        </w:rPr>
      </w:pPr>
    </w:p>
    <w:p>
      <w:pPr>
        <w:ind w:left="1380" w:right="159" w:hanging="331"/>
        <w:spacing w:after="0" w:line="282" w:lineRule="auto"/>
        <w:tabs>
          <w:tab w:leader="none" w:pos="13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of up to $320.0 million with respect to certain regulatory and commercial events as defined in the Chiesi Ex-U.S.Agreement.</w:t>
      </w:r>
    </w:p>
    <w:p>
      <w:pPr>
        <w:spacing w:after="0" w:line="121" w:lineRule="exact"/>
        <w:rPr>
          <w:rFonts w:ascii="Times New Roman" w:cs="Times New Roman" w:eastAsia="Times New Roman" w:hAnsi="Times New Roman"/>
          <w:sz w:val="18"/>
          <w:szCs w:val="18"/>
          <w:color w:val="auto"/>
        </w:rPr>
      </w:pPr>
    </w:p>
    <w:p>
      <w:pPr>
        <w:ind w:left="1380" w:right="379" w:hanging="331"/>
        <w:spacing w:after="0" w:line="282" w:lineRule="auto"/>
        <w:tabs>
          <w:tab w:leader="none" w:pos="13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as consideration for the supply of the drug. The payment will vary from 15% to 35% of Chiesi’s average selling price of the drug, depending on the amount of annual sales.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Protalix Ltd. will be the sole manufacturer of the drug.</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Chiesi does not have sublicensing rights (except for certain territories).</w:t>
      </w:r>
    </w:p>
    <w:p>
      <w:pPr>
        <w:spacing w:after="0" w:line="185" w:lineRule="exact"/>
        <w:rPr>
          <w:sz w:val="20"/>
          <w:szCs w:val="20"/>
          <w:color w:val="auto"/>
        </w:rPr>
      </w:pPr>
    </w:p>
    <w:p>
      <w:pPr>
        <w:jc w:val="both"/>
        <w:ind w:left="1020" w:right="99"/>
        <w:spacing w:after="0" w:line="272" w:lineRule="auto"/>
        <w:rPr>
          <w:sz w:val="20"/>
          <w:szCs w:val="20"/>
          <w:color w:val="auto"/>
        </w:rPr>
      </w:pPr>
      <w:r>
        <w:rPr>
          <w:rFonts w:ascii="Times New Roman" w:cs="Times New Roman" w:eastAsia="Times New Roman" w:hAnsi="Times New Roman"/>
          <w:sz w:val="17"/>
          <w:szCs w:val="17"/>
          <w:color w:val="auto"/>
        </w:rPr>
        <w:t>In July 2018, Protalix Ltd. entered into the Chiesi US Agreement with respect to the commercialization of the drug for the treatment of Fabry disease. Under the terms of the Chiesi US Agreement, Protalix Ltd. granted to Chiesi exclusive licensing rights for the commercialization of the drug for all markets in the United States.</w:t>
      </w:r>
    </w:p>
    <w:p>
      <w:pPr>
        <w:spacing w:after="0" w:line="2" w:lineRule="exact"/>
        <w:rPr>
          <w:sz w:val="20"/>
          <w:szCs w:val="20"/>
          <w:color w:val="auto"/>
        </w:rPr>
      </w:pPr>
    </w:p>
    <w:p>
      <w:pPr>
        <w:ind w:left="1020" w:right="199"/>
        <w:spacing w:after="0" w:line="277" w:lineRule="auto"/>
        <w:rPr>
          <w:sz w:val="20"/>
          <w:szCs w:val="20"/>
          <w:color w:val="auto"/>
        </w:rPr>
      </w:pPr>
      <w:r>
        <w:rPr>
          <w:rFonts w:ascii="Times New Roman" w:cs="Times New Roman" w:eastAsia="Times New Roman" w:hAnsi="Times New Roman"/>
          <w:sz w:val="17"/>
          <w:szCs w:val="17"/>
          <w:color w:val="auto"/>
        </w:rPr>
        <w:t>Protalix Ltd. is mainly responsible for (i) continuing the development of the drug until a regulatory approval is granted, (ii) continuing certain clinical development efforts in relation to the drug after a regulatory approval is granted and (iii) manufacture and supply the drug to Chiesi, based on Chiesi’s requests.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consideration consists of the following:</w:t>
      </w:r>
    </w:p>
    <w:p>
      <w:pPr>
        <w:spacing w:after="0" w:line="185" w:lineRule="exact"/>
        <w:rPr>
          <w:sz w:val="20"/>
          <w:szCs w:val="20"/>
          <w:color w:val="auto"/>
        </w:rPr>
      </w:pPr>
    </w:p>
    <w:p>
      <w:pPr>
        <w:ind w:left="1380" w:hanging="331"/>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non-refundable payment of $25.0 million.</w:t>
      </w:r>
    </w:p>
    <w:p>
      <w:pPr>
        <w:spacing w:after="0" w:line="18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of up to $20.0 million in development costs, capped at $7.5 million per year.</w:t>
      </w:r>
    </w:p>
    <w:p>
      <w:pPr>
        <w:spacing w:after="0" w:line="19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additional studies, as may be approved from time to time by Chiesi.</w:t>
      </w:r>
    </w:p>
    <w:p>
      <w:pPr>
        <w:spacing w:after="0" w:line="184" w:lineRule="exact"/>
        <w:rPr>
          <w:rFonts w:ascii="Times New Roman" w:cs="Times New Roman" w:eastAsia="Times New Roman" w:hAnsi="Times New Roman"/>
          <w:sz w:val="18"/>
          <w:szCs w:val="18"/>
          <w:color w:val="auto"/>
        </w:rPr>
      </w:pPr>
    </w:p>
    <w:p>
      <w:pPr>
        <w:ind w:left="1380" w:right="159" w:hanging="331"/>
        <w:spacing w:after="0" w:line="282" w:lineRule="auto"/>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of up to $760.0 million with respect to certain regulatory and commercial events as defined in the Chiesi US Agreement, which has been reduced to $735.0 million.</w:t>
      </w:r>
    </w:p>
    <w:p>
      <w:pPr>
        <w:spacing w:after="0" w:line="121" w:lineRule="exact"/>
        <w:rPr>
          <w:rFonts w:ascii="Times New Roman" w:cs="Times New Roman" w:eastAsia="Times New Roman" w:hAnsi="Times New Roman"/>
          <w:sz w:val="18"/>
          <w:szCs w:val="18"/>
          <w:color w:val="auto"/>
        </w:rPr>
      </w:pPr>
    </w:p>
    <w:p>
      <w:pPr>
        <w:ind w:left="1380" w:right="379" w:hanging="331"/>
        <w:spacing w:after="0" w:line="282" w:lineRule="auto"/>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as consideration for the supply of the drug. The payment will vary from 15% to 40% of Chiesi’s average selling price of the drug, depending on the amount of annual sales.</w:t>
      </w:r>
    </w:p>
    <w:p>
      <w:pPr>
        <w:spacing w:after="0" w:line="13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Protalix will be the sole manufacturer of the drug.</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Chiesi does not have sublicensing rights.</w:t>
      </w:r>
    </w:p>
    <w:p>
      <w:pPr>
        <w:spacing w:after="0" w:line="185" w:lineRule="exact"/>
        <w:rPr>
          <w:sz w:val="20"/>
          <w:szCs w:val="20"/>
          <w:color w:val="auto"/>
        </w:rPr>
      </w:pPr>
    </w:p>
    <w:p>
      <w:pPr>
        <w:ind w:left="1020" w:right="99" w:hanging="322"/>
        <w:spacing w:after="0" w:line="256" w:lineRule="auto"/>
        <w:tabs>
          <w:tab w:leader="none" w:pos="10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18, 2013, Protalix Ltd. entered into the Brazil Agreement with Fiocruz for BioManguinhos. Fiocruz’s purchases of BioManguinhos alfataliglicerase to date have been significantly below certain agreed upon purchase milestones and, accordingly, the Company has the right to terminate the Brazil Agreement. Notwithstanding, the Company is, at this time, continuing to supply BioManguinhos alfataliglicerase to Fiocruz under the Brazil Agreement, and patients continue to be treated with BioManguinhos alfataliglicerase in Brazil.</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PROPERTY AND EQUIPMENT</w:t>
      </w:r>
    </w:p>
    <w:p>
      <w:pPr>
        <w:spacing w:after="0" w:line="229" w:lineRule="exact"/>
        <w:rPr>
          <w:sz w:val="20"/>
          <w:szCs w:val="20"/>
          <w:color w:val="auto"/>
        </w:rPr>
      </w:pPr>
    </w:p>
    <w:p>
      <w:pPr>
        <w:ind w:left="1040" w:hanging="315"/>
        <w:spacing w:after="0"/>
        <w:tabs>
          <w:tab w:leader="none" w:pos="10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Composition of property and equipment grouped by major classifications is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computer equipment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559" w:hanging="322"/>
        <w:spacing w:after="0" w:line="282" w:lineRule="auto"/>
        <w:tabs>
          <w:tab w:leader="none" w:pos="102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in respect of property and equipment totaled approximately $1.1 million, $1.2 million and $1.3 million for the years ended December 31, 2022, 2023 and 2024,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189" w:lineRule="exact"/>
        <w:rPr>
          <w:sz w:val="20"/>
          <w:szCs w:val="20"/>
          <w:color w:val="auto"/>
        </w:rPr>
      </w:pPr>
    </w:p>
    <w:p>
      <w:pPr>
        <w:ind w:left="1040" w:hanging="315"/>
        <w:spacing w:after="0"/>
        <w:tabs>
          <w:tab w:leader="none" w:pos="10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at December 31, 2023 and 2024 consisted of the following:</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0" w:type="dxa"/>
            <w:vAlign w:val="bottom"/>
          </w:tcPr>
          <w:p>
            <w:pPr>
              <w:spacing w:after="0"/>
              <w:rPr>
                <w:sz w:val="1"/>
                <w:szCs w:val="1"/>
                <w:color w:val="auto"/>
              </w:rPr>
            </w:pPr>
          </w:p>
        </w:tc>
      </w:tr>
      <w:tr>
        <w:trPr>
          <w:trHeight w:val="20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hanging="322"/>
        <w:spacing w:after="0"/>
        <w:tabs>
          <w:tab w:leader="none" w:pos="10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2022, 2023 and 2024, the Company recorded approximately</w:t>
      </w:r>
    </w:p>
    <w:p>
      <w:pPr>
        <w:spacing w:after="0" w:line="27" w:lineRule="exact"/>
        <w:rPr>
          <w:rFonts w:ascii="Times New Roman" w:cs="Times New Roman" w:eastAsia="Times New Roman" w:hAnsi="Times New Roman"/>
          <w:sz w:val="18"/>
          <w:szCs w:val="18"/>
          <w:b w:val="1"/>
          <w:bCs w:val="1"/>
          <w:color w:val="auto"/>
        </w:rPr>
      </w:pPr>
    </w:p>
    <w:p>
      <w:pPr>
        <w:ind w:left="1020" w:right="21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$0.04 million, $0.8 million and $0.09 million, respectively, for write-down of inventory under cost of goods sold.</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LIABILITY FOR EMPLOYEE RIGHTS UPON RETIREMENT</w:t>
      </w:r>
    </w:p>
    <w:p>
      <w:pPr>
        <w:spacing w:after="0" w:line="202" w:lineRule="exact"/>
        <w:rPr>
          <w:sz w:val="20"/>
          <w:szCs w:val="20"/>
          <w:color w:val="auto"/>
        </w:rPr>
      </w:pPr>
    </w:p>
    <w:p>
      <w:pPr>
        <w:ind w:left="700" w:right="199"/>
        <w:spacing w:after="0" w:line="258" w:lineRule="auto"/>
        <w:rPr>
          <w:sz w:val="20"/>
          <w:szCs w:val="20"/>
          <w:color w:val="auto"/>
        </w:rPr>
      </w:pPr>
      <w:r>
        <w:rPr>
          <w:rFonts w:ascii="Times New Roman" w:cs="Times New Roman" w:eastAsia="Times New Roman" w:hAnsi="Times New Roman"/>
          <w:sz w:val="18"/>
          <w:szCs w:val="18"/>
          <w:color w:val="auto"/>
        </w:rPr>
        <w:t>The Israeli Subsidiary is required to make a severance payment upon dismissal of an employee or upon termination of employment in certain circumstances. The severance pay liability to the employees (based upon length of service and the latest monthly salary - one month’s salary for each year employed) is recorded on the Company’s balance sheets under “Liability for employee rights upon retirement.” The liability is recorded as if it were payable at each balance sheet date on an undiscounted basis.</w:t>
      </w:r>
    </w:p>
    <w:p>
      <w:pPr>
        <w:spacing w:after="0" w:line="143" w:lineRule="exact"/>
        <w:rPr>
          <w:sz w:val="20"/>
          <w:szCs w:val="20"/>
          <w:color w:val="auto"/>
        </w:rPr>
      </w:pPr>
    </w:p>
    <w:p>
      <w:pPr>
        <w:ind w:left="700" w:right="299"/>
        <w:spacing w:after="0" w:line="255" w:lineRule="auto"/>
        <w:rPr>
          <w:sz w:val="20"/>
          <w:szCs w:val="20"/>
          <w:color w:val="auto"/>
        </w:rPr>
      </w:pPr>
      <w:r>
        <w:rPr>
          <w:rFonts w:ascii="Times New Roman" w:cs="Times New Roman" w:eastAsia="Times New Roman" w:hAnsi="Times New Roman"/>
          <w:sz w:val="18"/>
          <w:szCs w:val="18"/>
          <w:color w:val="auto"/>
        </w:rPr>
        <w:t>The liability is funded in part from the purchase of insurance policies or by the establishment of pension funds with dedicated deposits in the funds. The amounts used to fund these liabilities are included in the Company’s balance sheets under “Funds in respect of employee rights upon retirement.” These policies are the Company’s assets. However, under labor agreements and subject to certain limitations, any policy may be transferred to the ownership of the individual employee for whose benefit the funds were deposited. In the years ended December 31, 2022, 2023 and 2024, the Company deposited approximately $96,000, $142,000 and $32,000, respectively, with insurance companies in connection with its severance payment obligations.</w:t>
      </w:r>
    </w:p>
    <w:p>
      <w:pPr>
        <w:spacing w:after="0" w:line="148" w:lineRule="exact"/>
        <w:rPr>
          <w:sz w:val="20"/>
          <w:szCs w:val="20"/>
          <w:color w:val="auto"/>
        </w:rPr>
      </w:pPr>
    </w:p>
    <w:p>
      <w:pPr>
        <w:ind w:left="700" w:right="119"/>
        <w:spacing w:after="0" w:line="254" w:lineRule="auto"/>
        <w:rPr>
          <w:sz w:val="20"/>
          <w:szCs w:val="20"/>
          <w:color w:val="auto"/>
        </w:rPr>
      </w:pPr>
      <w:r>
        <w:rPr>
          <w:rFonts w:ascii="Times New Roman" w:cs="Times New Roman" w:eastAsia="Times New Roman" w:hAnsi="Times New Roman"/>
          <w:sz w:val="18"/>
          <w:szCs w:val="18"/>
          <w:color w:val="auto"/>
        </w:rPr>
        <w:t>In accordance with the current employment agreements with certain employees, the Company makes regular deposits with certain insurance companies for accounts controlled by each applicable employee in order to secure the employee’s rights upon retirement. The Company is fully relieved from any severance pay liability with respect to each such employee after it makes the payments on behalf of the employee. The liability accrued in respect of these employees and the amounts funded, as of the respective agreement dates, are not reflected in the Company’s balance sheets, as the amounts funded are not under the control and management of the Company and the pension or severance pay risks have been irrevocably transferred to the applicable insurance companies (the “Contribution Plans”).</w:t>
      </w:r>
    </w:p>
    <w:p>
      <w:pPr>
        <w:spacing w:after="0" w:line="165" w:lineRule="exact"/>
        <w:rPr>
          <w:sz w:val="20"/>
          <w:szCs w:val="20"/>
          <w:color w:val="auto"/>
        </w:rPr>
      </w:pPr>
    </w:p>
    <w:p>
      <w:pPr>
        <w:ind w:left="700" w:right="339"/>
        <w:spacing w:after="0" w:line="256" w:lineRule="auto"/>
        <w:rPr>
          <w:sz w:val="20"/>
          <w:szCs w:val="20"/>
          <w:color w:val="auto"/>
        </w:rPr>
      </w:pPr>
      <w:r>
        <w:rPr>
          <w:rFonts w:ascii="Times New Roman" w:cs="Times New Roman" w:eastAsia="Times New Roman" w:hAnsi="Times New Roman"/>
          <w:sz w:val="18"/>
          <w:szCs w:val="18"/>
          <w:color w:val="auto"/>
        </w:rPr>
        <w:t>The amounts of severance pay expenses were approximately $945,000, $801,000 and $820,000 for each of the years ended December 31, 2022, 2023 and 2024, respectively, of which approximately $800,000, $798,000 and $859,000 in the years ended December 31, 2022, 2023 and 2024, respectively, were in respect of the Contribution Plans. Gain (loss) on amounts funded in respect of employee rights upon retirement totaled approximately $(3,000), $50,000 and $18,000 for the years ended December 31, 2022, 2023 and 2024, respectively.</w:t>
      </w:r>
    </w:p>
    <w:p>
      <w:pPr>
        <w:spacing w:after="0" w:line="147" w:lineRule="exact"/>
        <w:rPr>
          <w:sz w:val="20"/>
          <w:szCs w:val="20"/>
          <w:color w:val="auto"/>
        </w:rPr>
      </w:pPr>
    </w:p>
    <w:p>
      <w:pPr>
        <w:ind w:left="700" w:right="239"/>
        <w:spacing w:after="0" w:line="266" w:lineRule="auto"/>
        <w:rPr>
          <w:sz w:val="20"/>
          <w:szCs w:val="20"/>
          <w:color w:val="auto"/>
        </w:rPr>
      </w:pPr>
      <w:r>
        <w:rPr>
          <w:rFonts w:ascii="Times New Roman" w:cs="Times New Roman" w:eastAsia="Times New Roman" w:hAnsi="Times New Roman"/>
          <w:sz w:val="18"/>
          <w:szCs w:val="18"/>
          <w:color w:val="auto"/>
        </w:rPr>
        <w:t>The Company expects to contribute approximately $956,000 in the year ending December 31, 2025 to insurance companies in connection with its severance liabilities, approximately $931,000 of which will be contributed to one or more Contribution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700" w:right="379"/>
        <w:spacing w:after="0" w:line="282" w:lineRule="auto"/>
        <w:rPr>
          <w:sz w:val="20"/>
          <w:szCs w:val="20"/>
          <w:color w:val="auto"/>
        </w:rPr>
      </w:pPr>
      <w:r>
        <w:rPr>
          <w:rFonts w:ascii="Times New Roman" w:cs="Times New Roman" w:eastAsia="Times New Roman" w:hAnsi="Times New Roman"/>
          <w:sz w:val="18"/>
          <w:szCs w:val="18"/>
          <w:color w:val="auto"/>
        </w:rPr>
        <w:t>During the five-year period following December 31, 2024, the Company expects that up to 10 employees may retire upon normal retirement age.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185" w:lineRule="exact"/>
        <w:rPr>
          <w:sz w:val="20"/>
          <w:szCs w:val="20"/>
          <w:color w:val="auto"/>
        </w:rPr>
      </w:pPr>
    </w:p>
    <w:p>
      <w:pPr>
        <w:ind w:left="1020" w:hanging="322"/>
        <w:spacing w:after="0"/>
        <w:tabs>
          <w:tab w:leader="none" w:pos="10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Commitments</w:t>
      </w:r>
    </w:p>
    <w:p>
      <w:pPr>
        <w:spacing w:after="0" w:line="188" w:lineRule="exact"/>
        <w:rPr>
          <w:rFonts w:ascii="Times New Roman" w:cs="Times New Roman" w:eastAsia="Times New Roman" w:hAnsi="Times New Roman"/>
          <w:sz w:val="18"/>
          <w:szCs w:val="18"/>
          <w:b w:val="1"/>
          <w:bCs w:val="1"/>
          <w:color w:val="auto"/>
        </w:rPr>
      </w:pPr>
    </w:p>
    <w:p>
      <w:pPr>
        <w:jc w:val="both"/>
        <w:ind w:left="1020" w:right="199"/>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is obligated to pay royalties to the National Authority for Technological Innovation (“NATI”) on proceeds from the sale of products developed from research and development activities that were funded, partially, by grants from NATI or its predecessor, the Office of the Israeli Innovation Authority (IIA). At the time the grants were received, successful development of the related projects was not assured.</w:t>
      </w:r>
    </w:p>
    <w:p>
      <w:pPr>
        <w:spacing w:after="0" w:line="137" w:lineRule="exact"/>
        <w:rPr>
          <w:rFonts w:ascii="Times New Roman" w:cs="Times New Roman" w:eastAsia="Times New Roman" w:hAnsi="Times New Roman"/>
          <w:sz w:val="18"/>
          <w:szCs w:val="18"/>
          <w:b w:val="1"/>
          <w:bCs w:val="1"/>
          <w:color w:val="auto"/>
        </w:rPr>
      </w:pPr>
    </w:p>
    <w:p>
      <w:pPr>
        <w:ind w:left="1020" w:right="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failure of a project that was partly financed as described above, the Company is not obligated to pay any such royalties or repay funding received from NATI or the IIA.</w:t>
      </w:r>
    </w:p>
    <w:p>
      <w:pPr>
        <w:spacing w:after="0" w:line="121" w:lineRule="exact"/>
        <w:rPr>
          <w:rFonts w:ascii="Times New Roman" w:cs="Times New Roman" w:eastAsia="Times New Roman" w:hAnsi="Times New Roman"/>
          <w:sz w:val="18"/>
          <w:szCs w:val="18"/>
          <w:b w:val="1"/>
          <w:bCs w:val="1"/>
          <w:color w:val="auto"/>
        </w:rPr>
      </w:pPr>
    </w:p>
    <w:p>
      <w:pPr>
        <w:ind w:left="1020" w:right="7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applicable funding arrangements, royalties of 3% to 6% are payable on the sale of products developed from projects funded by NATI or the IIA, which payments shall not exceed, in the aggregate, 100% of the amount of the grant received (dollar linked), plus, commencing upon January 1, 2001, interest at an annual rate based on SOFR. In addition, if the Company receives approval to manufacture products developed with government grants outside the State of Israel, it will, subject to certain exceptions, be required to pay an increased total amount of royalties, depending on the manufacturing volume that is performed outside the State of Israel, and, possibly, an increased royalty rate.</w:t>
      </w:r>
    </w:p>
    <w:p>
      <w:pPr>
        <w:spacing w:after="0" w:line="148" w:lineRule="exact"/>
        <w:rPr>
          <w:rFonts w:ascii="Times New Roman" w:cs="Times New Roman" w:eastAsia="Times New Roman" w:hAnsi="Times New Roman"/>
          <w:sz w:val="18"/>
          <w:szCs w:val="18"/>
          <w:b w:val="1"/>
          <w:bCs w:val="1"/>
          <w:color w:val="auto"/>
        </w:rPr>
      </w:pPr>
    </w:p>
    <w:p>
      <w:pPr>
        <w:ind w:left="1020" w:right="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Royalty expenses to NATI or the IIA are included in the statement of operations as a component of the cost of revenues and were approximately $1.2 million, $1.9 million and $1.6 million during the years ended December 31, 2022, 2023 and 2024, respectively.</w:t>
      </w:r>
    </w:p>
    <w:p>
      <w:pPr>
        <w:spacing w:after="0" w:line="148" w:lineRule="exact"/>
        <w:rPr>
          <w:rFonts w:ascii="Times New Roman" w:cs="Times New Roman" w:eastAsia="Times New Roman" w:hAnsi="Times New Roman"/>
          <w:sz w:val="18"/>
          <w:szCs w:val="18"/>
          <w:b w:val="1"/>
          <w:bCs w:val="1"/>
          <w:color w:val="auto"/>
        </w:rPr>
      </w:pPr>
    </w:p>
    <w:p>
      <w:pPr>
        <w:ind w:left="1020" w:right="3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2023 and 2024, the maximum total royalty amount payable by the Company under these funding arrangements is approximately $35.5 million and $33.9 million, respectively (without interest, assuming 100% of the funds are payable).</w:t>
      </w:r>
    </w:p>
    <w:p>
      <w:pPr>
        <w:spacing w:after="0" w:line="131"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Subcontracting Agreements</w:t>
      </w:r>
    </w:p>
    <w:p>
      <w:pPr>
        <w:spacing w:after="0" w:line="188" w:lineRule="exact"/>
        <w:rPr>
          <w:rFonts w:ascii="Times New Roman" w:cs="Times New Roman" w:eastAsia="Times New Roman" w:hAnsi="Times New Roman"/>
          <w:sz w:val="18"/>
          <w:szCs w:val="18"/>
          <w:b w:val="1"/>
          <w:bCs w:val="1"/>
          <w:color w:val="auto"/>
        </w:rPr>
      </w:pPr>
    </w:p>
    <w:p>
      <w:pPr>
        <w:ind w:left="1020" w:right="19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sub-contracting agreements with several clinical providers and consultants in Israel, the United States and certain other countries in connection with its primary product development process. As of December 31, 2024, total commitments under said agreements were approximately</w:t>
      </w:r>
    </w:p>
    <w:p>
      <w:pPr>
        <w:spacing w:after="0" w:line="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 million.</w:t>
      </w:r>
    </w:p>
    <w:p>
      <w:pPr>
        <w:spacing w:after="0" w:line="175"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Fill/Finish Agreement</w:t>
      </w:r>
    </w:p>
    <w:p>
      <w:pPr>
        <w:spacing w:after="0" w:line="188" w:lineRule="exact"/>
        <w:rPr>
          <w:rFonts w:ascii="Times New Roman" w:cs="Times New Roman" w:eastAsia="Times New Roman" w:hAnsi="Times New Roman"/>
          <w:sz w:val="18"/>
          <w:szCs w:val="18"/>
          <w:b w:val="1"/>
          <w:bCs w:val="1"/>
          <w:color w:val="auto"/>
        </w:rPr>
      </w:pPr>
    </w:p>
    <w:p>
      <w:pPr>
        <w:ind w:left="1020" w:right="21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29, 2022, the Company entered into a Fill/Finish Agreement (the “F/F Agreement”) and a Letter Agreement, in each case with Chiesi. The Company agreed to supply Chiesi with drug substance for pegunigalsidase alfa and, following relevant technology and technical information transfer activities, Chiesi has agreed, among other things, to provide the Company with commercial fill/finish services for pegunigalsidase alfa, including to support the global launch of pegunigalsidase alfa. The F/F Agreement did not change the terms and conditions of the Chiesi Agreements. Subsequently, in November 2024, the Company and Chiesi amended the F/F Agreement to provide that a different Chiesi facility may act as a secondary supplier of such services and that the F/F Agreement shall have an initial term of 10 years, unless terminated earlier in accordance with the terms of the F/F Agreement. Prior to expiration of the initial term, the term may be extended by mutual agreement for an additional period of seven years upon mutual written agreement prior to expiration of the initial term. Under the F/F Agreement, the Company is obligated to pay to Chiesi an amount equal to €2.5 million in connection with the necessary technology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9" w:lineRule="exact"/>
        <w:rPr>
          <w:sz w:val="20"/>
          <w:szCs w:val="20"/>
          <w:color w:val="auto"/>
        </w:rPr>
      </w:pPr>
    </w:p>
    <w:p>
      <w:pPr>
        <w:ind w:left="1020" w:right="159"/>
        <w:spacing w:after="0" w:line="264" w:lineRule="auto"/>
        <w:rPr>
          <w:sz w:val="20"/>
          <w:szCs w:val="20"/>
          <w:color w:val="auto"/>
        </w:rPr>
      </w:pPr>
      <w:r>
        <w:rPr>
          <w:rFonts w:ascii="Times New Roman" w:cs="Times New Roman" w:eastAsia="Times New Roman" w:hAnsi="Times New Roman"/>
          <w:sz w:val="19"/>
          <w:szCs w:val="19"/>
          <w:color w:val="auto"/>
        </w:rPr>
        <w:t xml:space="preserve">transfer, QA tests and capital expenditures. </w:t>
      </w:r>
      <w:r>
        <w:rPr>
          <w:rFonts w:ascii="Times New Roman" w:cs="Times New Roman" w:eastAsia="Times New Roman" w:hAnsi="Times New Roman"/>
          <w:sz w:val="17"/>
          <w:szCs w:val="17"/>
          <w:color w:val="auto"/>
        </w:rPr>
        <w:t>Such amount is to be paid over the term of the F/F agreement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based on the actual vials produced by Chiesi thereunder. Under the amendment, the Company and Chiesi agreed to share equally the costs of establishing the new facility as an alternative source for Fill/Finish. The Company’s share of such costs amounting to $400,000 shall be due and payable upon Chiesi’s completion of the manufacture of the requisite validation batches and issuance of the process validation report.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OPERATING LEASES</w:t>
      </w:r>
    </w:p>
    <w:p>
      <w:pPr>
        <w:spacing w:after="0" w:line="189" w:lineRule="exact"/>
        <w:rPr>
          <w:sz w:val="20"/>
          <w:szCs w:val="20"/>
          <w:color w:val="auto"/>
        </w:rPr>
      </w:pPr>
    </w:p>
    <w:p>
      <w:pPr>
        <w:ind w:left="1020" w:right="159"/>
        <w:spacing w:after="0" w:line="256" w:lineRule="auto"/>
        <w:rPr>
          <w:sz w:val="20"/>
          <w:szCs w:val="20"/>
          <w:color w:val="auto"/>
        </w:rPr>
      </w:pPr>
      <w:r>
        <w:rPr>
          <w:rFonts w:ascii="Times New Roman" w:cs="Times New Roman" w:eastAsia="Times New Roman" w:hAnsi="Times New Roman"/>
          <w:sz w:val="18"/>
          <w:szCs w:val="18"/>
          <w:color w:val="auto"/>
        </w:rPr>
        <w:t>The Company is a party to several lease agreements for its facilities, the latest of which has been extended until 2026. The Company has the option to extend certain of such agreements on one additional occasion for an additional five-year period. During the extended lease period, the aggregate monthly rental payments will increase by 7.5%-10% for the option. The Company expects to exercise the final option in future periods. As of December 31, 2024, the Company provided bank guarantees of approximately $513,000, in the aggregate, to secure the fulfillment of its obligations under the lease agreements.</w:t>
      </w:r>
    </w:p>
    <w:p>
      <w:pPr>
        <w:spacing w:after="0" w:line="147"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The Company entered into several three-year leases for vehicles which are regularly amended as new vehicles are leased.</w:t>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data regarding the Company’s operating leases for the years ended</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2022, 2023 and 2024:</w:t>
      </w:r>
    </w:p>
    <w:p>
      <w:pPr>
        <w:spacing w:after="0" w:line="254"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7"/>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20" w:type="dxa"/>
            <w:vAlign w:val="bottom"/>
            <w:gridSpan w:val="2"/>
            <w:vMerge w:val="continue"/>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60" w:type="dxa"/>
            <w:vAlign w:val="bottom"/>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2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line="20" w:lineRule="exact"/>
              <w:rPr>
                <w:sz w:val="1"/>
                <w:szCs w:val="1"/>
                <w:color w:val="auto"/>
              </w:rPr>
            </w:pPr>
          </w:p>
        </w:tc>
      </w:tr>
      <w:tr>
        <w:trPr>
          <w:trHeight w:val="196"/>
        </w:trPr>
        <w:tc>
          <w:tcPr>
            <w:tcW w:w="4720" w:type="dxa"/>
            <w:vAlign w:val="bottom"/>
            <w:gridSpan w:val="2"/>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8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a maturity analysis of the Company’s operating lease liabilities as of</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7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gridSpan w:val="3"/>
            <w:vMerge w:val="continue"/>
          </w:tcPr>
          <w:p>
            <w:pPr>
              <w:spacing w:after="0"/>
              <w:rPr>
                <w:sz w:val="20"/>
                <w:szCs w:val="20"/>
                <w:color w:val="auto"/>
              </w:rPr>
            </w:pPr>
          </w:p>
        </w:tc>
        <w:tc>
          <w:tcPr>
            <w:tcW w:w="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3"/>
            <w:vMerge w:val="continue"/>
          </w:tcPr>
          <w:p>
            <w:pPr>
              <w:spacing w:after="0"/>
              <w:rPr>
                <w:sz w:val="17"/>
                <w:szCs w:val="17"/>
                <w:color w:val="auto"/>
              </w:rPr>
            </w:pPr>
          </w:p>
        </w:tc>
        <w:tc>
          <w:tcPr>
            <w:tcW w:w="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SHARE CAPITAL</w:t>
      </w:r>
    </w:p>
    <w:p>
      <w:pPr>
        <w:spacing w:after="0" w:line="198" w:lineRule="exact"/>
        <w:rPr>
          <w:sz w:val="20"/>
          <w:szCs w:val="20"/>
          <w:color w:val="auto"/>
        </w:rPr>
      </w:pPr>
    </w:p>
    <w:p>
      <w:pPr>
        <w:ind w:left="1000" w:hanging="302"/>
        <w:spacing w:after="0"/>
        <w:tabs>
          <w:tab w:leader="none" w:pos="10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Capital</w:t>
      </w:r>
    </w:p>
    <w:p>
      <w:pPr>
        <w:spacing w:after="0" w:line="188" w:lineRule="exact"/>
        <w:rPr>
          <w:rFonts w:ascii="Times New Roman" w:cs="Times New Roman" w:eastAsia="Times New Roman" w:hAnsi="Times New Roman"/>
          <w:sz w:val="18"/>
          <w:szCs w:val="18"/>
          <w:b w:val="1"/>
          <w:bCs w:val="1"/>
          <w:color w:val="auto"/>
        </w:rPr>
      </w:pPr>
    </w:p>
    <w:p>
      <w:pPr>
        <w:ind w:left="1020" w:right="5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Company’s Certificate of Incorporation, as amended, the Company is authorized to issue 185,000,000 shares of Common Stock and 100,000,000 shares of preferred stock, par value $0.0001 per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the Company’s Common Stock</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is listed on the NYSE American. The Company voluntarily delisted its Common Stock from the Tel Aviv Stock Exchange effective March 22, 2023. Each share of Common Stock is entitled to one vote. The holders of shares of Common Stock are also entitled to receive dividends whenever funds are legally available, when and if declared by the Board of Directors. Since its inception, the Company has not declared any dividends.</w:t>
      </w:r>
    </w:p>
    <w:p>
      <w:pPr>
        <w:spacing w:after="0" w:line="138"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02" w:lineRule="exact"/>
        <w:rPr>
          <w:rFonts w:ascii="Times New Roman" w:cs="Times New Roman" w:eastAsia="Times New Roman" w:hAnsi="Times New Roman"/>
          <w:sz w:val="18"/>
          <w:szCs w:val="18"/>
          <w:b w:val="1"/>
          <w:bCs w:val="1"/>
          <w:color w:val="auto"/>
        </w:rPr>
      </w:pPr>
    </w:p>
    <w:p>
      <w:pPr>
        <w:ind w:left="1020" w:right="7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14, 2006, the Board of Directors adopted the Protalix BioTherapeutics, Inc. 2006 Stock Incentive Plan, as amended (the “Plan”). The Plan has since been amended to, among other things, increase the number of shares of Common Stock available under the Plan to 17,475,171 shares. The grant of options to Israeli employees under the Plan is subject to the terms stipulated by Sections 102 and 102A of the Israeli Income Tax Ordinance (the “Ordinance”). Each option grant made to an Israeli citizen is subject to the track chosen by the Company, either Section 102 or Section 102A of the Ordinance, and pursuant to the terms thereof, the Company is not allowed to claim, as an expense for tax purposes, the amounts credited to employees as a benefit, including amounts recorded as salary benefits in the Company’s accounts, in respect of options granted to employees under the Plan, with the exception of the work-income benefit component, if any, determined on the grant date. For Israeli non-employees, the share option plan is subject to Section 3(i) of the Ordinance.</w:t>
      </w:r>
    </w:p>
    <w:p>
      <w:pPr>
        <w:spacing w:after="0" w:line="15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4,139,412 shares of Common Stock remain available for grant under the Plan.</w:t>
      </w:r>
    </w:p>
    <w:p>
      <w:pPr>
        <w:spacing w:after="0" w:line="184" w:lineRule="exact"/>
        <w:rPr>
          <w:rFonts w:ascii="Times New Roman" w:cs="Times New Roman" w:eastAsia="Times New Roman" w:hAnsi="Times New Roman"/>
          <w:sz w:val="18"/>
          <w:szCs w:val="18"/>
          <w:b w:val="1"/>
          <w:bCs w:val="1"/>
          <w:color w:val="auto"/>
        </w:rPr>
      </w:pPr>
    </w:p>
    <w:p>
      <w:pPr>
        <w:ind w:left="1020" w:right="2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period of the outstanding options and restricted shares is generally three or four years from the date of grant. The rights of common stock obtained from the exercise of options (once vested) and the restricted stock are identical to those of other common stock of the Company. The contractual term of these options is primarily for ten years.</w:t>
      </w:r>
    </w:p>
    <w:p>
      <w:pPr>
        <w:spacing w:after="0" w:line="152" w:lineRule="exact"/>
        <w:rPr>
          <w:rFonts w:ascii="Times New Roman" w:cs="Times New Roman" w:eastAsia="Times New Roman" w:hAnsi="Times New Roman"/>
          <w:sz w:val="18"/>
          <w:szCs w:val="18"/>
          <w:b w:val="1"/>
          <w:bCs w:val="1"/>
          <w:color w:val="auto"/>
        </w:rPr>
      </w:pPr>
    </w:p>
    <w:p>
      <w:pPr>
        <w:ind w:left="1020" w:right="1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determining the fair value of restricted stock granted to employees and non-employees, the Company’s management uses the fair value of the Common Stock. The fair value of options granted for both employees and directors is estimated at the date of grant using the Black-Scholes option-pricing model.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340" w:hanging="318"/>
        <w:spacing w:after="0"/>
        <w:tabs>
          <w:tab w:leader="none" w:pos="1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 and restricted stock granted to employees and directors:</w:t>
      </w:r>
    </w:p>
    <w:p>
      <w:pPr>
        <w:spacing w:after="0" w:line="189" w:lineRule="exact"/>
        <w:rPr>
          <w:sz w:val="20"/>
          <w:szCs w:val="20"/>
          <w:color w:val="auto"/>
        </w:rPr>
      </w:pPr>
    </w:p>
    <w:p>
      <w:pPr>
        <w:ind w:left="1020" w:right="159"/>
        <w:spacing w:after="0" w:line="266" w:lineRule="auto"/>
        <w:rPr>
          <w:sz w:val="20"/>
          <w:szCs w:val="20"/>
          <w:color w:val="auto"/>
        </w:rPr>
      </w:pPr>
      <w:r>
        <w:rPr>
          <w:rFonts w:ascii="Times New Roman" w:cs="Times New Roman" w:eastAsia="Times New Roman" w:hAnsi="Times New Roman"/>
          <w:sz w:val="18"/>
          <w:szCs w:val="18"/>
          <w:color w:val="auto"/>
        </w:rPr>
        <w:t>A summary of share option plans, and related information, under all of the Company’s equity incentive plans for the year ended December 31, 2024, and the effect of share-based compensation on the statement of operations for the year ended December 31, 2024, is as follows:</w:t>
      </w:r>
    </w:p>
    <w:p>
      <w:pPr>
        <w:spacing w:after="0" w:line="135" w:lineRule="exact"/>
        <w:rPr>
          <w:sz w:val="20"/>
          <w:szCs w:val="20"/>
          <w:color w:val="auto"/>
        </w:rPr>
      </w:pPr>
    </w:p>
    <w:p>
      <w:pPr>
        <w:ind w:left="1700" w:hanging="327"/>
        <w:spacing w:after="0"/>
        <w:tabs>
          <w:tab w:leader="none" w:pos="1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to employees and directors: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721"/>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Borders>
              <w:bottom w:val="single" w:sz="8" w:color="CCEEFF"/>
            </w:tcBorders>
          </w:tcPr>
          <w:p>
            <w:pPr>
              <w:spacing w:after="0"/>
              <w:rPr>
                <w:sz w:val="15"/>
                <w:szCs w:val="15"/>
                <w:color w:val="auto"/>
              </w:rPr>
            </w:pPr>
          </w:p>
        </w:tc>
        <w:tc>
          <w:tcPr>
            <w:tcW w:w="3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9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6,965,601</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1,015,725</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4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(326,969)</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9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(252,062)</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5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920" w:type="dxa"/>
            <w:vAlign w:val="bottom"/>
          </w:tcPr>
          <w:p>
            <w:pPr>
              <w:spacing w:after="0"/>
              <w:rPr>
                <w:sz w:val="22"/>
                <w:szCs w:val="22"/>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7,402,295</w:t>
            </w:r>
          </w:p>
        </w:tc>
        <w:tc>
          <w:tcPr>
            <w:tcW w:w="11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end of year</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99"/>
              </w:rPr>
              <w:t>4,247,896</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8"/>
                <w:szCs w:val="18"/>
                <w:color w:val="auto"/>
              </w:rPr>
              <w:t>b)  Restricted stock granted to employees:</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3"/>
          </w:tcPr>
          <w:p>
            <w:pPr>
              <w:jc w:val="center"/>
              <w:ind w:right="849"/>
              <w:spacing w:after="0"/>
              <w:rPr>
                <w:sz w:val="20"/>
                <w:szCs w:val="20"/>
                <w:color w:val="auto"/>
              </w:rPr>
            </w:pPr>
            <w:r>
              <w:rPr>
                <w:rFonts w:ascii="Times New Roman" w:cs="Times New Roman" w:eastAsia="Times New Roman" w:hAnsi="Times New Roman"/>
                <w:sz w:val="14"/>
                <w:szCs w:val="14"/>
                <w:b w:val="1"/>
                <w:bCs w:val="1"/>
                <w:color w:val="auto"/>
              </w:rPr>
              <w:t>of fair value</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3"/>
          </w:tcPr>
          <w:p>
            <w:pPr>
              <w:jc w:val="center"/>
              <w:ind w:right="849"/>
              <w:spacing w:after="0"/>
              <w:rPr>
                <w:sz w:val="20"/>
                <w:szCs w:val="20"/>
                <w:color w:val="auto"/>
              </w:rPr>
            </w:pPr>
            <w:r>
              <w:rPr>
                <w:rFonts w:ascii="Times New Roman" w:cs="Times New Roman" w:eastAsia="Times New Roman" w:hAnsi="Times New Roman"/>
                <w:sz w:val="14"/>
                <w:szCs w:val="14"/>
                <w:b w:val="1"/>
                <w:bCs w:val="1"/>
                <w:color w:val="auto"/>
              </w:rPr>
              <w:t>at grant date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8"/>
                <w:szCs w:val="18"/>
                <w:color w:val="auto"/>
                <w:w w:val="99"/>
              </w:rPr>
              <w:t>1,173,670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8"/>
                <w:szCs w:val="18"/>
                <w:color w:val="auto"/>
              </w:rPr>
              <w:t>704,869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Pr>
          <w:p>
            <w:pPr>
              <w:jc w:val="center"/>
              <w:ind w:left="1"/>
              <w:spacing w:after="0"/>
              <w:rPr>
                <w:sz w:val="20"/>
                <w:szCs w:val="20"/>
                <w:color w:val="auto"/>
              </w:rPr>
            </w:pPr>
            <w:r>
              <w:rPr>
                <w:rFonts w:ascii="Times New Roman" w:cs="Times New Roman" w:eastAsia="Times New Roman" w:hAnsi="Times New Roman"/>
                <w:sz w:val="18"/>
                <w:szCs w:val="18"/>
                <w:color w:val="auto"/>
                <w:w w:val="97"/>
              </w:rPr>
              <w:t>(23,410)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1"/>
              <w:spacing w:after="0"/>
              <w:rPr>
                <w:sz w:val="20"/>
                <w:szCs w:val="20"/>
                <w:color w:val="auto"/>
              </w:rPr>
            </w:pPr>
            <w:r>
              <w:rPr>
                <w:rFonts w:ascii="Times New Roman" w:cs="Times New Roman" w:eastAsia="Times New Roman" w:hAnsi="Times New Roman"/>
                <w:sz w:val="18"/>
                <w:szCs w:val="18"/>
                <w:color w:val="auto"/>
              </w:rPr>
              <w:t>(992,313)</w:t>
            </w: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gridSpan w:val="2"/>
          </w:tcPr>
          <w:p>
            <w:pPr>
              <w:ind w:left="1340"/>
              <w:spacing w:after="0" w:line="196" w:lineRule="exact"/>
              <w:rPr>
                <w:sz w:val="20"/>
                <w:szCs w:val="20"/>
                <w:color w:val="auto"/>
              </w:rPr>
            </w:pPr>
            <w:r>
              <w:rPr>
                <w:rFonts w:ascii="Times New Roman" w:cs="Times New Roman" w:eastAsia="Times New Roman" w:hAnsi="Times New Roman"/>
                <w:sz w:val="18"/>
                <w:szCs w:val="18"/>
                <w:color w:val="auto"/>
              </w:rPr>
              <w:t>Non vested at end of year</w:t>
            </w: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left="1"/>
              <w:spacing w:after="0" w:line="196" w:lineRule="exact"/>
              <w:rPr>
                <w:sz w:val="20"/>
                <w:szCs w:val="20"/>
                <w:color w:val="auto"/>
              </w:rPr>
            </w:pPr>
            <w:r>
              <w:rPr>
                <w:rFonts w:ascii="Times New Roman" w:cs="Times New Roman" w:eastAsia="Times New Roman" w:hAnsi="Times New Roman"/>
                <w:sz w:val="18"/>
                <w:szCs w:val="18"/>
                <w:color w:val="auto"/>
              </w:rPr>
              <w:t>862,816</w:t>
            </w: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right="279" w:hanging="334"/>
        <w:spacing w:after="0" w:line="282" w:lineRule="auto"/>
        <w:tabs>
          <w:tab w:leader="none" w:pos="1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information concerning outstanding and exercisable options as of December 31, 2024:</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4"/>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Options outstanding</w:t>
            </w:r>
          </w:p>
        </w:tc>
        <w:tc>
          <w:tcPr>
            <w:tcW w:w="1980" w:type="dxa"/>
            <w:vAlign w:val="bottom"/>
            <w:gridSpan w:val="3"/>
          </w:tcPr>
          <w:p>
            <w:pPr>
              <w:jc w:val="right"/>
              <w:ind w:right="326"/>
              <w:spacing w:after="0" w:line="142" w:lineRule="exact"/>
              <w:rPr>
                <w:sz w:val="20"/>
                <w:szCs w:val="20"/>
                <w:color w:val="auto"/>
              </w:rPr>
            </w:pPr>
            <w:r>
              <w:rPr>
                <w:rFonts w:ascii="Times New Roman" w:cs="Times New Roman" w:eastAsia="Times New Roman" w:hAnsi="Times New Roman"/>
                <w:sz w:val="14"/>
                <w:szCs w:val="14"/>
                <w:b w:val="1"/>
                <w:bCs w:val="1"/>
                <w:color w:val="auto"/>
              </w:rPr>
              <w:t>Options exercisable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82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exercisable</w:t>
            </w:r>
          </w:p>
        </w:tc>
        <w:tc>
          <w:tcPr>
            <w:tcW w:w="160" w:type="dxa"/>
            <w:vAlign w:val="bottom"/>
          </w:tcPr>
          <w:p>
            <w:pPr>
              <w:spacing w:after="0"/>
              <w:rPr>
                <w:sz w:val="15"/>
                <w:szCs w:val="15"/>
                <w:color w:val="auto"/>
              </w:rPr>
            </w:pPr>
          </w:p>
        </w:tc>
        <w:tc>
          <w:tcPr>
            <w:tcW w:w="18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$1.03-$2.00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5,899,166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2,744,767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$3.55-$3.73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994,679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$4.69-$5.60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$17.20</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7,402,295</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4,247,896</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F-23</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680" w:right="59"/>
        <w:spacing w:after="0" w:line="282" w:lineRule="auto"/>
        <w:rPr>
          <w:sz w:val="20"/>
          <w:szCs w:val="20"/>
          <w:color w:val="auto"/>
        </w:rPr>
      </w:pPr>
      <w:r>
        <w:rPr>
          <w:rFonts w:ascii="Times New Roman" w:cs="Times New Roman" w:eastAsia="Times New Roman" w:hAnsi="Times New Roman"/>
          <w:sz w:val="18"/>
          <w:szCs w:val="18"/>
          <w:color w:val="231F20"/>
        </w:rPr>
        <w:t>As of December 31, 2024, the aggregate intrinsic value of all the outstanding options and exercisable options was approximately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0.5</w:t>
      </w:r>
      <w:r>
        <w:rPr>
          <w:rFonts w:ascii="Times New Roman" w:cs="Times New Roman" w:eastAsia="Times New Roman" w:hAnsi="Times New Roman"/>
          <w:sz w:val="18"/>
          <w:szCs w:val="18"/>
          <w:color w:val="231F20"/>
        </w:rPr>
        <w:t xml:space="preserve"> million, respectively.</w:t>
      </w:r>
    </w:p>
    <w:p>
      <w:pPr>
        <w:spacing w:after="0" w:line="121" w:lineRule="exact"/>
        <w:rPr>
          <w:sz w:val="20"/>
          <w:szCs w:val="20"/>
          <w:color w:val="auto"/>
        </w:rPr>
      </w:pPr>
    </w:p>
    <w:p>
      <w:pPr>
        <w:ind w:left="1680" w:right="199" w:hanging="334"/>
        <w:spacing w:after="0" w:line="282" w:lineRule="auto"/>
        <w:tabs>
          <w:tab w:leader="none" w:pos="1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grants date fair value of restricted stock granted in 2022, 2023 and 2024 was $0.82, $1.99 and $1.24, respectively.</w:t>
      </w:r>
    </w:p>
    <w:p>
      <w:pPr>
        <w:spacing w:after="0" w:line="121" w:lineRule="exact"/>
        <w:rPr>
          <w:rFonts w:ascii="Times New Roman" w:cs="Times New Roman" w:eastAsia="Times New Roman" w:hAnsi="Times New Roman"/>
          <w:sz w:val="18"/>
          <w:szCs w:val="18"/>
          <w:color w:val="auto"/>
        </w:rPr>
      </w:pPr>
    </w:p>
    <w:p>
      <w:pPr>
        <w:ind w:left="1680" w:right="179" w:hanging="334"/>
        <w:spacing w:after="0" w:line="261" w:lineRule="auto"/>
        <w:tabs>
          <w:tab w:leader="none" w:pos="1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each option granted during 2022, 2023 and 2024 for both employees and directors is estimated at the date of grant using the Black-Scholes option-pricing model. The following weighted average assumptions were applied in determining the options’ fair value on their grant date:</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1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grants date fair value (USD)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85.94 % 79.41 % 79.29 %</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left="1680" w:right="519" w:hanging="334"/>
        <w:spacing w:after="0" w:line="266" w:lineRule="auto"/>
        <w:tabs>
          <w:tab w:leader="none" w:pos="1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unrecognized compensation cost of employee stock options at December 31, 2024 is approximately $1.3 million. The unrecognized compensation cost of employee stock options is expected to be recognized over a weighted average period of 0.8 years.</w:t>
      </w:r>
    </w:p>
    <w:p>
      <w:pPr>
        <w:spacing w:after="0" w:line="135" w:lineRule="exact"/>
        <w:rPr>
          <w:rFonts w:ascii="Times New Roman" w:cs="Times New Roman" w:eastAsia="Times New Roman" w:hAnsi="Times New Roman"/>
          <w:sz w:val="18"/>
          <w:szCs w:val="18"/>
          <w:color w:val="auto"/>
        </w:rPr>
      </w:pPr>
    </w:p>
    <w:p>
      <w:pPr>
        <w:ind w:left="1660" w:right="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years ended December 31, 2024, there were no exercises of stock options, and the Company did not realize any tax benefit in connection with any exercises.</w:t>
      </w:r>
    </w:p>
    <w:p>
      <w:pPr>
        <w:spacing w:after="0" w:line="121" w:lineRule="exact"/>
        <w:rPr>
          <w:rFonts w:ascii="Times New Roman" w:cs="Times New Roman" w:eastAsia="Times New Roman" w:hAnsi="Times New Roman"/>
          <w:sz w:val="18"/>
          <w:szCs w:val="18"/>
          <w:color w:val="auto"/>
        </w:rPr>
      </w:pPr>
    </w:p>
    <w:p>
      <w:pPr>
        <w:ind w:left="1660" w:right="3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vesting-date value of equity classified restricted stock vested during the year ended December 31, 2024 was $1.2 million. As of December 31, 2024, the unrecognized compensation cost related to all unvested equity classified restricted stock of $0.6 million is expected to be recognized as an expense over a weighted-average period of 0.7 years.</w:t>
      </w:r>
    </w:p>
    <w:p>
      <w:pPr>
        <w:spacing w:after="0" w:line="152" w:lineRule="exact"/>
        <w:rPr>
          <w:rFonts w:ascii="Times New Roman" w:cs="Times New Roman" w:eastAsia="Times New Roman" w:hAnsi="Times New Roman"/>
          <w:sz w:val="18"/>
          <w:szCs w:val="18"/>
          <w:color w:val="auto"/>
        </w:rPr>
      </w:pPr>
    </w:p>
    <w:p>
      <w:pPr>
        <w:ind w:left="1680" w:hanging="334"/>
        <w:spacing w:after="0"/>
        <w:tabs>
          <w:tab w:leader="none" w:pos="16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illustrates the effect of share-based compensation on the statement of operations: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8"/>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3,448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and 144A Offerings</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2022, the Company issued 1,000 shares of Common Stock in connection with the cash exercise of a warrant issued in 2020 and generated proceeds equal to $2,360 from such exercise.</w:t>
      </w:r>
    </w:p>
    <w:p>
      <w:pPr>
        <w:spacing w:after="0" w:line="135" w:lineRule="exact"/>
        <w:rPr>
          <w:rFonts w:ascii="Times New Roman" w:cs="Times New Roman" w:eastAsia="Times New Roman" w:hAnsi="Times New Roman"/>
          <w:sz w:val="18"/>
          <w:szCs w:val="18"/>
          <w:b w:val="1"/>
          <w:bCs w:val="1"/>
          <w:color w:val="auto"/>
        </w:rPr>
      </w:pPr>
    </w:p>
    <w:p>
      <w:pPr>
        <w:ind w:left="102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Company issued (i) 301,810 shares of Common Stock in connection with the cash exercise of a warrant issued in 2020 and generated proceeds equal to $0.7 million from such exercise and (ii) 237,012 shares of Common Stock in connection with the cashless exercise of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379"/>
        <w:spacing w:after="0" w:line="282" w:lineRule="auto"/>
        <w:rPr>
          <w:sz w:val="20"/>
          <w:szCs w:val="20"/>
          <w:color w:val="auto"/>
        </w:rPr>
      </w:pPr>
      <w:r>
        <w:rPr>
          <w:rFonts w:ascii="Times New Roman" w:cs="Times New Roman" w:eastAsia="Times New Roman" w:hAnsi="Times New Roman"/>
          <w:sz w:val="18"/>
          <w:szCs w:val="18"/>
          <w:color w:val="auto"/>
        </w:rPr>
        <w:t>warrant to purchase 845,000 shares of Common Stock issued in 2020. The Company did not generate any proceeds from the cashless exercise.</w:t>
      </w:r>
    </w:p>
    <w:p>
      <w:pPr>
        <w:spacing w:after="0" w:line="121" w:lineRule="exact"/>
        <w:rPr>
          <w:sz w:val="20"/>
          <w:szCs w:val="20"/>
          <w:color w:val="auto"/>
        </w:rPr>
      </w:pPr>
    </w:p>
    <w:p>
      <w:pPr>
        <w:ind w:left="1020" w:right="19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issued, in the aggregate, 4,691,623 shares of Common Stock in connection with the conversions of 2024 Notes. In connection with such conversions, during the year ended December 31, 2023, the Company paid to the converting holders $0.9 million representing cash payments due to accrued but unpaid interest, make-whole interest payments and payments in lieu of fractional shares.</w:t>
      </w:r>
    </w:p>
    <w:p>
      <w:pPr>
        <w:spacing w:after="0" w:line="139" w:lineRule="exact"/>
        <w:rPr>
          <w:sz w:val="20"/>
          <w:szCs w:val="20"/>
          <w:color w:val="auto"/>
        </w:rPr>
      </w:pPr>
    </w:p>
    <w:p>
      <w:pPr>
        <w:ind w:left="7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At-the-Market (ATM) Offering</w:t>
      </w:r>
    </w:p>
    <w:p>
      <w:pPr>
        <w:spacing w:after="0" w:line="202" w:lineRule="exact"/>
        <w:rPr>
          <w:sz w:val="20"/>
          <w:szCs w:val="20"/>
          <w:color w:val="auto"/>
        </w:rPr>
      </w:pPr>
    </w:p>
    <w:p>
      <w:pPr>
        <w:ind w:left="1020" w:right="199"/>
        <w:spacing w:after="0" w:line="255" w:lineRule="auto"/>
        <w:rPr>
          <w:sz w:val="20"/>
          <w:szCs w:val="20"/>
          <w:color w:val="auto"/>
        </w:rPr>
      </w:pPr>
      <w:r>
        <w:rPr>
          <w:rFonts w:ascii="Times New Roman" w:cs="Times New Roman" w:eastAsia="Times New Roman" w:hAnsi="Times New Roman"/>
          <w:sz w:val="18"/>
          <w:szCs w:val="18"/>
          <w:color w:val="auto"/>
        </w:rPr>
        <w:t>On July 2, 2021, the Company entered into an At The Market Offering Agreement (the “2021 Sales Agreement”) with H.C. Wainwright &amp; Co., LLC, as the Company’s sales agent (the “Agent”) which was amended on May 2, 2022. Pursuant to the terms of the 2021 Sales Agreement, the Company was able to sell from time to time through the Agent, shares of Common Stock having an aggregate offering price of up to $20.0 million (the “ATM Shares”). During the term of the 2021 Sales Agreement which ended during the quarter ended March 31, 2023, the Company sold a total of 13,980,060 ATM Shares for total gross proceeds of approximately $20.0 million, thereby completing the ATM program under said agreement.</w:t>
      </w:r>
    </w:p>
    <w:p>
      <w:pPr>
        <w:spacing w:after="0" w:line="148" w:lineRule="exact"/>
        <w:rPr>
          <w:sz w:val="20"/>
          <w:szCs w:val="20"/>
          <w:color w:val="auto"/>
        </w:rPr>
      </w:pPr>
    </w:p>
    <w:p>
      <w:pPr>
        <w:ind w:left="1020" w:right="199"/>
        <w:spacing w:after="0" w:line="289" w:lineRule="auto"/>
        <w:rPr>
          <w:sz w:val="20"/>
          <w:szCs w:val="20"/>
          <w:color w:val="auto"/>
        </w:rPr>
      </w:pPr>
      <w:r>
        <w:rPr>
          <w:rFonts w:ascii="Times New Roman" w:cs="Times New Roman" w:eastAsia="Times New Roman" w:hAnsi="Times New Roman"/>
          <w:sz w:val="17"/>
          <w:szCs w:val="17"/>
          <w:color w:val="auto"/>
        </w:rPr>
        <w:t>On February 27, 2023, the Company entered into an At The Market Offering Agreement (the “2023 Sales Agreement”) with the Agent. Pursuant to the terms of the 2023 Sales Agreement, the Company may sell, from time to time through the Agent, ATM Shares having an aggregate offering price of up to $20.0 million.</w:t>
      </w:r>
    </w:p>
    <w:p>
      <w:pPr>
        <w:spacing w:after="0" w:line="117" w:lineRule="exact"/>
        <w:rPr>
          <w:sz w:val="20"/>
          <w:szCs w:val="20"/>
          <w:color w:val="auto"/>
        </w:rPr>
      </w:pPr>
    </w:p>
    <w:p>
      <w:pPr>
        <w:ind w:left="1020" w:right="299"/>
        <w:spacing w:after="0" w:line="261" w:lineRule="auto"/>
        <w:rPr>
          <w:sz w:val="20"/>
          <w:szCs w:val="20"/>
          <w:color w:val="auto"/>
        </w:rPr>
      </w:pPr>
      <w:r>
        <w:rPr>
          <w:rFonts w:ascii="Times New Roman" w:cs="Times New Roman" w:eastAsia="Times New Roman" w:hAnsi="Times New Roman"/>
          <w:sz w:val="18"/>
          <w:szCs w:val="18"/>
          <w:color w:val="auto"/>
        </w:rPr>
        <w:t>The Company has no obligation to sell any shares of Common Stock under the 2023 Sales Agreement, and may at any time suspend sales under the 2023 Sales Agreement or terminate the 2023 Sales Agreement in accordance with its terms. The Agent is entitled to a commission of up to 3.0% of the aggregate gross proceeds from the shares of Common Stock sold under the 2023 Sales Agreement.</w:t>
      </w:r>
    </w:p>
    <w:p>
      <w:pPr>
        <w:spacing w:after="0" w:line="153" w:lineRule="exact"/>
        <w:rPr>
          <w:sz w:val="20"/>
          <w:szCs w:val="20"/>
          <w:color w:val="auto"/>
        </w:rPr>
      </w:pPr>
    </w:p>
    <w:p>
      <w:pPr>
        <w:ind w:left="1020" w:right="7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sold, in the aggregate, 7,473,038 shares of Common Stock under the 2021 Sales Agreement. The Company generated gross proceeds equal to approximately $8.7 million in connection with such sales.</w:t>
      </w:r>
    </w:p>
    <w:p>
      <w:pPr>
        <w:spacing w:after="0" w:line="135" w:lineRule="exact"/>
        <w:rPr>
          <w:sz w:val="20"/>
          <w:szCs w:val="20"/>
          <w:color w:val="auto"/>
        </w:rPr>
      </w:pPr>
    </w:p>
    <w:p>
      <w:pPr>
        <w:ind w:left="1020" w:right="11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sold, in the aggregate, 12,560,150 shares of Common Stock under the 2021 Sales Agreement and 2023 Sales Agreement. The Company generated gross proceeds equal to approximately $24.9 million in connection with such sales. All such sales were completed during the quarters ended March 31, 2023 and June 30, 2023. No sales were completed during the six months ended December 31, 2023.</w:t>
      </w:r>
    </w:p>
    <w:p>
      <w:pPr>
        <w:spacing w:after="0" w:line="143" w:lineRule="exact"/>
        <w:rPr>
          <w:sz w:val="20"/>
          <w:szCs w:val="20"/>
          <w:color w:val="auto"/>
        </w:rPr>
      </w:pPr>
    </w:p>
    <w:p>
      <w:pPr>
        <w:ind w:left="1020" w:right="11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sold, in the aggregate 2,216,692 shares of Common Stock under the 2023 Sales Agreement. The Company generated gross proceeds equal to approximately $3.8 million in connection with such sales (issuance cost was approximately $0.1 million). All such sales were completed during the quarter ended December 31, 2024. Subsequent to December 31, 2024, the Company sold the remaining amount of shares of Common Stock available for sale under the 2023 Sales Agreement thereby completing the ATM program thereunder.</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CONVERTIBLE NOTES</w:t>
      </w:r>
    </w:p>
    <w:p>
      <w:pPr>
        <w:spacing w:after="0" w:line="189" w:lineRule="exact"/>
        <w:rPr>
          <w:sz w:val="20"/>
          <w:szCs w:val="20"/>
          <w:color w:val="auto"/>
        </w:rPr>
      </w:pPr>
    </w:p>
    <w:p>
      <w:pPr>
        <w:ind w:left="1020" w:right="59"/>
        <w:spacing w:after="0" w:line="266" w:lineRule="auto"/>
        <w:rPr>
          <w:sz w:val="20"/>
          <w:szCs w:val="20"/>
          <w:color w:val="auto"/>
        </w:rPr>
      </w:pPr>
      <w:r>
        <w:rPr>
          <w:rFonts w:ascii="Times New Roman" w:cs="Times New Roman" w:eastAsia="Times New Roman" w:hAnsi="Times New Roman"/>
          <w:sz w:val="18"/>
          <w:szCs w:val="18"/>
          <w:color w:val="212529"/>
        </w:rPr>
        <w:t>In September 2024, the Company repaid all of the $20.42 million outstanding principal and interest payable under the 2024 Notes. The repayment of the convertible notes at maturity was financed entirely with available cash.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99"/>
        <w:spacing w:after="0" w:line="256" w:lineRule="auto"/>
        <w:rPr>
          <w:sz w:val="20"/>
          <w:szCs w:val="20"/>
          <w:color w:val="auto"/>
        </w:rPr>
      </w:pPr>
      <w:r>
        <w:rPr>
          <w:rFonts w:ascii="Times New Roman" w:cs="Times New Roman" w:eastAsia="Times New Roman" w:hAnsi="Times New Roman"/>
          <w:sz w:val="18"/>
          <w:szCs w:val="18"/>
          <w:color w:val="auto"/>
        </w:rPr>
        <w:t>The 2024 Notes were issued pursuant to an indenture entered into between the Company, the guarantors party thereto, The Bank of New York Mellon Trust Company, N.A., as trustee and Wilmington Savings Fund Society, FSB, as collateral agent. Interest on the 2024 Notes was payable semi-annually at a rate of 7.50% per annum. The outstanding 2024 Notes matured three years after the issuance thereof and were guaranteed by the Company’s subsidiaries. The 2024 Notes were secured by perfected liens on all of the assets of the Company and its subsidiaries.</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2024 Notes: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00"/>
        <w:spacing w:after="0"/>
        <w:rPr>
          <w:sz w:val="20"/>
          <w:szCs w:val="20"/>
          <w:color w:val="auto"/>
        </w:rPr>
      </w:pPr>
      <w:r>
        <w:rPr>
          <w:rFonts w:ascii="Times New Roman" w:cs="Times New Roman" w:eastAsia="Times New Roman" w:hAnsi="Times New Roman"/>
          <w:sz w:val="18"/>
          <w:szCs w:val="18"/>
          <w:color w:val="auto"/>
        </w:rPr>
        <w:t>* See also Note 1(r).</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FAIR VALUE MEASUREMENT</w:t>
      </w:r>
    </w:p>
    <w:p>
      <w:pPr>
        <w:spacing w:after="0" w:line="189" w:lineRule="exact"/>
        <w:rPr>
          <w:sz w:val="20"/>
          <w:szCs w:val="20"/>
          <w:color w:val="auto"/>
        </w:rPr>
      </w:pPr>
    </w:p>
    <w:p>
      <w:pPr>
        <w:ind w:left="680" w:right="59"/>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35" w:lineRule="exact"/>
        <w:rPr>
          <w:sz w:val="20"/>
          <w:szCs w:val="20"/>
          <w:color w:val="auto"/>
        </w:rPr>
      </w:pPr>
    </w:p>
    <w:p>
      <w:pPr>
        <w:ind w:left="680" w:right="79"/>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35" w:lineRule="exact"/>
        <w:rPr>
          <w:sz w:val="20"/>
          <w:szCs w:val="20"/>
          <w:color w:val="auto"/>
        </w:rPr>
      </w:pPr>
    </w:p>
    <w:p>
      <w:pPr>
        <w:ind w:left="680" w:right="419"/>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85" w:lineRule="exact"/>
        <w:rPr>
          <w:sz w:val="20"/>
          <w:szCs w:val="20"/>
          <w:color w:val="auto"/>
        </w:rPr>
      </w:pPr>
    </w:p>
    <w:p>
      <w:pPr>
        <w:ind w:left="680" w:right="79"/>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35" w:lineRule="exact"/>
        <w:rPr>
          <w:sz w:val="20"/>
          <w:szCs w:val="20"/>
          <w:color w:val="auto"/>
        </w:rPr>
      </w:pPr>
    </w:p>
    <w:p>
      <w:pPr>
        <w:ind w:left="680" w:right="259"/>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35" w:lineRule="exact"/>
        <w:rPr>
          <w:sz w:val="20"/>
          <w:szCs w:val="20"/>
          <w:color w:val="auto"/>
        </w:rPr>
      </w:pPr>
    </w:p>
    <w:p>
      <w:pPr>
        <w:ind w:left="680" w:right="219"/>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usually identical or close to their carrying value.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NET EARNINGS (LOSS) PER SHARE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and diluted net earnings (loss) per share attributable to common stockholders were calculated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Borders>
              <w:bottom w:val="single" w:sz="8" w:color="auto"/>
            </w:tcBorders>
            <w:gridSpan w:val="7"/>
          </w:tcPr>
          <w:p>
            <w:pPr>
              <w:ind w:left="1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for diluted calculation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expenses of 2024 Notes*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for diluted calculation</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for basic</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calculation</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48,472,159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67,512,527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72,530,698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dilutive effect of 2024 Notes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13,335,430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7,667,323</w:t>
            </w: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dilutive effect of stock options and restricted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1,576,059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859,155</w:t>
            </w:r>
          </w:p>
        </w:tc>
        <w:tc>
          <w:tcPr>
            <w:tcW w:w="0" w:type="dxa"/>
            <w:vAlign w:val="bottom"/>
          </w:tcPr>
          <w:p>
            <w:pPr>
              <w:spacing w:after="0"/>
              <w:rPr>
                <w:sz w:val="1"/>
                <w:szCs w:val="1"/>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for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48,472,159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82,424,016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81,057,176</w:t>
            </w:r>
          </w:p>
        </w:tc>
        <w:tc>
          <w:tcPr>
            <w:tcW w:w="0" w:type="dxa"/>
            <w:vAlign w:val="bottom"/>
          </w:tcPr>
          <w:p>
            <w:pPr>
              <w:spacing w:after="0"/>
              <w:rPr>
                <w:sz w:val="1"/>
                <w:szCs w:val="1"/>
                <w:color w:val="auto"/>
              </w:rPr>
            </w:pPr>
          </w:p>
        </w:tc>
      </w:tr>
      <w:tr>
        <w:trPr>
          <w:trHeight w:val="22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diluted calculation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659" w:hanging="2"/>
        <w:spacing w:after="0" w:line="282" w:lineRule="auto"/>
        <w:tabs>
          <w:tab w:leader="none" w:pos="8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expenses on 2024 Notes consists of add back of financial expense incurred during the year and inclusion of make-whole interest payments that will be incurred upon conversion.</w:t>
      </w:r>
    </w:p>
    <w:p>
      <w:pPr>
        <w:spacing w:after="0" w:line="135" w:lineRule="exact"/>
        <w:rPr>
          <w:sz w:val="20"/>
          <w:szCs w:val="20"/>
          <w:color w:val="auto"/>
        </w:rPr>
      </w:pPr>
    </w:p>
    <w:p>
      <w:pPr>
        <w:ind w:left="700" w:right="59"/>
        <w:spacing w:after="0" w:line="256" w:lineRule="auto"/>
        <w:rPr>
          <w:sz w:val="20"/>
          <w:szCs w:val="20"/>
          <w:color w:val="auto"/>
        </w:rPr>
      </w:pPr>
      <w:r>
        <w:rPr>
          <w:rFonts w:ascii="Times New Roman" w:cs="Times New Roman" w:eastAsia="Times New Roman" w:hAnsi="Times New Roman"/>
          <w:sz w:val="18"/>
          <w:szCs w:val="18"/>
          <w:color w:val="auto"/>
        </w:rPr>
        <w:t>Diluted loss per share do not include 34,097,716 shares of Common Stock underlying outstanding stock options, warrants and convertible notes of the Company for the year ended December 31, 2022 because the effect would be anti-dilutive. In the year ended December 31, 2023, the diluted earnings per share do not include 18,254,264 shares of Common Stock underlying outstanding warrants and stock options because the effect would be anti-dilutive. In the year ended December 31, 2024, the diluted earnings per share do not include 16,661,907 shares of Common Stock underlying outstanding warrants and stock options because the effect would be anti-dilutive.</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TAXES ON INCOME</w:t>
      </w:r>
    </w:p>
    <w:p>
      <w:pPr>
        <w:spacing w:after="0" w:line="185" w:lineRule="exact"/>
        <w:rPr>
          <w:sz w:val="20"/>
          <w:szCs w:val="20"/>
          <w:color w:val="auto"/>
        </w:rPr>
      </w:pPr>
    </w:p>
    <w:p>
      <w:pPr>
        <w:ind w:left="1040" w:hanging="315"/>
        <w:spacing w:after="0"/>
        <w:tabs>
          <w:tab w:leader="none" w:pos="10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02" w:lineRule="exact"/>
        <w:rPr>
          <w:sz w:val="20"/>
          <w:szCs w:val="20"/>
          <w:color w:val="auto"/>
        </w:rPr>
      </w:pPr>
    </w:p>
    <w:p>
      <w:pPr>
        <w:ind w:left="1020" w:right="419"/>
        <w:spacing w:after="0" w:line="282" w:lineRule="auto"/>
        <w:rPr>
          <w:sz w:val="20"/>
          <w:szCs w:val="20"/>
          <w:color w:val="auto"/>
        </w:rPr>
      </w:pPr>
      <w:r>
        <w:rPr>
          <w:rFonts w:ascii="Times New Roman" w:cs="Times New Roman" w:eastAsia="Times New Roman" w:hAnsi="Times New Roman"/>
          <w:sz w:val="18"/>
          <w:szCs w:val="18"/>
          <w:color w:val="auto"/>
        </w:rPr>
        <w:t>Protalix BioTherapeutics, Inc. is taxed according to U.S. tax laws. The Company’s income is taxed in the United States at a rate of up to 21%.</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Company’s taxes on income:</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 on income</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 on income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taxes on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299"/>
        <w:spacing w:after="0" w:line="258" w:lineRule="auto"/>
        <w:rPr>
          <w:sz w:val="20"/>
          <w:szCs w:val="20"/>
          <w:color w:val="auto"/>
        </w:rPr>
      </w:pPr>
      <w:r>
        <w:rPr>
          <w:rFonts w:ascii="Times New Roman" w:cs="Times New Roman" w:eastAsia="Times New Roman" w:hAnsi="Times New Roman"/>
          <w:sz w:val="18"/>
          <w:szCs w:val="18"/>
          <w:color w:val="auto"/>
        </w:rPr>
        <w:t>Following the regulatory approvals for Elfabrio in May 2023, the receipt of the $20.0 million milestone payment and the launch of Elfabrio in the United States, the Company released the valuation allowance previously recorded on deferred tax assets in respect of its NOLs in the United States resulting in a net tax benefit of $3.1 million. The Company concluded that, based upon the preponderance of positive evidence over negative evidence and the anticipated ability to use the deferred tax assets, it was more likely than not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119"/>
        <w:spacing w:after="0" w:line="258" w:lineRule="auto"/>
        <w:rPr>
          <w:sz w:val="20"/>
          <w:szCs w:val="20"/>
          <w:color w:val="auto"/>
        </w:rPr>
      </w:pPr>
      <w:r>
        <w:rPr>
          <w:rFonts w:ascii="Times New Roman" w:cs="Times New Roman" w:eastAsia="Times New Roman" w:hAnsi="Times New Roman"/>
          <w:sz w:val="18"/>
          <w:szCs w:val="18"/>
          <w:color w:val="auto"/>
        </w:rPr>
        <w:t>that these deferred tax assets would be realizable due to forecasted profits. The Company considered the following: (i) cumulative profits for tax over the previous 12 quarters in its U.S. operations; (ii) the impact of Section 174 of the U.S. Tax Cuts and Jobs Act, which was enacted into law in December 2017 (the “TCJA”) which requires the Company to capitalize and amortize its research and development expenses over 15 years; and (iii) its forecasted profits in the United States following the regulatory approvals of Elfabrio.</w:t>
      </w:r>
    </w:p>
    <w:p>
      <w:pPr>
        <w:spacing w:after="0" w:line="143" w:lineRule="exact"/>
        <w:rPr>
          <w:sz w:val="20"/>
          <w:szCs w:val="20"/>
          <w:color w:val="auto"/>
        </w:rPr>
      </w:pPr>
    </w:p>
    <w:p>
      <w:pPr>
        <w:ind w:left="1020" w:right="179"/>
        <w:spacing w:after="0" w:line="253" w:lineRule="auto"/>
        <w:rPr>
          <w:sz w:val="20"/>
          <w:szCs w:val="20"/>
          <w:color w:val="auto"/>
        </w:rPr>
      </w:pPr>
      <w:r>
        <w:rPr>
          <w:rFonts w:ascii="Times New Roman" w:cs="Times New Roman" w:eastAsia="Times New Roman" w:hAnsi="Times New Roman"/>
          <w:sz w:val="18"/>
          <w:szCs w:val="18"/>
          <w:color w:val="auto"/>
        </w:rPr>
        <w:t>The TCJA represents fundamental and dramatic modifications to the U.S. tax system. It contains several key tax provisions that impacted the Company including the reduction of the maximum U.S. federal corporate income tax rate from 35% to 21%, effective January 1, 2018. Other significant changes under the TCJA includes, among others, a one-time repatriation tax on accumulated foreign earnings, a limitation of NOL deduction to 80% of taxable income, and indefinite carryover of post-2017 NOLs. The TCJA also repealed the corporate alternative minimum tax for tax years beginning after December 31, 2017. Losses generated prior to January 1, 2018 will still be subject to the 20-year carryforward limitation and the alternative minimum tax. Other impacts due to the TCJA included the repeal of the domestic manufacturing deduction, modification of taxation of controlled foreign corporations, a base erosion anti-abuse tax, modification of interest expense limitation rules, modification of limitation on deductibility of excessive executive compensation, and taxation of global intangible low-taxed income.</w:t>
      </w:r>
    </w:p>
    <w:p>
      <w:pPr>
        <w:spacing w:after="0" w:line="151" w:lineRule="exact"/>
        <w:rPr>
          <w:sz w:val="20"/>
          <w:szCs w:val="20"/>
          <w:color w:val="auto"/>
        </w:rPr>
      </w:pPr>
    </w:p>
    <w:p>
      <w:pPr>
        <w:ind w:left="1020" w:right="259"/>
        <w:spacing w:after="0" w:line="258" w:lineRule="auto"/>
        <w:rPr>
          <w:sz w:val="20"/>
          <w:szCs w:val="20"/>
          <w:color w:val="auto"/>
        </w:rPr>
      </w:pPr>
      <w:r>
        <w:rPr>
          <w:rFonts w:ascii="Times New Roman" w:cs="Times New Roman" w:eastAsia="Times New Roman" w:hAnsi="Times New Roman"/>
          <w:sz w:val="18"/>
          <w:szCs w:val="18"/>
          <w:color w:val="auto"/>
        </w:rPr>
        <w:t>Modification of interest expense limitation rules under the TCJA provides generally that for taxable years 2019-2022 interest expense deduction shall be limited to 50% of the EBITDA and for taxable years 2022 onwards to 30% of EBIT. Disallowed interest deduction may be carried forward indefinitely. The Company believes that any potential impact (if applicable) of this limitation will be offset by utilization of available NOLs.</w:t>
      </w:r>
    </w:p>
    <w:p>
      <w:pPr>
        <w:spacing w:after="0" w:line="156" w:lineRule="exact"/>
        <w:rPr>
          <w:sz w:val="20"/>
          <w:szCs w:val="20"/>
          <w:color w:val="auto"/>
        </w:rPr>
      </w:pPr>
    </w:p>
    <w:p>
      <w:pPr>
        <w:ind w:left="1020" w:right="79"/>
        <w:spacing w:after="0" w:line="256" w:lineRule="auto"/>
        <w:rPr>
          <w:sz w:val="20"/>
          <w:szCs w:val="20"/>
          <w:color w:val="auto"/>
        </w:rPr>
      </w:pPr>
      <w:r>
        <w:rPr>
          <w:rFonts w:ascii="Times New Roman" w:cs="Times New Roman" w:eastAsia="Times New Roman" w:hAnsi="Times New Roman"/>
          <w:sz w:val="18"/>
          <w:szCs w:val="18"/>
          <w:color w:val="auto"/>
        </w:rPr>
        <w:t>Section 174 of the TCJA requires taxpayers to capitalize and amortize research and development expenses for tax years beginning after December 31, 2021. This rule became effective for the Company during the year ended December 31, 2022, and resulted in the capitalization of research and development costs of approximately $28.5 million, $14.4 million and $11.9 million in 2022, 2023 and 2024, respectively. The Company will amortize these costs for tax purposes over 15 years for research and development performed outside the United States and over five years in the United States.</w:t>
      </w:r>
    </w:p>
    <w:p>
      <w:pPr>
        <w:spacing w:after="0" w:line="147" w:lineRule="exact"/>
        <w:rPr>
          <w:sz w:val="20"/>
          <w:szCs w:val="20"/>
          <w:color w:val="auto"/>
        </w:rPr>
      </w:pPr>
    </w:p>
    <w:p>
      <w:pPr>
        <w:jc w:val="both"/>
        <w:ind w:left="1020" w:right="199"/>
        <w:spacing w:after="0" w:line="261" w:lineRule="auto"/>
        <w:rPr>
          <w:sz w:val="20"/>
          <w:szCs w:val="20"/>
          <w:color w:val="auto"/>
        </w:rPr>
      </w:pPr>
      <w:r>
        <w:rPr>
          <w:rFonts w:ascii="Times New Roman" w:cs="Times New Roman" w:eastAsia="Times New Roman" w:hAnsi="Times New Roman"/>
          <w:sz w:val="18"/>
          <w:szCs w:val="18"/>
          <w:color w:val="auto"/>
        </w:rPr>
        <w:t>The Company believes that all future profits of its Subsidiaries will be indefinitely reinvested or that there is no expectation to distribute any taxable dividends from these Subsidiaries. The determination of the amount of the unrecognized deferred tax liability related to the undistributed earnings is estimated as an immaterial amount.</w:t>
      </w:r>
    </w:p>
    <w:p>
      <w:pPr>
        <w:spacing w:after="0" w:line="135" w:lineRule="exact"/>
        <w:rPr>
          <w:sz w:val="20"/>
          <w:szCs w:val="20"/>
          <w:color w:val="auto"/>
        </w:rPr>
      </w:pPr>
    </w:p>
    <w:p>
      <w:pPr>
        <w:ind w:left="1020" w:hanging="322"/>
        <w:spacing w:after="0"/>
        <w:tabs>
          <w:tab w:leader="none" w:pos="10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Protalix Ltd.</w:t>
      </w:r>
    </w:p>
    <w:p>
      <w:pPr>
        <w:spacing w:after="0" w:line="202" w:lineRule="exact"/>
        <w:rPr>
          <w:rFonts w:ascii="Times New Roman" w:cs="Times New Roman" w:eastAsia="Times New Roman" w:hAnsi="Times New Roman"/>
          <w:sz w:val="18"/>
          <w:szCs w:val="18"/>
          <w:b w:val="1"/>
          <w:bCs w:val="1"/>
          <w:color w:val="auto"/>
        </w:rPr>
      </w:pPr>
    </w:p>
    <w:p>
      <w:pPr>
        <w:ind w:left="1020" w:right="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 a “foreign-investment company” measures its results for tax purposes in dollar based on Income Tax Regulations (Bookkeeping Principles of Foreign Invested Companies and of Certain Partnerships and the Determination of Their Taxable Income), 1986. The Israeli Subsidiary is taxed according to Israeli tax laws:</w:t>
      </w:r>
    </w:p>
    <w:p>
      <w:pPr>
        <w:spacing w:after="0" w:line="135" w:lineRule="exact"/>
        <w:rPr>
          <w:sz w:val="20"/>
          <w:szCs w:val="20"/>
          <w:color w:val="auto"/>
        </w:rPr>
      </w:pPr>
    </w:p>
    <w:p>
      <w:pPr>
        <w:ind w:left="1380" w:hanging="331"/>
        <w:spacing w:after="0"/>
        <w:tabs>
          <w:tab w:leader="none" w:pos="1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rates</w:t>
      </w:r>
    </w:p>
    <w:p>
      <w:pPr>
        <w:spacing w:after="0" w:line="189" w:lineRule="exact"/>
        <w:rPr>
          <w:sz w:val="20"/>
          <w:szCs w:val="20"/>
          <w:color w:val="auto"/>
        </w:rPr>
      </w:pPr>
    </w:p>
    <w:p>
      <w:pPr>
        <w:ind w:left="1340" w:right="219"/>
        <w:spacing w:after="0" w:line="282" w:lineRule="auto"/>
        <w:rPr>
          <w:sz w:val="20"/>
          <w:szCs w:val="20"/>
          <w:color w:val="auto"/>
        </w:rPr>
      </w:pPr>
      <w:r>
        <w:rPr>
          <w:rFonts w:ascii="Times New Roman" w:cs="Times New Roman" w:eastAsia="Times New Roman" w:hAnsi="Times New Roman"/>
          <w:sz w:val="18"/>
          <w:szCs w:val="18"/>
          <w:color w:val="auto"/>
        </w:rPr>
        <w:t>The income of the Israeli Subsidiary, other than income from “Approved Enterprises,” is taxed in Israel at the regular corporate tax rates.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corporate tax rate was 23% for 2018 and thereafter.</w:t>
      </w:r>
    </w:p>
    <w:p>
      <w:pPr>
        <w:spacing w:after="0" w:line="185" w:lineRule="exact"/>
        <w:rPr>
          <w:sz w:val="20"/>
          <w:szCs w:val="20"/>
          <w:color w:val="auto"/>
        </w:rPr>
      </w:pPr>
    </w:p>
    <w:p>
      <w:pPr>
        <w:ind w:left="1340" w:right="79"/>
        <w:spacing w:after="0" w:line="282" w:lineRule="auto"/>
        <w:rPr>
          <w:sz w:val="20"/>
          <w:szCs w:val="20"/>
          <w:color w:val="auto"/>
        </w:rPr>
      </w:pPr>
      <w:r>
        <w:rPr>
          <w:rFonts w:ascii="Times New Roman" w:cs="Times New Roman" w:eastAsia="Times New Roman" w:hAnsi="Times New Roman"/>
          <w:sz w:val="18"/>
          <w:szCs w:val="18"/>
          <w:color w:val="auto"/>
        </w:rPr>
        <w:t>Capital gain on a sale of assets is subject to capital gain tax according to the corporate tax rate in effect in the year during which the assets are sold.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380" w:right="399" w:hanging="331"/>
        <w:spacing w:after="0" w:line="286" w:lineRule="auto"/>
        <w:tabs>
          <w:tab w:leader="none" w:pos="1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Law for the Encouragement of Capital Investments, 1959 (the “Encouragement of Capital Investments Law”)</w:t>
      </w:r>
    </w:p>
    <w:p>
      <w:pPr>
        <w:spacing w:after="0" w:line="118" w:lineRule="exact"/>
        <w:rPr>
          <w:sz w:val="20"/>
          <w:szCs w:val="20"/>
          <w:color w:val="auto"/>
        </w:rPr>
      </w:pPr>
    </w:p>
    <w:p>
      <w:pPr>
        <w:ind w:left="1340" w:right="359"/>
        <w:spacing w:after="0" w:line="261" w:lineRule="auto"/>
        <w:rPr>
          <w:sz w:val="20"/>
          <w:szCs w:val="20"/>
          <w:color w:val="auto"/>
        </w:rPr>
      </w:pPr>
      <w:r>
        <w:rPr>
          <w:rFonts w:ascii="Times New Roman" w:cs="Times New Roman" w:eastAsia="Times New Roman" w:hAnsi="Times New Roman"/>
          <w:sz w:val="18"/>
          <w:szCs w:val="18"/>
          <w:color w:val="auto"/>
        </w:rPr>
        <w:t>Under the Encouragement of Capital Investments Law, including Amendment No. 60 to the Encouragement of Capital Investments Law as published in April 2005, by virtue of the “Approved Enterprise” or “Benefited Enterprise” status the Israeli Subsidiary is entitled to various tax benefits as follows:</w:t>
      </w:r>
    </w:p>
    <w:p>
      <w:pPr>
        <w:spacing w:after="0" w:line="135" w:lineRule="exact"/>
        <w:rPr>
          <w:sz w:val="20"/>
          <w:szCs w:val="20"/>
          <w:color w:val="auto"/>
        </w:rPr>
      </w:pPr>
    </w:p>
    <w:p>
      <w:pPr>
        <w:ind w:left="1660" w:hanging="314"/>
        <w:spacing w:after="0"/>
        <w:tabs>
          <w:tab w:leader="none" w:pos="1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tax rates</w:t>
      </w:r>
    </w:p>
    <w:p>
      <w:pPr>
        <w:spacing w:after="0" w:line="202" w:lineRule="exact"/>
        <w:rPr>
          <w:rFonts w:ascii="Times New Roman" w:cs="Times New Roman" w:eastAsia="Times New Roman" w:hAnsi="Times New Roman"/>
          <w:sz w:val="18"/>
          <w:szCs w:val="18"/>
          <w:color w:val="auto"/>
        </w:rPr>
      </w:pPr>
    </w:p>
    <w:p>
      <w:pPr>
        <w:ind w:left="1680" w:right="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the Approved Enterprise during a 10-year period commencing upon the year in which the enterprise first realizes taxable income is tax exempt, provided that the maximum period to which it is restricted by the Encouragement of Capital Investments Law has not elapsed.</w:t>
      </w:r>
    </w:p>
    <w:p>
      <w:pPr>
        <w:spacing w:after="0" w:line="135" w:lineRule="exact"/>
        <w:rPr>
          <w:rFonts w:ascii="Times New Roman" w:cs="Times New Roman" w:eastAsia="Times New Roman" w:hAnsi="Times New Roman"/>
          <w:sz w:val="18"/>
          <w:szCs w:val="18"/>
          <w:color w:val="auto"/>
        </w:rPr>
      </w:pPr>
    </w:p>
    <w:p>
      <w:pPr>
        <w:ind w:left="1680" w:right="1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 has an “Approved Enterprise” plan since 2004 and “Benefited Enterprise” plan since 2009. The period of benefits in respect of the main enterprise of the Company has not yet commenced. The period during which the Company is entitled to benefits in connection with the Benefited Enterprise expired in 2022.</w:t>
      </w:r>
    </w:p>
    <w:p>
      <w:pPr>
        <w:spacing w:after="0" w:line="139" w:lineRule="exact"/>
        <w:rPr>
          <w:rFonts w:ascii="Times New Roman" w:cs="Times New Roman" w:eastAsia="Times New Roman" w:hAnsi="Times New Roman"/>
          <w:sz w:val="18"/>
          <w:szCs w:val="18"/>
          <w:color w:val="auto"/>
        </w:rPr>
      </w:pPr>
    </w:p>
    <w:p>
      <w:pPr>
        <w:ind w:left="168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Israeli Subsidiary subsequently pays a dividend out of income derived from the “Approved Enterprise” or “Benefited Enterprise” during the tax exemption period, it will be subject to tax on the gross amount distributed (including the company tax on these amounts), at the rate which would have been applicable if such income not been exempted.</w:t>
      </w:r>
    </w:p>
    <w:p>
      <w:pPr>
        <w:spacing w:after="0" w:line="148"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Accelerated depreciation</w:t>
      </w:r>
    </w:p>
    <w:p>
      <w:pPr>
        <w:spacing w:after="0" w:line="188" w:lineRule="exact"/>
        <w:rPr>
          <w:rFonts w:ascii="Times New Roman" w:cs="Times New Roman" w:eastAsia="Times New Roman" w:hAnsi="Times New Roman"/>
          <w:sz w:val="18"/>
          <w:szCs w:val="18"/>
          <w:color w:val="auto"/>
        </w:rPr>
      </w:pPr>
    </w:p>
    <w:p>
      <w:pPr>
        <w:jc w:val="both"/>
        <w:ind w:left="1680" w:right="1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 is entitled to claim accelerated depreciation, as provided by Israeli law, in the first five years of operation of each asset, in respect of buildings, machinery and equipment used by the Approved Enterprise and the Benefited Enterprise.</w:t>
      </w:r>
    </w:p>
    <w:p>
      <w:pPr>
        <w:spacing w:after="0" w:line="131"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for entitlement to the benefits</w:t>
      </w:r>
    </w:p>
    <w:p>
      <w:pPr>
        <w:spacing w:after="0" w:line="202" w:lineRule="exact"/>
        <w:rPr>
          <w:rFonts w:ascii="Times New Roman" w:cs="Times New Roman" w:eastAsia="Times New Roman" w:hAnsi="Times New Roman"/>
          <w:sz w:val="18"/>
          <w:szCs w:val="18"/>
          <w:color w:val="auto"/>
        </w:rPr>
      </w:pPr>
    </w:p>
    <w:p>
      <w:pPr>
        <w:ind w:left="1680" w:right="1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Subsidiary’s entitlement to the benefits described above is subject to its fulfillment of conditions stipulated by the law, rules and regulations published thereunder, and the instruments of approval for the specific investment in an approved enterprise. Failure by the Israeli Subsidiary to comply with these conditions may result in the cancellation of the benefits, in whole or in part, and the Israeli Subsidiary may be required to refund the amount of the benefits with interest. The Israeli Subsidiary received a final implementation approval with respect to its “Approved Enterprise” from the Investment Center.</w:t>
      </w:r>
    </w:p>
    <w:p>
      <w:pPr>
        <w:spacing w:after="0" w:line="144"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the Law for the Encouragement of Capital Investments, 1959</w:t>
      </w:r>
    </w:p>
    <w:p>
      <w:pPr>
        <w:spacing w:after="0" w:line="188" w:lineRule="exact"/>
        <w:rPr>
          <w:rFonts w:ascii="Times New Roman" w:cs="Times New Roman" w:eastAsia="Times New Roman" w:hAnsi="Times New Roman"/>
          <w:sz w:val="18"/>
          <w:szCs w:val="18"/>
          <w:color w:val="auto"/>
        </w:rPr>
      </w:pPr>
    </w:p>
    <w:p>
      <w:pPr>
        <w:ind w:left="1680" w:right="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recent years, several amendments have been made to the Encouragement of Capital Investments Law which have enabled new alternative benefit tracks, subject to certain conditions.</w:t>
      </w:r>
    </w:p>
    <w:p>
      <w:pPr>
        <w:spacing w:after="0" w:line="134" w:lineRule="exact"/>
        <w:rPr>
          <w:rFonts w:ascii="Times New Roman" w:cs="Times New Roman" w:eastAsia="Times New Roman" w:hAnsi="Times New Roman"/>
          <w:sz w:val="18"/>
          <w:szCs w:val="18"/>
          <w:color w:val="auto"/>
        </w:rPr>
      </w:pPr>
    </w:p>
    <w:p>
      <w:pPr>
        <w:ind w:left="1680" w:right="79"/>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Encouragement of Capital Investments Law was amended as part of the Economic Policy Law for the years 2011-2012 (amendment 68 to the Encouragement of Capital Investments Law), which was passed by the Israeli Knesset on December 29, 2010. The amendment sets alternative benefit tracks to those currently in effect under the provisions of the Encouragement of Capital Investments Law. On December 29, 2016, Amendment 73 to the Encouragement of Capital Investments Law was published. This amendment sets new benefit tracks, inter alia, “Preferred Technological Enterprise” and “Special Preferred Technological Enterprise” (the “Capital Investments Law Amendment”).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680" w:right="139"/>
        <w:spacing w:after="0" w:line="282" w:lineRule="auto"/>
        <w:rPr>
          <w:sz w:val="20"/>
          <w:szCs w:val="20"/>
          <w:color w:val="auto"/>
        </w:rPr>
      </w:pPr>
      <w:r>
        <w:rPr>
          <w:rFonts w:ascii="Times New Roman" w:cs="Times New Roman" w:eastAsia="Times New Roman" w:hAnsi="Times New Roman"/>
          <w:sz w:val="18"/>
          <w:szCs w:val="18"/>
          <w:color w:val="auto"/>
        </w:rPr>
        <w:t>To date, the Company has elected not to have the Capital Investments Law Amendment apply to the Company.</w:t>
      </w:r>
    </w:p>
    <w:p>
      <w:pPr>
        <w:spacing w:after="0" w:line="117" w:lineRule="exact"/>
        <w:rPr>
          <w:sz w:val="20"/>
          <w:szCs w:val="20"/>
          <w:color w:val="auto"/>
        </w:rPr>
      </w:pPr>
    </w:p>
    <w:p>
      <w:pPr>
        <w:ind w:left="7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Tax losses carried forward to future years</w:t>
      </w:r>
    </w:p>
    <w:p>
      <w:pPr>
        <w:spacing w:after="0" w:line="189" w:lineRule="exact"/>
        <w:rPr>
          <w:sz w:val="20"/>
          <w:szCs w:val="20"/>
          <w:color w:val="auto"/>
        </w:rPr>
      </w:pPr>
    </w:p>
    <w:p>
      <w:pPr>
        <w:jc w:val="both"/>
        <w:ind w:left="1020" w:right="99"/>
        <w:spacing w:after="0" w:line="312" w:lineRule="auto"/>
        <w:rPr>
          <w:sz w:val="20"/>
          <w:szCs w:val="20"/>
          <w:color w:val="auto"/>
        </w:rPr>
      </w:pPr>
      <w:r>
        <w:rPr>
          <w:rFonts w:ascii="Times New Roman" w:cs="Times New Roman" w:eastAsia="Times New Roman" w:hAnsi="Times New Roman"/>
          <w:sz w:val="17"/>
          <w:szCs w:val="17"/>
          <w:color w:val="auto"/>
        </w:rPr>
        <w:t>As of December 31, 2024 and 2023, the Company had aggregate NOL carry-forwards equal to approximately $227.2 million and $234.8 million, respectively, that are available to reduce future taxable income as follows:</w:t>
      </w:r>
    </w:p>
    <w:p>
      <w:pPr>
        <w:spacing w:after="0" w:line="109" w:lineRule="exact"/>
        <w:rPr>
          <w:sz w:val="20"/>
          <w:szCs w:val="20"/>
          <w:color w:val="auto"/>
        </w:rPr>
      </w:pPr>
    </w:p>
    <w:p>
      <w:pPr>
        <w:ind w:left="1380" w:hanging="331"/>
        <w:spacing w:after="0"/>
        <w:tabs>
          <w:tab w:leader="none" w:pos="1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w:t>
      </w:r>
    </w:p>
    <w:p>
      <w:pPr>
        <w:spacing w:after="0" w:line="189" w:lineRule="exact"/>
        <w:rPr>
          <w:sz w:val="20"/>
          <w:szCs w:val="20"/>
          <w:color w:val="auto"/>
        </w:rPr>
      </w:pPr>
    </w:p>
    <w:p>
      <w:pPr>
        <w:ind w:left="1340" w:right="179"/>
        <w:spacing w:after="0" w:line="256" w:lineRule="auto"/>
        <w:rPr>
          <w:sz w:val="20"/>
          <w:szCs w:val="20"/>
          <w:color w:val="auto"/>
        </w:rPr>
      </w:pPr>
      <w:r>
        <w:rPr>
          <w:rFonts w:ascii="Times New Roman" w:cs="Times New Roman" w:eastAsia="Times New Roman" w:hAnsi="Times New Roman"/>
          <w:sz w:val="18"/>
          <w:szCs w:val="18"/>
          <w:color w:val="auto"/>
        </w:rPr>
        <w:t>The Company’s carry-forward NOLs, equal to approximately $24.4 million and $22.2 million as of December 31, 2023 and 2024, respectively, may be restricted under Section 382 of the Internal Revenue Code (“IRC”). IRC Section 382 applies whenever a corporation with NOL experiences an ownership change. As a result of IRC Section 382, the taxable income for any post change year that may be offset by a pre-change NOL may not exceed the general IRC Section 382 limitation, which is the fair market value of the pre-change entity multiplied by the IRC long-term tax exempt rate.</w:t>
      </w:r>
    </w:p>
    <w:p>
      <w:pPr>
        <w:spacing w:after="0" w:line="143" w:lineRule="exact"/>
        <w:rPr>
          <w:sz w:val="20"/>
          <w:szCs w:val="20"/>
          <w:color w:val="auto"/>
        </w:rPr>
      </w:pPr>
    </w:p>
    <w:p>
      <w:pPr>
        <w:ind w:left="1380" w:hanging="331"/>
        <w:spacing w:after="0"/>
        <w:tabs>
          <w:tab w:leader="none" w:pos="1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Protalix Ltd.</w:t>
      </w:r>
    </w:p>
    <w:p>
      <w:pPr>
        <w:spacing w:after="0" w:line="20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 December 31, 2023 and 2024, the Israeli Subsidiary had approximately $210.4 million and</w:t>
      </w:r>
    </w:p>
    <w:p>
      <w:pPr>
        <w:spacing w:after="0" w:line="27" w:lineRule="exact"/>
        <w:rPr>
          <w:sz w:val="20"/>
          <w:szCs w:val="20"/>
          <w:color w:val="auto"/>
        </w:rPr>
      </w:pPr>
    </w:p>
    <w:p>
      <w:pPr>
        <w:ind w:left="1340" w:right="299"/>
        <w:spacing w:after="0" w:line="260" w:lineRule="auto"/>
        <w:rPr>
          <w:sz w:val="20"/>
          <w:szCs w:val="20"/>
          <w:color w:val="auto"/>
        </w:rPr>
      </w:pPr>
      <w:r>
        <w:rPr>
          <w:rFonts w:ascii="Times New Roman" w:cs="Times New Roman" w:eastAsia="Times New Roman" w:hAnsi="Times New Roman"/>
          <w:sz w:val="18"/>
          <w:szCs w:val="18"/>
          <w:color w:val="auto"/>
        </w:rPr>
        <w:t>$205.0 million, respectively, of carry-forward NOLs that are available to reduce future taxable income with no limited period of use.</w:t>
      </w:r>
    </w:p>
    <w:p>
      <w:pPr>
        <w:spacing w:after="0" w:line="141" w:lineRule="exact"/>
        <w:rPr>
          <w:sz w:val="20"/>
          <w:szCs w:val="20"/>
          <w:color w:val="auto"/>
        </w:rPr>
      </w:pPr>
    </w:p>
    <w:p>
      <w:pPr>
        <w:ind w:left="1340" w:right="139"/>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considered all available evidence, including past operating results, the most recent projections for taxable income, and prudent and feasible tax planning strategies. The Company reassesses its valuation allowance periodically and if future evidence allows for a partial or full release of the valuation allowance, a tax benefit will be recorded accordingly.</w:t>
      </w:r>
    </w:p>
    <w:p>
      <w:pPr>
        <w:spacing w:after="0" w:line="143" w:lineRule="exact"/>
        <w:rPr>
          <w:sz w:val="20"/>
          <w:szCs w:val="20"/>
          <w:color w:val="auto"/>
        </w:rPr>
      </w:pPr>
    </w:p>
    <w:p>
      <w:pPr>
        <w:ind w:left="1020" w:hanging="322"/>
        <w:spacing w:after="0"/>
        <w:tabs>
          <w:tab w:leader="none" w:pos="10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income taxes:</w:t>
      </w:r>
    </w:p>
    <w:p>
      <w:pPr>
        <w:spacing w:after="0" w:line="202"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net deferred tax assets at December 31, 2023 and 2024 were as follows: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respect of:</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timing differences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Deferred taxes are computed using the tax rates expected to be in effect when those differences reverse.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00" w:hanging="302"/>
        <w:spacing w:after="0"/>
        <w:tabs>
          <w:tab w:leader="none" w:pos="100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the theoretical tax expense to actual tax expense</w:t>
      </w:r>
    </w:p>
    <w:p>
      <w:pPr>
        <w:spacing w:after="0" w:line="188" w:lineRule="exact"/>
        <w:rPr>
          <w:rFonts w:ascii="Times New Roman" w:cs="Times New Roman" w:eastAsia="Times New Roman" w:hAnsi="Times New Roman"/>
          <w:sz w:val="18"/>
          <w:szCs w:val="18"/>
          <w:b w:val="1"/>
          <w:bCs w:val="1"/>
          <w:color w:val="auto"/>
        </w:rPr>
      </w:pPr>
    </w:p>
    <w:p>
      <w:pPr>
        <w:ind w:left="1020" w:right="1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statutory U.S. federal income tax rate of 21% in 2024, 2023 and 2022 to the effective income tax rate is as follows: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9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the statutory U.S. income tax rate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Differences in tax rate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Statutorily non-deductible expenses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Utilization of carry-forward losses and other temporary items without deferred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recognition</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7"/>
          <w:szCs w:val="17"/>
          <w:b w:val="1"/>
          <w:bCs w:val="1"/>
          <w:color w:val="auto"/>
        </w:rPr>
        <w:t>Valuation allowance roll-forward</w:t>
      </w:r>
    </w:p>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presents the change in the Company’s valuation allowance during the periods presented:</w:t>
      </w:r>
    </w:p>
    <w:p>
      <w:pPr>
        <w:sectPr>
          <w:pgSz w:w="11900" w:h="16838" w:orient="portrait"/>
          <w:cols w:equalWidth="0" w:num="1">
            <w:col w:w="9019"/>
          </w:cols>
          <w:pgMar w:left="1440" w:top="513" w:right="1440" w:bottom="1440" w:gutter="0" w:footer="0" w:header="0"/>
        </w:sectPr>
      </w:pPr>
    </w:p>
    <w:p>
      <w:pPr>
        <w:spacing w:after="0" w:line="2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451739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Additions to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Reductions to valuation allowance</w:t>
      </w:r>
    </w:p>
    <w:p>
      <w:pPr>
        <w:spacing w:after="0" w:line="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4517390" cy="171450"/>
                    </a:xfrm>
                    <a:prstGeom prst="rect">
                      <a:avLst/>
                    </a:prstGeom>
                    <a:noFill/>
                  </pic:spPr>
                </pic:pic>
              </a:graphicData>
            </a:graphic>
          </wp:anchor>
        </w:drawing>
      </w:r>
    </w:p>
    <w:p>
      <w:pPr>
        <w:spacing w:after="0" w:line="2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Additions to valuation allowance</w:t>
      </w:r>
    </w:p>
    <w:p>
      <w:pPr>
        <w:spacing w:after="0" w:line="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Reductions to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451739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48" w:lineRule="exact"/>
        <w:rPr>
          <w:sz w:val="20"/>
          <w:szCs w:val="20"/>
          <w:color w:val="auto"/>
        </w:rPr>
      </w:pPr>
    </w:p>
    <w:p>
      <w:pPr>
        <w:ind w:left="1020" w:hanging="322"/>
        <w:spacing w:after="0"/>
        <w:tabs>
          <w:tab w:leader="none" w:pos="10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Uncertain tax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220" w:hanging="216"/>
        <w:spacing w:after="0"/>
        <w:tabs>
          <w:tab w:leader="none" w:pos="2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(58,550)</w:t>
      </w:r>
    </w:p>
    <w:p>
      <w:pPr>
        <w:spacing w:after="0" w:line="3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(728)</w:t>
      </w:r>
    </w:p>
    <w:p>
      <w:pPr>
        <w:spacing w:after="0" w:line="48"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7,660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5314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7"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u w:val="single" w:color="auto"/>
          <w:color w:val="auto"/>
        </w:rPr>
        <w:t>$  (51,618)</w:t>
      </w:r>
    </w:p>
    <w:p>
      <w:pPr>
        <w:spacing w:after="0" w:line="315" w:lineRule="exact"/>
        <w:rPr>
          <w:sz w:val="20"/>
          <w:szCs w:val="20"/>
          <w:color w:val="auto"/>
        </w:rPr>
      </w:pPr>
    </w:p>
    <w:p>
      <w:pPr>
        <w:ind w:left="220" w:hanging="216"/>
        <w:spacing w:after="0"/>
        <w:tabs>
          <w:tab w:leader="none" w:pos="2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(51,618)</w:t>
      </w:r>
    </w:p>
    <w:p>
      <w:pPr>
        <w:spacing w:after="0" w:line="36"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953</w:t>
      </w:r>
    </w:p>
    <w:p>
      <w:pPr>
        <w:spacing w:after="0" w:line="27"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u w:val="single" w:color="auto"/>
          <w:color w:val="auto"/>
        </w:rPr>
        <w:t>$  (50,665)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5314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652" w:lineRule="exact"/>
        <w:rPr>
          <w:sz w:val="20"/>
          <w:szCs w:val="20"/>
          <w:color w:val="auto"/>
        </w:rPr>
      </w:pPr>
    </w:p>
    <w:p>
      <w:pPr>
        <w:sectPr>
          <w:pgSz w:w="11900" w:h="16838" w:orient="portrait"/>
          <w:cols w:equalWidth="0" w:num="2">
            <w:col w:w="6500" w:space="720"/>
            <w:col w:w="1799"/>
          </w:cols>
          <w:pgMar w:left="1440" w:top="513" w:right="1440" w:bottom="1440" w:gutter="0" w:footer="0" w:header="0"/>
          <w:type w:val="continuous"/>
        </w:sectPr>
      </w:pPr>
    </w:p>
    <w:p>
      <w:pPr>
        <w:ind w:left="1020" w:right="299"/>
        <w:spacing w:after="0" w:line="266" w:lineRule="auto"/>
        <w:rPr>
          <w:sz w:val="20"/>
          <w:szCs w:val="20"/>
          <w:color w:val="auto"/>
        </w:rPr>
      </w:pPr>
      <w:r>
        <w:rPr>
          <w:rFonts w:ascii="Times New Roman" w:cs="Times New Roman" w:eastAsia="Times New Roman" w:hAnsi="Times New Roman"/>
          <w:sz w:val="18"/>
          <w:szCs w:val="18"/>
          <w:color w:val="auto"/>
        </w:rPr>
        <w:t>Provisions of ASC 740-10, Income Taxes, clarify whether to recognize assets or liabilities for tax positions taken that may be challenged by a tax authority. A reconciliation of the beginning and ending amount of unrecognized tax benefits, is as follows:</w:t>
      </w: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i w:val="1"/>
          <w:iCs w:val="1"/>
          <w:color w:val="auto"/>
        </w:rPr>
        <w:t>(U.S. dollars in thousands)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920" w:type="dxa"/>
            <w:vAlign w:val="bottom"/>
          </w:tcPr>
          <w:p>
            <w:pPr>
              <w:spacing w:after="0"/>
              <w:rPr>
                <w:sz w:val="19"/>
                <w:szCs w:val="19"/>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7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900" w:type="dxa"/>
            <w:vAlign w:val="bottom"/>
          </w:tcPr>
          <w:p>
            <w:pPr>
              <w:spacing w:after="0"/>
              <w:rPr>
                <w:sz w:val="19"/>
                <w:szCs w:val="19"/>
                <w:color w:val="auto"/>
              </w:rPr>
            </w:pPr>
          </w:p>
        </w:tc>
      </w:tr>
      <w:tr>
        <w:trPr>
          <w:trHeight w:val="243"/>
        </w:trPr>
        <w:tc>
          <w:tcPr>
            <w:tcW w:w="4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9"/>
              </w:rPr>
              <w:t>Increase for tax position related to current year</w:t>
            </w:r>
          </w:p>
        </w:tc>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900" w:type="dxa"/>
            <w:vAlign w:val="bottom"/>
          </w:tcPr>
          <w:p>
            <w:pPr>
              <w:spacing w:after="0"/>
              <w:rPr>
                <w:sz w:val="21"/>
                <w:szCs w:val="21"/>
                <w:color w:val="auto"/>
              </w:rPr>
            </w:pPr>
          </w:p>
        </w:tc>
      </w:tr>
      <w:tr>
        <w:trPr>
          <w:trHeight w:val="210"/>
        </w:trPr>
        <w:tc>
          <w:tcPr>
            <w:tcW w:w="920" w:type="dxa"/>
            <w:vAlign w:val="bottom"/>
          </w:tcPr>
          <w:p>
            <w:pPr>
              <w:spacing w:after="0"/>
              <w:rPr>
                <w:sz w:val="18"/>
                <w:szCs w:val="18"/>
                <w:color w:val="auto"/>
              </w:rPr>
            </w:pPr>
          </w:p>
        </w:tc>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900" w:type="dxa"/>
            <w:vAlign w:val="bottom"/>
          </w:tcPr>
          <w:p>
            <w:pPr>
              <w:spacing w:after="0"/>
              <w:rPr>
                <w:sz w:val="18"/>
                <w:szCs w:val="18"/>
                <w:color w:val="auto"/>
              </w:rPr>
            </w:pPr>
          </w:p>
        </w:tc>
      </w:tr>
      <w:tr>
        <w:trPr>
          <w:trHeight w:val="20"/>
        </w:trPr>
        <w:tc>
          <w:tcPr>
            <w:tcW w:w="42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4"/>
        </w:trPr>
        <w:tc>
          <w:tcPr>
            <w:tcW w:w="9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92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4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900" w:type="dxa"/>
            <w:vAlign w:val="bottom"/>
          </w:tcPr>
          <w:p>
            <w:pPr>
              <w:spacing w:after="0"/>
              <w:rPr>
                <w:sz w:val="21"/>
                <w:szCs w:val="21"/>
                <w:color w:val="auto"/>
              </w:rPr>
            </w:pPr>
          </w:p>
        </w:tc>
      </w:tr>
      <w:tr>
        <w:trPr>
          <w:trHeight w:val="243"/>
        </w:trPr>
        <w:tc>
          <w:tcPr>
            <w:tcW w:w="4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9"/>
              </w:rPr>
              <w:t>Increase for tax position related to current year</w:t>
            </w:r>
          </w:p>
        </w:tc>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r>
      <w:tr>
        <w:trPr>
          <w:trHeight w:val="209"/>
        </w:trPr>
        <w:tc>
          <w:tcPr>
            <w:tcW w:w="920" w:type="dxa"/>
            <w:vAlign w:val="bottom"/>
          </w:tcPr>
          <w:p>
            <w:pPr>
              <w:spacing w:after="0"/>
              <w:rPr>
                <w:sz w:val="18"/>
                <w:szCs w:val="18"/>
                <w:color w:val="auto"/>
              </w:rPr>
            </w:pPr>
          </w:p>
        </w:tc>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9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40" w:type="dxa"/>
            <w:vAlign w:val="bottom"/>
            <w:gridSpan w:val="3"/>
          </w:tcPr>
          <w:p>
            <w:pPr>
              <w:jc w:val="right"/>
              <w:ind w:right="2796"/>
              <w:spacing w:after="0"/>
              <w:rPr>
                <w:sz w:val="20"/>
                <w:szCs w:val="20"/>
                <w:color w:val="auto"/>
              </w:rPr>
            </w:pPr>
            <w:r>
              <w:rPr>
                <w:rFonts w:ascii="Times New Roman" w:cs="Times New Roman" w:eastAsia="Times New Roman" w:hAnsi="Times New Roman"/>
                <w:sz w:val="18"/>
                <w:szCs w:val="18"/>
                <w:color w:val="auto"/>
                <w:w w:val="99"/>
              </w:rPr>
              <w:t>F-31</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assessments</w:t>
      </w:r>
    </w:p>
    <w:p>
      <w:pPr>
        <w:spacing w:after="0" w:line="188" w:lineRule="exact"/>
        <w:rPr>
          <w:rFonts w:ascii="Times New Roman" w:cs="Times New Roman" w:eastAsia="Times New Roman" w:hAnsi="Times New Roman"/>
          <w:sz w:val="18"/>
          <w:szCs w:val="18"/>
          <w:b w:val="1"/>
          <w:bCs w:val="1"/>
          <w:color w:val="auto"/>
        </w:rPr>
      </w:pPr>
    </w:p>
    <w:p>
      <w:pPr>
        <w:ind w:left="1020" w:right="9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Income Tax Ordinance, as of December 31, 2024, all of Protalix Ltd.’s tax assessments through tax year 2019 are considered final.</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open tax years by major jurisdiction is presented below:</w:t>
      </w:r>
    </w:p>
    <w:p>
      <w:pPr>
        <w:spacing w:after="0" w:line="205"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Years:</w:t>
            </w:r>
          </w:p>
        </w:tc>
      </w:tr>
      <w:tr>
        <w:trPr>
          <w:trHeight w:val="210"/>
        </w:trPr>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2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2020-2024</w:t>
            </w:r>
          </w:p>
        </w:tc>
      </w:tr>
      <w:tr>
        <w:trPr>
          <w:trHeight w:val="234"/>
        </w:trPr>
        <w:tc>
          <w:tcPr>
            <w:tcW w:w="3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United States (*)</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2021-2024</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Includes federal, state and local (or similar provincial jurisdictions) tax positions.</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189" w:lineRule="exact"/>
        <w:rPr>
          <w:sz w:val="20"/>
          <w:szCs w:val="20"/>
          <w:color w:val="auto"/>
        </w:rPr>
      </w:pPr>
    </w:p>
    <w:p>
      <w:pPr>
        <w:ind w:left="1040" w:right="239" w:hanging="315"/>
        <w:spacing w:after="0" w:line="266" w:lineRule="auto"/>
        <w:tabs>
          <w:tab w:leader="none" w:pos="10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in Israel as a single operating segment. The Company’s President and Chief Executive Officer is the CODM. The CODM makes decisions on resource allocation, assesses performance of the business and monitors budget versus actual results on a consolidated basis.</w:t>
      </w:r>
    </w:p>
    <w:p>
      <w:pPr>
        <w:spacing w:after="0" w:line="148" w:lineRule="exact"/>
        <w:rPr>
          <w:rFonts w:ascii="Times New Roman" w:cs="Times New Roman" w:eastAsia="Times New Roman" w:hAnsi="Times New Roman"/>
          <w:sz w:val="18"/>
          <w:szCs w:val="18"/>
          <w:b w:val="1"/>
          <w:bCs w:val="1"/>
          <w:color w:val="auto"/>
        </w:rPr>
      </w:pPr>
    </w:p>
    <w:p>
      <w:pPr>
        <w:ind w:left="1040" w:hanging="315"/>
        <w:spacing w:after="0"/>
        <w:tabs>
          <w:tab w:leader="none" w:pos="10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Segment information:</w:t>
      </w:r>
    </w:p>
    <w:p>
      <w:pPr>
        <w:spacing w:after="0" w:line="21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7"/>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customers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salaries and related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Sub-contractors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20" w:right="1399" w:firstLine="221"/>
        <w:spacing w:after="0" w:line="527" w:lineRule="auto"/>
        <w:tabs>
          <w:tab w:leader="none" w:pos="107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expenses included in net income includes raw materials, rent and utilities and others. </w:t>
      </w: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following table summarizes the Company’s disaggregation of revenues:</w:t>
      </w:r>
    </w:p>
    <w:p>
      <w:pPr>
        <w:spacing w:after="0" w:line="25"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9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Gaucher disease: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Pfizer (Ireland)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12,403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$ 12,522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12,617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Fiocruz (Brazil)</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11,031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Fabry disease: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 (Italy)</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17,495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29,333</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9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25,292</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40,418</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52,981</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22,346</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25,076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8"/>
          <w:szCs w:val="18"/>
          <w:color w:val="auto"/>
        </w:rPr>
        <w:t>Long lived assets are located in Israel.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14 - SUPPLEMENTARY FINANCIAL STATEMENT INFORMATION</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w:t>
            </w:r>
          </w:p>
        </w:tc>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340" w:type="dxa"/>
            <w:vAlign w:val="bottom"/>
            <w:gridSpan w:val="4"/>
            <w:vMerge w:val="restart"/>
          </w:tcPr>
          <w:p>
            <w:pPr>
              <w:ind w:left="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3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2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Sundry</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40" w:type="dxa"/>
            <w:vAlign w:val="bottom"/>
            <w:gridSpan w:val="4"/>
            <w:vMerge w:val="restart"/>
          </w:tcPr>
          <w:p>
            <w:pPr>
              <w:ind w:left="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3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51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Accounts payable and accruals – other:</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Payable to customer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reserves (1)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19,550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19,588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60" w:right="739"/>
        <w:spacing w:after="0" w:line="260" w:lineRule="auto"/>
        <w:tabs>
          <w:tab w:leader="none" w:pos="11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as of December 31, 2024 is based on a final reconciliation that was performed with the customer.</w:t>
      </w:r>
    </w:p>
    <w:p>
      <w:pPr>
        <w:sectPr>
          <w:pgSz w:w="11900" w:h="16838" w:orient="portrait"/>
          <w:cols w:equalWidth="0" w:num="1">
            <w:col w:w="9019"/>
          </w:cols>
          <w:pgMar w:left="1440" w:top="513" w:right="1440" w:bottom="1440" w:gutter="0" w:footer="0" w:header="0"/>
        </w:sectPr>
      </w:pP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202" w:lineRule="exact"/>
        <w:rPr>
          <w:sz w:val="20"/>
          <w:szCs w:val="20"/>
          <w:color w:val="auto"/>
        </w:rPr>
      </w:pPr>
    </w:p>
    <w:p>
      <w:pPr>
        <w:ind w:left="1040" w:hanging="315"/>
        <w:spacing w:after="0"/>
        <w:tabs>
          <w:tab w:leader="none" w:pos="10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 Compensation</w:t>
      </w:r>
    </w:p>
    <w:p>
      <w:pPr>
        <w:spacing w:after="0" w:line="3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 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18415</wp:posOffset>
            </wp:positionV>
            <wp:extent cx="4517390" cy="2825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4517390" cy="282575"/>
                    </a:xfrm>
                    <a:prstGeom prst="rect">
                      <a:avLst/>
                    </a:prstGeom>
                    <a:noFill/>
                  </pic:spPr>
                </pic:pic>
              </a:graphicData>
            </a:graphic>
          </wp:anchor>
        </w:drawing>
      </w:r>
    </w:p>
    <w:p>
      <w:pPr>
        <w:spacing w:after="0" w:line="9" w:lineRule="exact"/>
        <w:rPr>
          <w:sz w:val="20"/>
          <w:szCs w:val="20"/>
          <w:color w:val="auto"/>
        </w:rPr>
      </w:pPr>
    </w:p>
    <w:p>
      <w:pPr>
        <w:ind w:left="940"/>
        <w:spacing w:after="0" w:line="276" w:lineRule="auto"/>
        <w:rPr>
          <w:sz w:val="20"/>
          <w:szCs w:val="20"/>
          <w:color w:val="auto"/>
        </w:rPr>
      </w:pPr>
      <w:r>
        <w:rPr>
          <w:rFonts w:ascii="Times New Roman" w:cs="Times New Roman" w:eastAsia="Times New Roman" w:hAnsi="Times New Roman"/>
          <w:sz w:val="18"/>
          <w:szCs w:val="18"/>
          <w:color w:val="auto"/>
        </w:rPr>
        <w:t>Compensation (including share-based compensation) to the non-executive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wp:posOffset>
            </wp:positionV>
            <wp:extent cx="13544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35" w:lineRule="exact"/>
        <w:rPr>
          <w:sz w:val="20"/>
          <w:szCs w:val="20"/>
          <w:color w:val="auto"/>
        </w:rPr>
      </w:pPr>
    </w:p>
    <w:p>
      <w:pPr>
        <w:ind w:left="160"/>
        <w:spacing w:after="0"/>
        <w:tabs>
          <w:tab w:leader="none" w:pos="900" w:val="left"/>
          <w:tab w:leader="none" w:pos="16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23" w:lineRule="exact"/>
        <w:rPr>
          <w:sz w:val="20"/>
          <w:szCs w:val="20"/>
          <w:color w:val="auto"/>
        </w:rPr>
      </w:pPr>
    </w:p>
    <w:p>
      <w:pPr>
        <w:spacing w:after="0"/>
        <w:tabs>
          <w:tab w:leader="none" w:pos="280" w:val="left"/>
          <w:tab w:leader="none" w:pos="740" w:val="left"/>
          <w:tab w:leader="none" w:pos="1020" w:val="left"/>
          <w:tab w:leader="none" w:pos="1500" w:val="left"/>
          <w:tab w:leader="none" w:pos="1800" w:val="left"/>
        </w:tabs>
        <w:rPr>
          <w:sz w:val="20"/>
          <w:szCs w:val="20"/>
          <w:color w:val="auto"/>
        </w:rPr>
      </w:pPr>
      <w:r>
        <w:rPr>
          <w:rFonts w:ascii="Times New Roman" w:cs="Times New Roman" w:eastAsia="Times New Roman" w:hAnsi="Times New Roman"/>
          <w:sz w:val="18"/>
          <w:szCs w:val="18"/>
          <w:color w:val="auto"/>
        </w:rPr>
        <w:t>$</w:t>
        <w:tab/>
        <w:t>368</w:t>
        <w:tab/>
        <w:t>$</w:t>
        <w:tab/>
        <w:t>429</w:t>
        <w:tab/>
        <w:t>$</w:t>
      </w:r>
      <w:r>
        <w:rPr>
          <w:sz w:val="20"/>
          <w:szCs w:val="20"/>
          <w:color w:val="auto"/>
        </w:rPr>
        <w:tab/>
      </w:r>
      <w:r>
        <w:rPr>
          <w:rFonts w:ascii="Times New Roman" w:cs="Times New Roman" w:eastAsia="Times New Roman" w:hAnsi="Times New Roman"/>
          <w:sz w:val="17"/>
          <w:szCs w:val="17"/>
          <w:color w:val="auto"/>
        </w:rPr>
        <w:t>555</w:t>
      </w:r>
    </w:p>
    <w:p>
      <w:pPr>
        <w:spacing w:after="0" w:line="224" w:lineRule="exact"/>
        <w:rPr>
          <w:sz w:val="20"/>
          <w:szCs w:val="20"/>
          <w:color w:val="auto"/>
        </w:rPr>
      </w:pPr>
    </w:p>
    <w:p>
      <w:pPr>
        <w:sectPr>
          <w:pgSz w:w="11900" w:h="16838" w:orient="portrait"/>
          <w:cols w:equalWidth="0" w:num="2">
            <w:col w:w="5600" w:space="320"/>
            <w:col w:w="3099"/>
          </w:cols>
          <w:pgMar w:left="1440" w:top="513" w:right="1440" w:bottom="1440" w:gutter="0" w:footer="0" w:header="0"/>
          <w:type w:val="continuous"/>
        </w:sectPr>
      </w:pPr>
    </w:p>
    <w:p>
      <w:pPr>
        <w:ind w:left="1040" w:right="279" w:hanging="315"/>
        <w:spacing w:after="0" w:line="261"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with the consent of the Audit Committee of the Board of Directors, the Company engaged one of its non-executive directors to advise the Company regarding business development and licensing efforts on a consultancy basis. For the years ended December 31, 2023 and 2024, we recorded an expense of a total of $35,475 and $1,350 for such consulting fees, respectively.</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189" w:lineRule="exact"/>
        <w:rPr>
          <w:sz w:val="20"/>
          <w:szCs w:val="20"/>
          <w:color w:val="auto"/>
        </w:rPr>
      </w:pPr>
    </w:p>
    <w:p>
      <w:pPr>
        <w:ind w:left="1040" w:right="319" w:hanging="315"/>
        <w:spacing w:after="0" w:line="282" w:lineRule="auto"/>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the Company has collected approximately $4.0 million from sales to Pfizer and approximately $2.9 million from sales to Brazil.</w:t>
      </w:r>
    </w:p>
    <w:p>
      <w:pPr>
        <w:spacing w:after="0" w:line="121"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the Company sold, in the aggregate 1,223,935 shares of Common Stock under the 2023 Sales Agreement. The Company generated gross proceeds equal to approximately $2.5 million in connection with such sales. As a result of such sales, no shares remain available for sale under the 2023 Sales Agreement and the ATM program thereunder is now complete.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40" w:right="199" w:hanging="315"/>
        <w:spacing w:after="0" w:line="261" w:lineRule="auto"/>
        <w:tabs>
          <w:tab w:leader="none" w:pos="10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December 31, 2024, the Company issued 908,000 shares of Common Stock in connection with the exercise of warrants issued in 2020 generating proceeds equal to approximately $2.1 million from such exercises. The warrants expired on March 11, 2025. Accordingly, </w:t>
      </w:r>
      <w:r>
        <w:rPr>
          <w:rFonts w:ascii="Times New Roman" w:cs="Times New Roman" w:eastAsia="Times New Roman" w:hAnsi="Times New Roman"/>
          <w:sz w:val="18"/>
          <w:szCs w:val="18"/>
          <w:color w:val="212529"/>
        </w:rPr>
        <w:t>as of March 12, 2025, no warrants remain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outstanding.</w:t>
      </w:r>
    </w:p>
    <w:p>
      <w:pPr>
        <w:spacing w:after="0" w:line="139"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Company deregistered Protalix BV in the Netherlands thereby ending its corporate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2"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 xml:space="preserve">The following summarizes the material terms of the capital stock of Protalix BioTherapeutics, Inc. We are a Delaware corporation. The rights of our stockholders are governed by the Delaware General Corporation Law (the “DGCL”) and by our Certificate of Incorporation, as amended (the “Charter”), and our Amended and Restated Bylaws (the “Bylaws”), which are exhibits to our Annual Report on Form 10-K filed with the U.S. Securities and Exchange Commission (the “Commission”) and available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following summary is qualified in its entirety by reference to the applicable provisions of the DGCL, our Charter and our Bylaws, which are subject to future amendment in accordance with the provisions thereof. Our common stock is the only class of our securities registered under Section 12 of the U.S. Securities Exchange Act of 1934, as amended (the “Exchange Act”).</w:t>
      </w:r>
    </w:p>
    <w:p>
      <w:pPr>
        <w:spacing w:after="0" w:line="1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87"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Charter provides that we may issue up to 185,000,000 shares of common stock, par value $0.001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and 100,000,000 shares of preferred stock, par value $0.0001 per share. The number of shares of our common stock issued and outstanding as of a recent date is set forth on the cover page of our most recent Annual Report on Form 10-K or Quarterly Report on Form 10-Q filed with the Commission. We currently have no outstanding shares of preferred stock.</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7"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stockholders and do not have cumulative voting rights. Accordingly, holders of a majority of the shares of common stock entitled to vote in any election of directors may elect all of the directors standing for election.</w:t>
      </w:r>
    </w:p>
    <w:p>
      <w:pPr>
        <w:spacing w:after="0" w:line="133" w:lineRule="exact"/>
        <w:rPr>
          <w:sz w:val="20"/>
          <w:szCs w:val="20"/>
          <w:color w:val="auto"/>
        </w:rPr>
      </w:pPr>
    </w:p>
    <w:p>
      <w:pPr>
        <w:jc w:val="both"/>
        <w:ind w:left="200" w:right="2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the preferential rights, if any, of the holders of any outstanding series of our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shares of our common stock are entitled to receive dividends when, as and if declared by our Board of Directors (our “Board of Directors”) out of funds legally available therefor.</w:t>
      </w:r>
    </w:p>
    <w:p>
      <w:pPr>
        <w:spacing w:after="0" w:line="146"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have never declared or paid any cash dividends on our capital stock. We currently intend to retain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future earnings to finance the growth and development of our business and therefore do not anticipate paying any cash dividends in the foreseeable future. Any future determination to pay cash dividends will be at the discretion of our Board of Directors and will depend upon our financial condition, operating results, capital requirements, covenants in our debt instruments (if any), and such other factors as our Board of Directors deems relevant.</w:t>
      </w:r>
    </w:p>
    <w:p>
      <w:pPr>
        <w:spacing w:after="0" w:line="143"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In the event of our liquidation, dissolution or winding-up, after payment of all of our debts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our common stock are entitled to share ratably in all remaining assets available for distribution after the payment of debts and liabilities and after provision has been made for each class of stock, if any, having preferences over our common stock. Holders of our common stock, as such, have no preemptive or other rights and there are no redemption provisions applicable to our common stock. All of our outstanding shares of common stock are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44" w:lineRule="exact"/>
        <w:rPr>
          <w:sz w:val="20"/>
          <w:szCs w:val="20"/>
          <w:color w:val="auto"/>
        </w:rPr>
      </w:pPr>
    </w:p>
    <w:p>
      <w:pPr>
        <w:jc w:val="both"/>
        <w:ind w:left="200" w:right="2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The holders of our common stock have no preemptive rights and no rights to convert their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into any other securities, and our common stock is not subject to any redemption or sinking fund provisions.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18"/>
          <w:szCs w:val="18"/>
          <w:color w:val="auto"/>
        </w:rPr>
        <w:t>Our Charter authorizes the issuance of up to 100,000,000 shares of preferred stock with such voting rights, rights of redemption and other relative rights and preferences as may be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our common stock. The preferred stock could be utilized, under certain circumstances, as a method of discouraging, delaying or preventing a change 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7" w:name="page118"/>
    <w:bookmarkEnd w:id="117"/>
    <w:p>
      <w:pPr>
        <w:jc w:val="both"/>
        <w:ind w:left="200" w:right="21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Delaware Law, Our Certificate of Incorporation, as Amended, and Our By-laws</w:t>
      </w:r>
    </w:p>
    <w:p>
      <w:pPr>
        <w:spacing w:after="0" w:line="118"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Delaware statutory law, our Charter and our Bylaws contain provisions that could make acquisition of our ompany by means of a tender offer, a proxy contest or otherwise more difficult. These provisions are intended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 The description of our Charter and our Bylaws set forth below is only a summary and is qualified in its entirety by reference to our Charter and our Bylaws which are exhibits to our most recent Annual Report on Form 10-K.</w:t>
      </w:r>
    </w:p>
    <w:p>
      <w:pPr>
        <w:spacing w:after="0" w:line="159"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Blank Check Preferred Stock. </w:t>
      </w:r>
      <w:r>
        <w:rPr>
          <w:rFonts w:ascii="Times New Roman" w:cs="Times New Roman" w:eastAsia="Times New Roman" w:hAnsi="Times New Roman"/>
          <w:sz w:val="18"/>
          <w:szCs w:val="18"/>
          <w:color w:val="auto"/>
        </w:rPr>
        <w:t>Our Charter permits us to issue, without any further vote or action by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100,000,000 shares of preferred stock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142"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Number of Directors; Filling Vacancies; Removal. </w:t>
      </w:r>
      <w:r>
        <w:rPr>
          <w:rFonts w:ascii="Times New Roman" w:cs="Times New Roman" w:eastAsia="Times New Roman" w:hAnsi="Times New Roman"/>
          <w:sz w:val="18"/>
          <w:szCs w:val="18"/>
          <w:color w:val="auto"/>
        </w:rPr>
        <w:t>Our Bylaws provide that the number of directors which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the whole of the Board of Directors shall be fixed from time to time by resolution of the Board of Directors. Directors shall be elected by a plurality vote of the shares represented in person or by proxy at the annual meeting of stockholders in each year and entitled to vote on the election of directors. Elected directors shall hold office until the next annual meeting and until their successors shall be duly elected and qualified. Directors need not be stockholders. If, for any cause, the Board of Directors shall not have been elected at an annual meeting, they may be elected as soon thereafter as convenient at a special meeting of stockholders called for that purpose in the manner provided in our Bylaws. In addition, our Bylaws provide that a Board of Directors vacancy resulting from the death, removal or resignation of a director, as well as a vacancy resulting from an increase in the number of directors or if the stockholders fail at any meeting of stockholders at which directors are to be elected to elect the number of directors then constituting the whole Board of Directors, may be filled solely by the affirmative vote of a majority of the remaining directors then in office even though that may be less than a quorum of the Board of Directors.</w:t>
      </w:r>
    </w:p>
    <w:p>
      <w:pPr>
        <w:spacing w:after="0" w:line="149"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Special Meetings. </w:t>
      </w:r>
      <w:r>
        <w:rPr>
          <w:rFonts w:ascii="Times New Roman" w:cs="Times New Roman" w:eastAsia="Times New Roman" w:hAnsi="Times New Roman"/>
          <w:sz w:val="18"/>
          <w:szCs w:val="18"/>
          <w:color w:val="auto"/>
        </w:rPr>
        <w:t>Special Meetings of our stockholders may be called, for any purpose or purposes, by the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Board of Directors or the President or the Board of Directors at any time. Upon written request of any stockholder or stockholders holding in the aggregate not less than 25% of all of the votes entitled to be cast on any issue proposed to be considered at the Special Meeting signed, dated and delivered in person or sent by registered mail to the Chairman of the Board of Directors, President or Secretary of our company, in a form that complies with all applicable provisions of our Bylaws, the Secretary shall call a special meeting of stockholders to be held at the principal office of the corporation or at such place and at such time as the Secretary may fix, such meeting to be held not less than 30 nor more than 60 days after the receipt of such request, and if the Secretary shall neglect or refuse to call such meeting within 10 days after the receipt of such request, the stockholder making such request may do so.</w:t>
      </w:r>
    </w:p>
    <w:p>
      <w:pPr>
        <w:spacing w:after="0" w:line="161"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Stockholder Action by Written Consent. </w:t>
      </w:r>
      <w:r>
        <w:rPr>
          <w:rFonts w:ascii="Times New Roman" w:cs="Times New Roman" w:eastAsia="Times New Roman" w:hAnsi="Times New Roman"/>
          <w:sz w:val="18"/>
          <w:szCs w:val="18"/>
          <w:color w:val="auto"/>
        </w:rPr>
        <w:t>Our Bylaws requires that all actions to be taken by stockholders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at a duly called annual or special meeting, and stockholders are not permitted to act by written consent. These provisions will make it more difficult for stockholders to take an action opposed by our Board of Directors.</w:t>
      </w:r>
    </w:p>
    <w:p>
      <w:pPr>
        <w:spacing w:after="0" w:line="133"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r>
        <w:rPr>
          <w:rFonts w:ascii="Times New Roman" w:cs="Times New Roman" w:eastAsia="Times New Roman" w:hAnsi="Times New Roman"/>
          <w:sz w:val="18"/>
          <w:szCs w:val="18"/>
          <w:color w:val="auto"/>
        </w:rPr>
        <w:t>. Section 203 of the DGCL provides that,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exceptions, a corporation will not engage in any “business combination” with any “interested stockholder” for a three-year period following the time that such stockholder becomes an interested stockholder unless (1) before that time, the board of directors of the corporation approved either the business combination or the transaction which resulted in the stockholder becoming an interested stockholder, (2) upon consummation of the transaction which resulted in the stockholder becoming an interested stockholder, the interested stockholder owned at least 85% of the voting stock of the corporation outstanding at the time the transaction commenced (excluding certain shares) or (3) on or after such time, both the board of directors of the corporation and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outstanding voting stock which is not owned by the interested stockholder approves the business combination. Section 203 of the DGCL generally defines an “interested stockholder” to include (x) any person that owns 15% or more of the outstanding</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18" w:name="page119"/>
    <w:bookmarkEnd w:id="118"/>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voting stock of the corporation, or is an affiliate or associate of the corporation and owned 15% or more of the outstanding voting stock of the corporation at any time within three years immediately prior to the relevant date and (y) the affiliates and associates of any such person.</w:t>
      </w:r>
    </w:p>
    <w:p>
      <w:pPr>
        <w:spacing w:after="0" w:line="135"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Section 203 of the DGCL generally defines a “business combination” to include (1) any merger or consolidation with an interested stockholder or other entity if the merger or consolidation is caused by the interested stockholder and as a result section (a) of Section 203 is no longer applicable to the surviving entity, (2) sales or other dispositions of 10% or more of the corporation’s assets with or to an interested stockholder, (3) certain transactions resulting in the issuance or transfer to the interested stockholder of any stock of the corporation or its subsidiaries, (4) certain transactions which would increase the proportionate share of the stock of the corporation or its subsidiaries owned by the interested stockholder and (5) receipt by the interested stockholder of the benefit (except proportionately as a stockholder) of any loans, advances, guarantees, pledges, or other financial benefits.</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elected not to be subject to Section 203 of the DGCL.</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Listing Information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“PLX.”</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19" w:name="page120"/>
    <w:bookmarkEnd w:id="11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u w:val="single" w:color="auto"/>
          <w:color w:val="auto"/>
        </w:rPr>
        <w:t>Approved as of February 24, 2025</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INSIDER TRADING AND BLACKOUT POLICY</w:t>
      </w:r>
    </w:p>
    <w:p>
      <w:pPr>
        <w:spacing w:after="0" w:line="223"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This Insider Trading and Blackout Policy provides guidelines to all personnel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including employees (both domestic and international), directors and officers, of Protalix BioTherapeutics,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subsidiaries, with respect to transactions in the Company’s securities and the handling of material non-public information, as explained in more detail below, about the Company and the companies with which it does business. In the discretion of the Company’s Compliance Officer, this Insider Trading and Blackout Policy may also apply to consultants and to contractors of the Company and its subsidiaries who may come into possession of such material non-public information as a result of their work for or on behalf of the Company. In addition, this Insider Trading and Blackout Policy applies to the Company itself when conducting transactions in its own securities.</w:t>
      </w:r>
    </w:p>
    <w:p>
      <w:pPr>
        <w:spacing w:after="0" w:line="178"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The Compliance Officer or, in the Compliance Officer’s absence, the Chief Executive Officer, is responsible for the administration of this Insider Trading and Blackout Policy. For purposes of this Insider Trading and Blackout Policy and all other policies of the Company, the Chief Financial Officer shall be the Compliance Officer.</w:t>
      </w:r>
    </w:p>
    <w:p>
      <w:pPr>
        <w:spacing w:after="0" w:line="176"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The Company’s common stock is traded on the NYSE American Stock Exchange. Restricted Persons are subject to U.S. laws and regulations, but may be subject to various provisions of securities laws of other jurisdictions where the Company conducts its business, such as the Israeli Securities Law 5728-1968 and rules promulgated thereunder.</w:t>
      </w:r>
    </w:p>
    <w:p>
      <w:pPr>
        <w:spacing w:after="0" w:line="176"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18"/>
          <w:szCs w:val="18"/>
          <w:color w:val="auto"/>
        </w:rPr>
        <w:t>For purposes of this Insider Trading and Blackout Policy, the Company’s securities include common stock, options to purchase common stock and any other securities the Company may issue from time to time, such as preferred stock, warrants, convertible notes or debentures and debt securities. The Company’s securities also include derivative securities relating to the Company’s securities, even if not issued by the Company, such as exchange-traded options.</w:t>
      </w:r>
    </w:p>
    <w:p>
      <w:pPr>
        <w:spacing w:after="0" w:line="187"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It is important to stress that this Insider Trading and Blackout Policy applies to all of the Company’s and its subsidiaries’ employees, directors and officers, and their respective Family Members (as defined below).</w:t>
      </w:r>
    </w:p>
    <w:p>
      <w:pPr>
        <w:spacing w:after="0" w:line="171"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This Insider Trading and Blackout Policy does not purport to be a statement of all applicable laws, rules and regulations, whether of the United States, Israel or any other state or jurisdiction, and should not be considered legal advice. It is each person’s responsibility and obligation to comply with all applicable laws, rules and regulations when transacting in the Company’s securities or the securities of any other company.</w:t>
      </w:r>
    </w:p>
    <w:p>
      <w:pPr>
        <w:spacing w:after="0" w:line="184" w:lineRule="exact"/>
        <w:rPr>
          <w:sz w:val="20"/>
          <w:szCs w:val="20"/>
          <w:color w:val="auto"/>
        </w:rPr>
      </w:pPr>
    </w:p>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The Company may change the terms of this Insider Trading and Blackout Policy from time to time, and shall take steps to inform all affected persons of any material change to this Insider Trading and Blackout Policy.</w:t>
      </w:r>
    </w:p>
    <w:p>
      <w:pPr>
        <w:spacing w:after="0" w:line="158" w:lineRule="exact"/>
        <w:rPr>
          <w:sz w:val="20"/>
          <w:szCs w:val="20"/>
          <w:color w:val="auto"/>
        </w:rPr>
      </w:pPr>
    </w:p>
    <w:p>
      <w:pPr>
        <w:ind w:left="860" w:hanging="651"/>
        <w:spacing w:after="0"/>
        <w:tabs>
          <w:tab w:leader="none" w:pos="8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Insider Trading Policy</w:t>
      </w:r>
    </w:p>
    <w:p>
      <w:pPr>
        <w:spacing w:after="0" w:line="229" w:lineRule="exact"/>
        <w:rPr>
          <w:sz w:val="20"/>
          <w:szCs w:val="20"/>
          <w:color w:val="auto"/>
        </w:rPr>
      </w:pPr>
    </w:p>
    <w:p>
      <w:pPr>
        <w:ind w:left="200" w:right="239"/>
        <w:spacing w:after="0" w:line="282" w:lineRule="auto"/>
        <w:rPr>
          <w:sz w:val="20"/>
          <w:szCs w:val="20"/>
          <w:color w:val="auto"/>
        </w:rPr>
      </w:pPr>
      <w:r>
        <w:rPr>
          <w:rFonts w:ascii="Times New Roman" w:cs="Times New Roman" w:eastAsia="Times New Roman" w:hAnsi="Times New Roman"/>
          <w:sz w:val="18"/>
          <w:szCs w:val="18"/>
          <w:color w:val="auto"/>
        </w:rPr>
        <w:t>It is the Company’s policy to comply with all insider trading laws, rules and regulations of the United States, as well as, if applicable, those of any other country or jurisdiction such as Israel.</w:t>
      </w:r>
    </w:p>
    <w:p>
      <w:pPr>
        <w:spacing w:after="0" w:line="158" w:lineRule="exact"/>
        <w:rPr>
          <w:sz w:val="20"/>
          <w:szCs w:val="20"/>
          <w:color w:val="auto"/>
        </w:rPr>
      </w:pPr>
    </w:p>
    <w:p>
      <w:pPr>
        <w:ind w:left="860" w:hanging="651"/>
        <w:spacing w:after="0"/>
        <w:tabs>
          <w:tab w:leader="none" w:pos="8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Responsibility</w:t>
      </w:r>
    </w:p>
    <w:p>
      <w:pPr>
        <w:spacing w:after="0" w:line="229"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Restricted Persons may create, use or have access to material information about the Company that is not generally available to the public (such information is referred to collectively in this Insider Trading and Blackout Policy as “material non-public information,” as explained in more detail below). Each Restricted Person has an important disciplinary, ethical and legal obligation to maintain the confidentiality of such information and not to engage in any transactions in the Company’s securities while in possession of material non-public information of the Company. Each Restricted Person and the Company may be subject to severe civil and criminal penalties as a result of unauthorized disclosure of material nonpublic information of the Company or trading in the Company’s securities while in possession of material non-public information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20" w:name="page121"/>
    <w:bookmarkEnd w:id="120"/>
    <w:p>
      <w:pPr>
        <w:ind w:left="860" w:hanging="651"/>
        <w:spacing w:after="0"/>
        <w:tabs>
          <w:tab w:leader="none" w:pos="8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Guidelines</w:t>
      </w:r>
    </w:p>
    <w:p>
      <w:pPr>
        <w:spacing w:after="0" w:line="225" w:lineRule="exact"/>
        <w:rPr>
          <w:rFonts w:ascii="Times New Roman" w:cs="Times New Roman" w:eastAsia="Times New Roman" w:hAnsi="Times New Roman"/>
          <w:sz w:val="18"/>
          <w:szCs w:val="18"/>
          <w:b w:val="1"/>
          <w:bCs w:val="1"/>
          <w:color w:val="auto"/>
        </w:rPr>
      </w:pPr>
    </w:p>
    <w:p>
      <w:pPr>
        <w:ind w:left="1500" w:hanging="643"/>
        <w:spacing w:after="0"/>
        <w:tabs>
          <w:tab w:leader="none" w:pos="150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Prohibition. </w:t>
      </w:r>
      <w:r>
        <w:rPr>
          <w:rFonts w:ascii="Times New Roman" w:cs="Times New Roman" w:eastAsia="Times New Roman" w:hAnsi="Times New Roman"/>
          <w:sz w:val="18"/>
          <w:szCs w:val="18"/>
          <w:color w:val="auto"/>
        </w:rPr>
        <w:t>Every Restricted Person who is aware of material non-public information is prohibited</w:t>
      </w:r>
    </w:p>
    <w:p>
      <w:pPr>
        <w:spacing w:after="0" w:line="31"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w:t>
      </w:r>
    </w:p>
    <w:p>
      <w:pPr>
        <w:spacing w:after="0" w:line="207" w:lineRule="exact"/>
        <w:rPr>
          <w:sz w:val="20"/>
          <w:szCs w:val="20"/>
          <w:color w:val="auto"/>
        </w:rPr>
      </w:pPr>
    </w:p>
    <w:p>
      <w:pPr>
        <w:ind w:left="1500" w:hanging="643"/>
        <w:spacing w:after="0"/>
        <w:tabs>
          <w:tab w:leader="none" w:pos="1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the Company’s securities;</w:t>
      </w:r>
    </w:p>
    <w:p>
      <w:pPr>
        <w:spacing w:after="0" w:line="225" w:lineRule="exact"/>
        <w:rPr>
          <w:rFonts w:ascii="Times New Roman" w:cs="Times New Roman" w:eastAsia="Times New Roman" w:hAnsi="Times New Roman"/>
          <w:sz w:val="18"/>
          <w:szCs w:val="18"/>
          <w:color w:val="auto"/>
        </w:rPr>
      </w:pPr>
    </w:p>
    <w:p>
      <w:pPr>
        <w:jc w:val="both"/>
        <w:ind w:left="1500" w:right="239" w:hanging="643"/>
        <w:spacing w:after="0" w:line="258" w:lineRule="auto"/>
        <w:tabs>
          <w:tab w:leader="none" w:pos="1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such material non-public information, to third parties other than those who need to know such information in connection with doing business with or for the Company, as authorized by the Company;</w:t>
      </w:r>
    </w:p>
    <w:p>
      <w:pPr>
        <w:spacing w:after="0" w:line="196"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purchase or sale of the Company’s securities; and</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anyone engaged in any of the above activities.</w:t>
      </w:r>
    </w:p>
    <w:p>
      <w:pPr>
        <w:spacing w:after="0" w:line="225"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This prohibition, as well as the other prohibitions set forth in this Insider Trading and Blackout Policy, also applies to information about, and to the trading of securities of, other companies (e.g., commercialization partners, collaborators, customers or suppliers) with which the Company has a relationship until such information becomes public or is no longer material. If your work regularly involves handling or discussing confidential information of one of our commercialization partners, collaborators, customers or suppliers, you should consult with the Compliance Officer before trading in any of that company’s securities.</w:t>
      </w:r>
    </w:p>
    <w:p>
      <w:pPr>
        <w:spacing w:after="0" w:line="189"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This Insider Trading and Blackout Policy does not usually apply to the exercise of employee stock options (without a subsequent market sale). However, it does apply to the sale of securities of the Company as part of a broker-assisted cashless exercise of an option, or any other market sale for the purpose of generating the cash needed to pay the exercise price of an option. It similarly applies to the delivery of outstanding Company securities to pay the exercise price of an option or other derivative security (if otherwise permitted). However, it does not apply to sales of the Company securities by the Company upon the vesting of restricted stock or restricted stock units to satisfy tax withholding requirements per the terms of your award agreements, if applicable.</w:t>
      </w:r>
    </w:p>
    <w:p>
      <w:pPr>
        <w:spacing w:after="0" w:line="187"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This Insider Trading and Blackout Policy also applies to gifts, donations and other such transfers of the Company’s securities or other companies as set forth above.</w:t>
      </w:r>
    </w:p>
    <w:p>
      <w:pPr>
        <w:spacing w:after="0" w:line="162"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18"/>
          <w:szCs w:val="18"/>
          <w:color w:val="auto"/>
        </w:rPr>
        <w:t>There are no exceptions to this Insider Trading and Blackout Policy other than those described in Section III(7) and Section IV below. Engaging in transactions in the Company’s securities that are otherwise necessary for personal reasons, such as personal financial commitments, remains prohibited if you possess material non-public information of the Company.</w:t>
      </w:r>
    </w:p>
    <w:p>
      <w:pPr>
        <w:spacing w:after="0" w:line="183" w:lineRule="exact"/>
        <w:rPr>
          <w:sz w:val="20"/>
          <w:szCs w:val="20"/>
          <w:color w:val="auto"/>
        </w:rPr>
      </w:pPr>
    </w:p>
    <w:p>
      <w:pPr>
        <w:jc w:val="both"/>
        <w:ind w:left="200" w:right="219" w:firstLine="657"/>
        <w:spacing w:after="0" w:line="254" w:lineRule="auto"/>
        <w:tabs>
          <w:tab w:leader="none" w:pos="1496"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Transactions by Family Members; Entities Controlled by You. </w:t>
      </w:r>
      <w:r>
        <w:rPr>
          <w:rFonts w:ascii="Times New Roman" w:cs="Times New Roman" w:eastAsia="Times New Roman" w:hAnsi="Times New Roman"/>
          <w:sz w:val="18"/>
          <w:szCs w:val="18"/>
          <w:color w:val="auto"/>
        </w:rPr>
        <w:t>The prohibitions outlined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and Blackout Policy also apply to any “family members” who reside with you, anyone else who lives in your household and any other family member whose transactions in the Company’s securities are directed by you or subject to your influence or control and any entities under your control. “Family Members” includes your spouse, any child, stepchild, grandchild, parent, stepparent, grandparent, sibling, mother or father-in-law, son or daughter-in-law, or brother or sister-in-law (as well as other adoptive relationships) with whom you share a household.</w:t>
      </w:r>
    </w:p>
    <w:p>
      <w:pPr>
        <w:spacing w:after="0" w:line="188"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 xml:space="preserve">The prohibitions similarly apply to (a) all trusts, family partnerships and other types of entities formed for your benefit or for the benefit of a member of your family and over which you have the ability to influence or direct investment decisions concerning securities; (b) all persons who execute trades on your behalf; and (c) 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prohibitions outlined in this Insider Trading and Blackout Policy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1" w:name="page122"/>
    <w:bookmarkEnd w:id="121"/>
    <w:p>
      <w:pPr>
        <w:ind w:left="200" w:right="239"/>
        <w:spacing w:after="0" w:line="282" w:lineRule="auto"/>
        <w:rPr>
          <w:sz w:val="20"/>
          <w:szCs w:val="20"/>
          <w:color w:val="auto"/>
        </w:rPr>
      </w:pPr>
      <w:r>
        <w:rPr>
          <w:rFonts w:ascii="Times New Roman" w:cs="Times New Roman" w:eastAsia="Times New Roman" w:hAnsi="Times New Roman"/>
          <w:sz w:val="18"/>
          <w:szCs w:val="18"/>
          <w:color w:val="auto"/>
        </w:rPr>
        <w:t>The Company will hold you responsible for the conduct of your family members, anyone who lives in your household and any entities under your control, as described above.</w:t>
      </w:r>
    </w:p>
    <w:p>
      <w:pPr>
        <w:spacing w:after="0" w:line="158" w:lineRule="exact"/>
        <w:rPr>
          <w:sz w:val="20"/>
          <w:szCs w:val="20"/>
          <w:color w:val="auto"/>
        </w:rPr>
      </w:pPr>
    </w:p>
    <w:p>
      <w:pPr>
        <w:jc w:val="both"/>
        <w:ind w:left="200" w:right="219" w:firstLine="657"/>
        <w:spacing w:after="0" w:line="254" w:lineRule="auto"/>
        <w:tabs>
          <w:tab w:leader="none" w:pos="1496"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Tipping Information to Others. </w:t>
      </w:r>
      <w:r>
        <w:rPr>
          <w:rFonts w:ascii="Times New Roman" w:cs="Times New Roman" w:eastAsia="Times New Roman" w:hAnsi="Times New Roman"/>
          <w:sz w:val="18"/>
          <w:szCs w:val="18"/>
          <w:color w:val="auto"/>
        </w:rPr>
        <w:t>You may not disclose any material non-public information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others, including your family members, friends or social acquaintances. This prohibition applies whether or not you receive any benefit from the other person’s use of that information.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has imposed large civil and criminal penalties on the person providing the tip, the individual receiving the tip (the “</w:t>
      </w:r>
      <w:r>
        <w:rPr>
          <w:rFonts w:ascii="Times New Roman" w:cs="Times New Roman" w:eastAsia="Times New Roman" w:hAnsi="Times New Roman"/>
          <w:sz w:val="18"/>
          <w:szCs w:val="18"/>
          <w:u w:val="single" w:color="auto"/>
          <w:color w:val="auto"/>
        </w:rPr>
        <w:t>tippee</w:t>
      </w:r>
      <w:r>
        <w:rPr>
          <w:rFonts w:ascii="Times New Roman" w:cs="Times New Roman" w:eastAsia="Times New Roman" w:hAnsi="Times New Roman"/>
          <w:sz w:val="18"/>
          <w:szCs w:val="18"/>
          <w:color w:val="auto"/>
        </w:rPr>
        <w:t>”) and all those to whom the tippee, in turn, gives the information, even when the disclosing person did not profit from the trading.</w:t>
      </w:r>
    </w:p>
    <w:p>
      <w:pPr>
        <w:spacing w:after="0" w:line="188"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When dealing with professionals involved in the securities or capital markets (such as stock brokers, analysts, investment advisors, portfolio managers, etc.), you should exercise heightened care not to disclose material non-public information due to the nature of their business.</w:t>
      </w:r>
    </w:p>
    <w:p>
      <w:pPr>
        <w:spacing w:after="0" w:line="158" w:lineRule="exact"/>
        <w:rPr>
          <w:sz w:val="20"/>
          <w:szCs w:val="20"/>
          <w:color w:val="auto"/>
        </w:rPr>
      </w:pPr>
    </w:p>
    <w:p>
      <w:pPr>
        <w:ind w:left="1500" w:hanging="643"/>
        <w:spacing w:after="0"/>
        <w:tabs>
          <w:tab w:leader="none" w:pos="15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Non-Public Information.</w:t>
      </w:r>
    </w:p>
    <w:p>
      <w:pPr>
        <w:spacing w:after="0" w:line="227"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i w:val="1"/>
          <w:iCs w:val="1"/>
          <w:color w:val="auto"/>
        </w:rPr>
        <w:t>Material Information</w:t>
      </w:r>
      <w:r>
        <w:rPr>
          <w:rFonts w:ascii="Times New Roman" w:cs="Times New Roman" w:eastAsia="Times New Roman" w:hAnsi="Times New Roman"/>
          <w:sz w:val="18"/>
          <w:szCs w:val="18"/>
          <w:color w:val="auto"/>
        </w:rPr>
        <w:t>. Information is considered “material” if a reasonable investor would likely consider it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making a decision to purchase, hold or sell the Company’s securities. In addition, any information that could affect the market for the Company’s securities is material. It is important to keep in mind that material information need not be certain or definitive information. Even information concerning events, actions, results, etc. that may happen can be considered material under certain circumstances. Examples of material changes are listed below.</w:t>
      </w:r>
    </w:p>
    <w:p>
      <w:pPr>
        <w:spacing w:after="0" w:line="183"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i w:val="1"/>
          <w:iCs w:val="1"/>
          <w:color w:val="auto"/>
        </w:rPr>
        <w:t>Non-public Information</w:t>
      </w:r>
      <w:r>
        <w:rPr>
          <w:rFonts w:ascii="Times New Roman" w:cs="Times New Roman" w:eastAsia="Times New Roman" w:hAnsi="Times New Roman"/>
          <w:sz w:val="18"/>
          <w:szCs w:val="18"/>
          <w:color w:val="auto"/>
        </w:rPr>
        <w:t>. Non-public information is any information that has not been disclosed generally to the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by press release or in the Company’s periodic reports filed with the SEC is necessary to make the information public. However, even after the Company has released information to the public, you should generally allow at least one full trading day (that is, days on which the NYSE American, the other national stock exchanges and Nasdaq are open for trading) for the investing public to absorb and evaluate the information before you trade in the Company’s securities.</w:t>
      </w:r>
    </w:p>
    <w:p>
      <w:pPr>
        <w:spacing w:after="0" w:line="186" w:lineRule="exact"/>
        <w:rPr>
          <w:sz w:val="20"/>
          <w:szCs w:val="20"/>
          <w:color w:val="auto"/>
        </w:rPr>
      </w:pPr>
    </w:p>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Although it is not possible to list all types of material information, the following are a few examples of information that is particularly sensitive and should be treated as material:</w:t>
      </w:r>
    </w:p>
    <w:p>
      <w:pPr>
        <w:sectPr>
          <w:pgSz w:w="11900" w:h="16838" w:orient="portrait"/>
          <w:cols w:equalWidth="0" w:num="1">
            <w:col w:w="9019"/>
          </w:cols>
          <w:pgMar w:left="1440" w:top="121" w:right="1440" w:bottom="1440" w:gutter="0" w:footer="0" w:header="0"/>
        </w:sectPr>
      </w:pPr>
    </w:p>
    <w:p>
      <w:pPr>
        <w:spacing w:after="0" w:line="148" w:lineRule="exact"/>
        <w:rPr>
          <w:sz w:val="20"/>
          <w:szCs w:val="20"/>
          <w:color w:val="auto"/>
        </w:rPr>
      </w:pPr>
    </w:p>
    <w:p>
      <w:pPr>
        <w:ind w:left="860" w:hanging="651"/>
        <w:spacing w:after="0"/>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or annual financial results;</w:t>
      </w:r>
    </w:p>
    <w:p>
      <w:pPr>
        <w:spacing w:after="0" w:line="27" w:lineRule="exact"/>
        <w:rPr>
          <w:rFonts w:ascii="Times New Roman" w:cs="Times New Roman" w:eastAsia="Times New Roman" w:hAnsi="Times New Roman"/>
          <w:sz w:val="18"/>
          <w:szCs w:val="18"/>
          <w:color w:val="auto"/>
        </w:rPr>
      </w:pPr>
    </w:p>
    <w:p>
      <w:pPr>
        <w:ind w:left="860" w:hanging="651"/>
        <w:spacing w:after="0"/>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9" w:lineRule="exact"/>
        <w:rPr>
          <w:rFonts w:ascii="Times New Roman" w:cs="Times New Roman" w:eastAsia="Times New Roman" w:hAnsi="Times New Roman"/>
          <w:sz w:val="18"/>
          <w:szCs w:val="18"/>
          <w:color w:val="auto"/>
        </w:rPr>
      </w:pPr>
    </w:p>
    <w:p>
      <w:pPr>
        <w:ind w:left="860" w:hanging="651"/>
        <w:spacing w:after="0" w:line="250" w:lineRule="auto"/>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contracts and technology licenses or any amendments or terminations thereof;</w:t>
      </w:r>
    </w:p>
    <w:p>
      <w:pPr>
        <w:ind w:left="860" w:hanging="651"/>
        <w:spacing w:after="0"/>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actions by regulatory bodies;</w:t>
      </w:r>
    </w:p>
    <w:p>
      <w:pPr>
        <w:spacing w:after="0" w:line="9" w:lineRule="exact"/>
        <w:rPr>
          <w:rFonts w:ascii="Times New Roman" w:cs="Times New Roman" w:eastAsia="Times New Roman" w:hAnsi="Times New Roman"/>
          <w:sz w:val="18"/>
          <w:szCs w:val="18"/>
          <w:color w:val="auto"/>
        </w:rPr>
      </w:pPr>
    </w:p>
    <w:p>
      <w:pPr>
        <w:ind w:left="860" w:hanging="651"/>
        <w:spacing w:after="0" w:line="250" w:lineRule="auto"/>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mergers, acquisitions or joint ventures;</w:t>
      </w:r>
    </w:p>
    <w:p>
      <w:pPr>
        <w:ind w:left="860" w:hanging="651"/>
        <w:spacing w:after="0" w:line="250" w:lineRule="auto"/>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jc w:val="both"/>
        <w:ind w:left="860" w:hanging="651"/>
        <w:spacing w:after="0" w:line="247" w:lineRule="auto"/>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regarding the products, platform, customers, partners, contracts or financing sources (e.g., the acquisition or loss of a contract);</w:t>
      </w:r>
    </w:p>
    <w:p>
      <w:pPr>
        <w:ind w:left="900" w:hanging="691"/>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w:t>
      </w:r>
    </w:p>
    <w:p>
      <w:pPr>
        <w:spacing w:after="0" w:line="7" w:lineRule="exact"/>
        <w:rPr>
          <w:rFonts w:ascii="Times New Roman" w:cs="Times New Roman" w:eastAsia="Times New Roman" w:hAnsi="Times New Roman"/>
          <w:sz w:val="18"/>
          <w:szCs w:val="18"/>
          <w:color w:val="auto"/>
        </w:rPr>
      </w:pPr>
    </w:p>
    <w:p>
      <w:pPr>
        <w:ind w:left="860" w:hanging="651"/>
        <w:spacing w:after="0" w:line="250" w:lineRule="auto"/>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 or decrease in financial results;</w:t>
      </w:r>
    </w:p>
    <w:p>
      <w:pPr>
        <w:ind w:left="860" w:hanging="651"/>
        <w:spacing w:after="0"/>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liquidity problems;</w:t>
      </w:r>
    </w:p>
    <w:p>
      <w:pPr>
        <w:spacing w:after="0" w:line="9" w:lineRule="exact"/>
        <w:rPr>
          <w:rFonts w:ascii="Times New Roman" w:cs="Times New Roman" w:eastAsia="Times New Roman" w:hAnsi="Times New Roman"/>
          <w:sz w:val="18"/>
          <w:szCs w:val="18"/>
          <w:color w:val="auto"/>
        </w:rPr>
      </w:pPr>
    </w:p>
    <w:p>
      <w:pPr>
        <w:ind w:left="860" w:hanging="651"/>
        <w:spacing w:after="0"/>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on or delisting from a stock exchange;</w:t>
      </w:r>
    </w:p>
    <w:p>
      <w:pPr>
        <w:spacing w:after="0" w:line="9" w:lineRule="exact"/>
        <w:rPr>
          <w:rFonts w:ascii="Times New Roman" w:cs="Times New Roman" w:eastAsia="Times New Roman" w:hAnsi="Times New Roman"/>
          <w:sz w:val="18"/>
          <w:szCs w:val="18"/>
          <w:color w:val="auto"/>
        </w:rPr>
      </w:pPr>
    </w:p>
    <w:p>
      <w:pPr>
        <w:ind w:left="860" w:hanging="651"/>
        <w:spacing w:after="0"/>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w:t>
      </w:r>
    </w:p>
    <w:p>
      <w:pPr>
        <w:spacing w:after="0" w:line="9" w:lineRule="exact"/>
        <w:rPr>
          <w:rFonts w:ascii="Times New Roman" w:cs="Times New Roman" w:eastAsia="Times New Roman" w:hAnsi="Times New Roman"/>
          <w:sz w:val="18"/>
          <w:szCs w:val="18"/>
          <w:color w:val="auto"/>
        </w:rPr>
      </w:pPr>
    </w:p>
    <w:p>
      <w:pPr>
        <w:ind w:left="860" w:hanging="651"/>
        <w:spacing w:after="0"/>
        <w:tabs>
          <w:tab w:leader="none" w:pos="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major litigation;</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646" w:right="239" w:hanging="646"/>
        <w:spacing w:after="0" w:line="261" w:lineRule="auto"/>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obsolescence, of important products or services;</w:t>
      </w:r>
    </w:p>
    <w:p>
      <w:pPr>
        <w:ind w:left="646" w:hanging="646"/>
        <w:spacing w:after="0"/>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earnings or sales;</w:t>
      </w:r>
    </w:p>
    <w:p>
      <w:pPr>
        <w:spacing w:after="0" w:line="9" w:lineRule="exact"/>
        <w:rPr>
          <w:rFonts w:ascii="Times New Roman" w:cs="Times New Roman" w:eastAsia="Times New Roman" w:hAnsi="Times New Roman"/>
          <w:sz w:val="18"/>
          <w:szCs w:val="18"/>
          <w:color w:val="auto"/>
        </w:rPr>
      </w:pPr>
    </w:p>
    <w:p>
      <w:pPr>
        <w:ind w:left="646" w:hanging="646"/>
        <w:spacing w:after="0"/>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w:t>
      </w:r>
    </w:p>
    <w:p>
      <w:pPr>
        <w:spacing w:after="0" w:line="9" w:lineRule="exact"/>
        <w:rPr>
          <w:rFonts w:ascii="Times New Roman" w:cs="Times New Roman" w:eastAsia="Times New Roman" w:hAnsi="Times New Roman"/>
          <w:sz w:val="18"/>
          <w:szCs w:val="18"/>
          <w:color w:val="auto"/>
        </w:rPr>
      </w:pPr>
    </w:p>
    <w:p>
      <w:pPr>
        <w:ind w:left="646" w:right="239" w:hanging="646"/>
        <w:spacing w:after="0" w:line="250" w:lineRule="auto"/>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additional securities, borrowings or other financial transactions;</w:t>
      </w:r>
    </w:p>
    <w:p>
      <w:pPr>
        <w:ind w:left="646" w:hanging="646"/>
        <w:spacing w:after="0"/>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dividend payments;</w:t>
      </w:r>
    </w:p>
    <w:p>
      <w:pPr>
        <w:spacing w:after="0" w:line="9" w:lineRule="exact"/>
        <w:rPr>
          <w:rFonts w:ascii="Times New Roman" w:cs="Times New Roman" w:eastAsia="Times New Roman" w:hAnsi="Times New Roman"/>
          <w:sz w:val="18"/>
          <w:szCs w:val="18"/>
          <w:color w:val="auto"/>
        </w:rPr>
      </w:pPr>
    </w:p>
    <w:p>
      <w:pPr>
        <w:ind w:left="646" w:hanging="646"/>
        <w:spacing w:after="0"/>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gains or losses in major operations;</w:t>
      </w:r>
    </w:p>
    <w:p>
      <w:pPr>
        <w:spacing w:after="0" w:line="9" w:lineRule="exact"/>
        <w:rPr>
          <w:rFonts w:ascii="Times New Roman" w:cs="Times New Roman" w:eastAsia="Times New Roman" w:hAnsi="Times New Roman"/>
          <w:sz w:val="18"/>
          <w:szCs w:val="18"/>
          <w:color w:val="auto"/>
        </w:rPr>
      </w:pPr>
    </w:p>
    <w:p>
      <w:pPr>
        <w:ind w:left="646" w:hanging="646"/>
        <w:spacing w:after="0"/>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or securities offerings;</w:t>
      </w:r>
    </w:p>
    <w:p>
      <w:pPr>
        <w:spacing w:after="0" w:line="9" w:lineRule="exact"/>
        <w:rPr>
          <w:rFonts w:ascii="Times New Roman" w:cs="Times New Roman" w:eastAsia="Times New Roman" w:hAnsi="Times New Roman"/>
          <w:sz w:val="18"/>
          <w:szCs w:val="18"/>
          <w:color w:val="auto"/>
        </w:rPr>
      </w:pPr>
    </w:p>
    <w:p>
      <w:pPr>
        <w:ind w:left="646" w:right="239" w:hanging="646"/>
        <w:spacing w:after="0" w:line="250" w:lineRule="auto"/>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sales by the Company of a significant amount of securities;</w:t>
      </w:r>
    </w:p>
    <w:p>
      <w:pPr>
        <w:ind w:left="646" w:right="239" w:hanging="646"/>
        <w:spacing w:after="0" w:line="250" w:lineRule="auto"/>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data security breaches or other cybersecurity issues;</w:t>
      </w:r>
    </w:p>
    <w:p>
      <w:pPr>
        <w:ind w:left="646" w:hanging="646"/>
        <w:spacing w:after="0"/>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sale of a significant asset;</w:t>
      </w:r>
    </w:p>
    <w:p>
      <w:pPr>
        <w:spacing w:after="0" w:line="9" w:lineRule="exact"/>
        <w:rPr>
          <w:rFonts w:ascii="Times New Roman" w:cs="Times New Roman" w:eastAsia="Times New Roman" w:hAnsi="Times New Roman"/>
          <w:sz w:val="18"/>
          <w:szCs w:val="18"/>
          <w:color w:val="auto"/>
        </w:rPr>
      </w:pPr>
    </w:p>
    <w:p>
      <w:pPr>
        <w:ind w:left="646" w:hanging="646"/>
        <w:spacing w:after="0"/>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and</w:t>
      </w:r>
    </w:p>
    <w:p>
      <w:pPr>
        <w:spacing w:after="0" w:line="9" w:lineRule="exact"/>
        <w:rPr>
          <w:rFonts w:ascii="Times New Roman" w:cs="Times New Roman" w:eastAsia="Times New Roman" w:hAnsi="Times New Roman"/>
          <w:sz w:val="18"/>
          <w:szCs w:val="18"/>
          <w:color w:val="auto"/>
        </w:rPr>
      </w:pPr>
    </w:p>
    <w:p>
      <w:pPr>
        <w:ind w:left="646" w:right="239" w:hanging="646"/>
        <w:spacing w:after="0" w:line="260" w:lineRule="auto"/>
        <w:tabs>
          <w:tab w:leader="none" w:pos="6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repurchase program for the Company’s securities.</w:t>
      </w:r>
    </w:p>
    <w:p>
      <w:pPr>
        <w:spacing w:after="0" w:line="809" w:lineRule="exact"/>
        <w:rPr>
          <w:sz w:val="20"/>
          <w:szCs w:val="20"/>
          <w:color w:val="auto"/>
        </w:rPr>
      </w:pPr>
    </w:p>
    <w:p>
      <w:pPr>
        <w:sectPr>
          <w:pgSz w:w="11900" w:h="16838" w:orient="portrait"/>
          <w:cols w:equalWidth="0" w:num="2">
            <w:col w:w="4160" w:space="674"/>
            <w:col w:w="4185"/>
          </w:cols>
          <w:pgMar w:left="1440" w:top="121" w:right="1440" w:bottom="1440" w:gutter="0" w:footer="0" w:header="0"/>
          <w:type w:val="continuous"/>
        </w:sectPr>
      </w:pPr>
    </w:p>
    <w:p>
      <w:pPr>
        <w:spacing w:after="0" w:line="47" w:lineRule="exact"/>
        <w:rPr>
          <w:sz w:val="20"/>
          <w:szCs w:val="20"/>
          <w:color w:val="auto"/>
        </w:rPr>
      </w:pPr>
    </w:p>
    <w:p>
      <w:pPr>
        <w:ind w:left="200" w:right="219"/>
        <w:spacing w:after="0" w:line="282" w:lineRule="auto"/>
        <w:rPr>
          <w:sz w:val="20"/>
          <w:szCs w:val="20"/>
          <w:color w:val="auto"/>
        </w:rPr>
      </w:pPr>
      <w:r>
        <w:rPr>
          <w:rFonts w:ascii="Times New Roman" w:cs="Times New Roman" w:eastAsia="Times New Roman" w:hAnsi="Times New Roman"/>
          <w:sz w:val="18"/>
          <w:szCs w:val="18"/>
          <w:color w:val="auto"/>
        </w:rPr>
        <w:t>The items set forth in the above are examples only and should not be understood to be a determination that the matter is absolutely material. Rather, such items should be considered on a case-by-case basis giving effect to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22" w:name="page123"/>
    <w:bookmarkEnd w:id="122"/>
    <w:p>
      <w:pPr>
        <w:ind w:left="200" w:right="239"/>
        <w:spacing w:after="0" w:line="282" w:lineRule="auto"/>
        <w:rPr>
          <w:sz w:val="20"/>
          <w:szCs w:val="20"/>
          <w:color w:val="auto"/>
        </w:rPr>
      </w:pPr>
      <w:r>
        <w:rPr>
          <w:rFonts w:ascii="Times New Roman" w:cs="Times New Roman" w:eastAsia="Times New Roman" w:hAnsi="Times New Roman"/>
          <w:sz w:val="18"/>
          <w:szCs w:val="18"/>
          <w:color w:val="auto"/>
        </w:rPr>
        <w:t>circumstances. That being said, if it is unclear if any particular information is material, you should assume that it is and confer with the Compliance Officer.</w:t>
      </w:r>
    </w:p>
    <w:p>
      <w:pPr>
        <w:spacing w:after="0" w:line="162" w:lineRule="exact"/>
        <w:rPr>
          <w:sz w:val="20"/>
          <w:szCs w:val="20"/>
          <w:color w:val="auto"/>
        </w:rPr>
      </w:pPr>
    </w:p>
    <w:p>
      <w:pPr>
        <w:ind w:left="200" w:right="219"/>
        <w:spacing w:after="0" w:line="282" w:lineRule="auto"/>
        <w:rPr>
          <w:sz w:val="20"/>
          <w:szCs w:val="20"/>
          <w:color w:val="auto"/>
        </w:rPr>
      </w:pPr>
      <w:r>
        <w:rPr>
          <w:rFonts w:ascii="Times New Roman" w:cs="Times New Roman" w:eastAsia="Times New Roman" w:hAnsi="Times New Roman"/>
          <w:sz w:val="18"/>
          <w:szCs w:val="18"/>
          <w:color w:val="auto"/>
        </w:rPr>
        <w:t>If you have any question as to whether particular information is material or non-public, you should not trade or communicate the information to anyone without prior approval by the Compliance Officer.</w:t>
      </w:r>
    </w:p>
    <w:p>
      <w:pPr>
        <w:spacing w:after="0" w:line="144" w:lineRule="exact"/>
        <w:rPr>
          <w:sz w:val="20"/>
          <w:szCs w:val="20"/>
          <w:color w:val="auto"/>
        </w:rPr>
      </w:pPr>
    </w:p>
    <w:p>
      <w:pPr>
        <w:jc w:val="both"/>
        <w:ind w:left="200" w:right="219" w:firstLine="738"/>
        <w:spacing w:after="0" w:line="257" w:lineRule="auto"/>
        <w:tabs>
          <w:tab w:leader="none" w:pos="1496"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Inadvertent Disclosure. </w:t>
      </w:r>
      <w:r>
        <w:rPr>
          <w:rFonts w:ascii="Times New Roman" w:cs="Times New Roman" w:eastAsia="Times New Roman" w:hAnsi="Times New Roman"/>
          <w:sz w:val="18"/>
          <w:szCs w:val="18"/>
          <w:color w:val="auto"/>
        </w:rPr>
        <w:t>If material non-public information is inadvertently disclosed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Person to a person outside the Company who is not obligated to keep the information confidential, you should immediately report all the facts to the Compliance Officer, or such other individual designated by the Company so that the Company may take appropriate remedial action. As noted in the Company’s Fair Disclosure Policy, under the SEC’s rules, the Company generally has only 24 hours after learning of an inadvertent disclosure of material non-public information to publicly disclose such information, if necessary.</w:t>
      </w:r>
    </w:p>
    <w:p>
      <w:pPr>
        <w:spacing w:after="0" w:line="182" w:lineRule="exact"/>
        <w:rPr>
          <w:rFonts w:ascii="Times New Roman" w:cs="Times New Roman" w:eastAsia="Times New Roman" w:hAnsi="Times New Roman"/>
          <w:sz w:val="18"/>
          <w:szCs w:val="18"/>
          <w:b w:val="1"/>
          <w:bCs w:val="1"/>
          <w:color w:val="auto"/>
        </w:rPr>
      </w:pPr>
    </w:p>
    <w:p>
      <w:pPr>
        <w:jc w:val="both"/>
        <w:ind w:left="200" w:right="219" w:firstLine="657"/>
        <w:spacing w:after="0" w:line="255" w:lineRule="auto"/>
        <w:tabs>
          <w:tab w:leader="none" w:pos="1496"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Short-term, Speculative Transactions. </w:t>
      </w:r>
      <w:r>
        <w:rPr>
          <w:rFonts w:ascii="Times New Roman" w:cs="Times New Roman" w:eastAsia="Times New Roman" w:hAnsi="Times New Roman"/>
          <w:sz w:val="18"/>
          <w:szCs w:val="18"/>
          <w:color w:val="auto"/>
        </w:rPr>
        <w:t>The Company has determined that there is a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likelihood for the appearance of improper conduct by Restricted Persons when they engage in short-term or speculative securities transactions. Therefore, </w:t>
      </w:r>
      <w:r>
        <w:rPr>
          <w:rFonts w:ascii="Times New Roman" w:cs="Times New Roman" w:eastAsia="Times New Roman" w:hAnsi="Times New Roman"/>
          <w:sz w:val="18"/>
          <w:szCs w:val="18"/>
          <w:b w:val="1"/>
          <w:bCs w:val="1"/>
          <w:color w:val="auto"/>
        </w:rPr>
        <w:t>Restricted Persons are prohibited from engaging in any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following activities involving the Company’s securities</w:t>
      </w:r>
      <w:r>
        <w:rPr>
          <w:rFonts w:ascii="Times New Roman" w:cs="Times New Roman" w:eastAsia="Times New Roman" w:hAnsi="Times New Roman"/>
          <w:sz w:val="18"/>
          <w:szCs w:val="18"/>
          <w:color w:val="auto"/>
        </w:rPr>
        <w:t>, except with the prior written consent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Officer:</w:t>
      </w:r>
    </w:p>
    <w:p>
      <w:pPr>
        <w:spacing w:after="0" w:line="187" w:lineRule="exact"/>
        <w:rPr>
          <w:sz w:val="20"/>
          <w:szCs w:val="20"/>
          <w:color w:val="auto"/>
        </w:rPr>
      </w:pPr>
    </w:p>
    <w:p>
      <w:pPr>
        <w:ind w:left="1500" w:right="239" w:hanging="643"/>
        <w:spacing w:after="0" w:line="282" w:lineRule="auto"/>
        <w:tabs>
          <w:tab w:leader="none" w:pos="1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the Company’s securities on margin or borrow against the Company’s securities held in a margin account;</w:t>
      </w:r>
    </w:p>
    <w:p>
      <w:pPr>
        <w:spacing w:after="0" w:line="161"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Company securities as collateral;</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225" w:lineRule="exact"/>
        <w:rPr>
          <w:rFonts w:ascii="Times New Roman" w:cs="Times New Roman" w:eastAsia="Times New Roman" w:hAnsi="Times New Roman"/>
          <w:sz w:val="18"/>
          <w:szCs w:val="18"/>
          <w:color w:val="auto"/>
        </w:rPr>
      </w:pPr>
    </w:p>
    <w:p>
      <w:pPr>
        <w:ind w:left="1540" w:hanging="683"/>
        <w:spacing w:after="0"/>
        <w:tabs>
          <w:tab w:leader="none" w:pos="1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puts or calls in connection with the Company’s securities;</w:t>
      </w:r>
    </w:p>
    <w:p>
      <w:pPr>
        <w:spacing w:after="0" w:line="225"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derivative transactions relating to the Company’s securities (e.g., exchange traded options, etc.); and</w:t>
      </w:r>
    </w:p>
    <w:p>
      <w:pPr>
        <w:spacing w:after="0" w:line="161"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other hedging transactions related to the Company’s securities.</w:t>
      </w:r>
    </w:p>
    <w:p>
      <w:pPr>
        <w:spacing w:after="0" w:line="221" w:lineRule="exact"/>
        <w:rPr>
          <w:sz w:val="20"/>
          <w:szCs w:val="20"/>
          <w:color w:val="auto"/>
        </w:rPr>
      </w:pPr>
    </w:p>
    <w:p>
      <w:pPr>
        <w:jc w:val="both"/>
        <w:ind w:left="200" w:right="219" w:firstLine="657"/>
        <w:spacing w:after="0" w:line="257" w:lineRule="auto"/>
        <w:tabs>
          <w:tab w:leader="none" w:pos="1496"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Prohibition. </w:t>
      </w:r>
      <w:r>
        <w:rPr>
          <w:rFonts w:ascii="Times New Roman" w:cs="Times New Roman" w:eastAsia="Times New Roman" w:hAnsi="Times New Roman"/>
          <w:sz w:val="18"/>
          <w:szCs w:val="18"/>
          <w:color w:val="auto"/>
        </w:rPr>
        <w:t>From time to time, effective immediately upon notice or as otherwise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the Company may determine that other types of transactions, or all transactions, by Company personnel in the Company’s securities shall be prohibited or shall be permitted only with the prior written consent of the Compliance Officer.</w:t>
      </w:r>
    </w:p>
    <w:p>
      <w:pPr>
        <w:spacing w:after="0" w:line="179" w:lineRule="exact"/>
        <w:rPr>
          <w:rFonts w:ascii="Times New Roman" w:cs="Times New Roman" w:eastAsia="Times New Roman" w:hAnsi="Times New Roman"/>
          <w:sz w:val="18"/>
          <w:szCs w:val="18"/>
          <w:b w:val="1"/>
          <w:bCs w:val="1"/>
          <w:color w:val="auto"/>
        </w:rPr>
      </w:pPr>
    </w:p>
    <w:p>
      <w:pPr>
        <w:jc w:val="both"/>
        <w:ind w:left="200" w:right="219" w:firstLine="657"/>
        <w:spacing w:after="0" w:line="257" w:lineRule="auto"/>
        <w:tabs>
          <w:tab w:leader="none" w:pos="1496"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Approved Pre-Planned Trading Programs Pursuant to Rule 10b5-1. </w:t>
      </w:r>
      <w:r>
        <w:rPr>
          <w:rFonts w:ascii="Times New Roman" w:cs="Times New Roman" w:eastAsia="Times New Roman" w:hAnsi="Times New Roman"/>
          <w:sz w:val="18"/>
          <w:szCs w:val="18"/>
          <w:color w:val="auto"/>
        </w:rPr>
        <w:t>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guidelines contained herein, it shall not be a violation of this Insider Trading and Blackout Policy for Restricted Persons to purchase or sell securities of the Company under certain pre-planned trading programs adopted to purchase or sell securities in the future which are in compliance with Rule 10b5-1 under the U.S.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All pre-planned trading programs must be approved in advance, in writing, by the Compliance Officer and must meet all of the following minimum requirements:</w:t>
      </w:r>
    </w:p>
    <w:p>
      <w:pPr>
        <w:spacing w:after="0" w:line="173" w:lineRule="exact"/>
        <w:rPr>
          <w:sz w:val="20"/>
          <w:szCs w:val="20"/>
          <w:color w:val="auto"/>
        </w:rPr>
      </w:pPr>
    </w:p>
    <w:p>
      <w:pPr>
        <w:ind w:left="1500" w:hanging="643"/>
        <w:spacing w:after="0"/>
        <w:tabs>
          <w:tab w:leader="none" w:pos="15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program is in writing and is adopted outside a Blackout Period;</w:t>
      </w:r>
    </w:p>
    <w:p>
      <w:pPr>
        <w:spacing w:after="0" w:line="225" w:lineRule="exact"/>
        <w:rPr>
          <w:rFonts w:ascii="Times New Roman" w:cs="Times New Roman" w:eastAsia="Times New Roman" w:hAnsi="Times New Roman"/>
          <w:sz w:val="18"/>
          <w:szCs w:val="18"/>
          <w:color w:val="auto"/>
        </w:rPr>
      </w:pPr>
    </w:p>
    <w:p>
      <w:pPr>
        <w:jc w:val="both"/>
        <w:ind w:left="1500" w:right="219" w:hanging="643"/>
        <w:spacing w:after="0" w:line="255" w:lineRule="auto"/>
        <w:tabs>
          <w:tab w:leader="none" w:pos="15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who wishes to establish the trading program (a) does not, at the time of entering into the trading program, possess any material non-public information about the Company and (b) must enter into the trading program in good faith and not as part of a plan or scheme to evade the prohibitions of Rule 10b-5 (directors and officers must include a representation in the trading program certifying these conditions). However, the Company may be aware of material non-public information (that the individual is unaware of) that may make it imprudent for the Compliance Officer to approve the pre-planned trading program at that time;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3" w:name="page124"/>
    <w:bookmarkEnd w:id="123"/>
    <w:p>
      <w:pPr>
        <w:jc w:val="both"/>
        <w:ind w:left="1500" w:right="219" w:hanging="643"/>
        <w:spacing w:after="0" w:line="266"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program must be irrevocable, which means that no modifications or revocations are permitted, except outside a Blackout Period and at a time when the individual adopting the plan does not possess material non-public information about the Company;</w:t>
      </w:r>
    </w:p>
    <w:p>
      <w:pPr>
        <w:spacing w:after="0" w:line="17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program must include a “Cooling Off Period” under which no trade can commence until:</w:t>
      </w:r>
    </w:p>
    <w:p>
      <w:pPr>
        <w:spacing w:after="0" w:line="27" w:lineRule="exact"/>
        <w:rPr>
          <w:rFonts w:ascii="Times New Roman" w:cs="Times New Roman" w:eastAsia="Times New Roman" w:hAnsi="Times New Roman"/>
          <w:sz w:val="18"/>
          <w:szCs w:val="18"/>
          <w:color w:val="auto"/>
        </w:rPr>
      </w:pPr>
    </w:p>
    <w:p>
      <w:pPr>
        <w:jc w:val="both"/>
        <w:ind w:left="1500" w:right="219"/>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for the Company’s officers and directors, the later of (i) 90 days following adoption of the trading program and (ii) two business days following disclosure of the Company’s financial results in a Form 10-Q or Form 10-K for the quarter in which the trading program was adopted (up to a maximum of 120 days after adoption of the trading program); and (2) for non-officer employees, 30 days following adoption of the trading program;</w:t>
      </w:r>
    </w:p>
    <w:p>
      <w:pPr>
        <w:spacing w:after="0" w:line="190"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program must specify the amount of securities to be purchased or sold and the price at which and the date on which the securities are to be purchased or sold;</w:t>
      </w:r>
    </w:p>
    <w:p>
      <w:pPr>
        <w:spacing w:after="0" w:line="161" w:lineRule="exact"/>
        <w:rPr>
          <w:rFonts w:ascii="Times New Roman" w:cs="Times New Roman" w:eastAsia="Times New Roman" w:hAnsi="Times New Roman"/>
          <w:sz w:val="18"/>
          <w:szCs w:val="18"/>
          <w:color w:val="auto"/>
        </w:rPr>
      </w:pPr>
    </w:p>
    <w:p>
      <w:pPr>
        <w:jc w:val="both"/>
        <w:ind w:left="1500" w:right="219" w:hanging="643"/>
        <w:spacing w:after="0" w:line="266"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program must not permit the beneficiary of the program to exercise any subsequent influence over how, when, or whether to make purchases or sales (other than through a formal modification of the program in accordance with the terms and conditions hereof);</w:t>
      </w:r>
    </w:p>
    <w:p>
      <w:pPr>
        <w:spacing w:after="0" w:line="175" w:lineRule="exact"/>
        <w:rPr>
          <w:rFonts w:ascii="Times New Roman" w:cs="Times New Roman" w:eastAsia="Times New Roman" w:hAnsi="Times New Roman"/>
          <w:sz w:val="18"/>
          <w:szCs w:val="18"/>
          <w:color w:val="auto"/>
        </w:rPr>
      </w:pPr>
    </w:p>
    <w:p>
      <w:pPr>
        <w:jc w:val="both"/>
        <w:ind w:left="1500" w:right="239" w:hanging="643"/>
        <w:spacing w:after="0" w:line="266"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approved by the Compliance Officer in situations where having multiple trading programs in place at one time is permissible under the provisions Rule 10b5-1, the individual may have only one trading program in effect at any time; and</w:t>
      </w:r>
    </w:p>
    <w:p>
      <w:pPr>
        <w:spacing w:after="0" w:line="175" w:lineRule="exact"/>
        <w:rPr>
          <w:rFonts w:ascii="Times New Roman" w:cs="Times New Roman" w:eastAsia="Times New Roman" w:hAnsi="Times New Roman"/>
          <w:sz w:val="18"/>
          <w:szCs w:val="18"/>
          <w:color w:val="auto"/>
        </w:rPr>
      </w:pPr>
    </w:p>
    <w:p>
      <w:pPr>
        <w:jc w:val="both"/>
        <w:ind w:left="1500" w:right="219" w:hanging="643"/>
        <w:spacing w:after="0" w:line="261"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or change to the amount, price or timing of the purchase or sale of securities, or any cancellation of a trade, under a trading program will be deemed to be a termination of such trading program and will require compliance with these conditions as if the individual were adopting a new trading program.</w:t>
      </w:r>
    </w:p>
    <w:p>
      <w:pPr>
        <w:spacing w:after="0" w:line="166"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The Compliance Officer may impose such other conditions on the implementation and operation of the trading programs as he or she deems necessary or advisable.</w:t>
      </w:r>
    </w:p>
    <w:p>
      <w:pPr>
        <w:spacing w:after="0" w:line="162"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18"/>
          <w:szCs w:val="18"/>
          <w:color w:val="auto"/>
        </w:rPr>
        <w:t>Each Restricted Person understands that the approval or adoption of a pre-planned trading program in no way reduces or eliminates such person’s obligations under Section 16 of the Exchange Act, including such person’s disclosure and short-swing trading liabilities thereunder. If any questions arise, such person should consult with his or her own counsel in designing a pre-planned trading program.</w:t>
      </w:r>
    </w:p>
    <w:p>
      <w:pPr>
        <w:spacing w:after="0" w:line="187"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In addition to the foregoing, Restricted Persons are reminded that SEC rules and regulations require that the Company disclose quarterly the adoption or termination of a 10b5-1 Plan or a non-Rule 10b5-1 trading arrangement by executive officers and directors.</w:t>
      </w:r>
    </w:p>
    <w:p>
      <w:pPr>
        <w:spacing w:after="0" w:line="172" w:lineRule="exact"/>
        <w:rPr>
          <w:sz w:val="20"/>
          <w:szCs w:val="20"/>
          <w:color w:val="auto"/>
        </w:rPr>
      </w:pPr>
    </w:p>
    <w:p>
      <w:pPr>
        <w:jc w:val="both"/>
        <w:ind w:left="200" w:right="219" w:firstLine="657"/>
        <w:spacing w:after="0" w:line="257" w:lineRule="auto"/>
        <w:tabs>
          <w:tab w:leader="none" w:pos="1496"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Confidentiality Guidelines. </w:t>
      </w:r>
      <w:r>
        <w:rPr>
          <w:rFonts w:ascii="Times New Roman" w:cs="Times New Roman" w:eastAsia="Times New Roman" w:hAnsi="Times New Roman"/>
          <w:sz w:val="18"/>
          <w:szCs w:val="18"/>
          <w:color w:val="auto"/>
        </w:rPr>
        <w:t>To provide more effective protection against the inadvertent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material non-public information about the Company or the companies with which it does business, the Company has adopted the following guidelines in addition to the prohibition in paragraph 3 above. These guidelines are not intended to be exhaustive.</w:t>
      </w:r>
    </w:p>
    <w:p>
      <w:pPr>
        <w:spacing w:after="0" w:line="184"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Additional measures to secure the confidentiality of information should be undertaken as deemed necessary under the circumstances. If you have any doubt as to your responsibilities with respect to confidential information, please seek clarification and guidance from the Compliance Officer before you act. Do not try to resolve any uncertainties on your own.</w:t>
      </w:r>
    </w:p>
    <w:p>
      <w:pPr>
        <w:spacing w:after="0" w:line="180"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The following guidelines establish procedures with which every Restricted Person must comply in order to maximize the security of confidential information:</w:t>
      </w:r>
    </w:p>
    <w:p>
      <w:pPr>
        <w:spacing w:after="0" w:line="176" w:lineRule="exact"/>
        <w:rPr>
          <w:sz w:val="20"/>
          <w:szCs w:val="20"/>
          <w:color w:val="auto"/>
        </w:rPr>
      </w:pPr>
    </w:p>
    <w:p>
      <w:pPr>
        <w:ind w:left="1500" w:right="239" w:hanging="643"/>
        <w:spacing w:after="0" w:line="282" w:lineRule="auto"/>
        <w:tabs>
          <w:tab w:leader="none" w:pos="1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discuss any Company matter in public places, such as elevators, hallways, restrooms or eating facilities, where conversations might be overheard.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4" w:name="page125"/>
    <w:bookmarkEnd w:id="124"/>
    <w:p>
      <w:pPr>
        <w:ind w:left="1500" w:right="219" w:hanging="643"/>
        <w:spacing w:after="0" w:line="282" w:lineRule="auto"/>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discussing material non-public information on telephone, extra care should be taken that other parties are not able to overhear the discussion.</w:t>
      </w:r>
    </w:p>
    <w:p>
      <w:pPr>
        <w:spacing w:after="0" w:line="161" w:lineRule="exact"/>
        <w:rPr>
          <w:rFonts w:ascii="Times New Roman" w:cs="Times New Roman" w:eastAsia="Times New Roman" w:hAnsi="Times New Roman"/>
          <w:sz w:val="18"/>
          <w:szCs w:val="18"/>
          <w:color w:val="auto"/>
        </w:rPr>
      </w:pPr>
    </w:p>
    <w:p>
      <w:pPr>
        <w:jc w:val="both"/>
        <w:ind w:left="1500" w:right="219" w:hanging="643"/>
        <w:spacing w:after="0" w:line="261" w:lineRule="auto"/>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Particularly when discussing material non-public information on a mobile phone, such discussions should not be held in the presence of other persons that should not be exposed to the information. Calls while traveling in taxicabs or other forms of public transportation, or in areas that are accessible to the general public, should be avoided.</w:t>
      </w:r>
    </w:p>
    <w:p>
      <w:pPr>
        <w:spacing w:after="0" w:line="166"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passwords to restrict access to the information on computers.</w:t>
      </w:r>
    </w:p>
    <w:p>
      <w:pPr>
        <w:spacing w:after="0" w:line="225"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transmit material non-public information through any social media platforms or through non-company email addresses.</w:t>
      </w:r>
    </w:p>
    <w:p>
      <w:pPr>
        <w:spacing w:after="0" w:line="161"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access to particular physical areas where material non-public information is likely to be documented or discussed.</w:t>
      </w:r>
    </w:p>
    <w:p>
      <w:pPr>
        <w:spacing w:after="0" w:line="161"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records in accordance with the Company’s Document Retention Policy.</w:t>
      </w:r>
    </w:p>
    <w:p>
      <w:pPr>
        <w:spacing w:after="0" w:line="225" w:lineRule="exact"/>
        <w:rPr>
          <w:rFonts w:ascii="Times New Roman" w:cs="Times New Roman" w:eastAsia="Times New Roman" w:hAnsi="Times New Roman"/>
          <w:sz w:val="18"/>
          <w:szCs w:val="18"/>
          <w:color w:val="auto"/>
        </w:rPr>
      </w:pPr>
    </w:p>
    <w:p>
      <w:pPr>
        <w:jc w:val="both"/>
        <w:ind w:left="1500" w:right="219" w:hanging="643"/>
        <w:spacing w:after="0" w:line="266" w:lineRule="auto"/>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input, share, or discuss material non-public information using AI tools or platforms. If AI tools are utilized, ensure that any identifiable information about the Company, its operations or personnel is removed.</w:t>
      </w:r>
    </w:p>
    <w:p>
      <w:pPr>
        <w:spacing w:after="0" w:line="176" w:lineRule="exact"/>
        <w:rPr>
          <w:sz w:val="20"/>
          <w:szCs w:val="20"/>
          <w:color w:val="auto"/>
        </w:rPr>
      </w:pPr>
    </w:p>
    <w:p>
      <w:pPr>
        <w:ind w:left="200" w:right="219"/>
        <w:spacing w:after="0" w:line="266" w:lineRule="auto"/>
        <w:rPr>
          <w:sz w:val="20"/>
          <w:szCs w:val="20"/>
          <w:color w:val="auto"/>
        </w:rPr>
      </w:pPr>
      <w:r>
        <w:rPr>
          <w:rFonts w:ascii="Times New Roman" w:cs="Times New Roman" w:eastAsia="Times New Roman" w:hAnsi="Times New Roman"/>
          <w:sz w:val="18"/>
          <w:szCs w:val="18"/>
          <w:color w:val="auto"/>
        </w:rPr>
        <w:t>Restricted Persons should also refer to their employment or other agreements with the Company or its subsidiaries to understand their confidentiality obligations with respect to material non-public information.</w:t>
      </w:r>
    </w:p>
    <w:p>
      <w:pPr>
        <w:spacing w:after="0" w:line="172" w:lineRule="exact"/>
        <w:rPr>
          <w:sz w:val="20"/>
          <w:szCs w:val="20"/>
          <w:color w:val="auto"/>
        </w:rPr>
      </w:pPr>
    </w:p>
    <w:p>
      <w:pPr>
        <w:jc w:val="both"/>
        <w:ind w:left="200" w:right="219" w:firstLine="657"/>
        <w:spacing w:after="0" w:line="250" w:lineRule="auto"/>
        <w:tabs>
          <w:tab w:leader="none" w:pos="1496"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Authorized Disclosure of Material Non-Public Information. </w:t>
      </w:r>
      <w:r>
        <w:rPr>
          <w:rFonts w:ascii="Times New Roman" w:cs="Times New Roman" w:eastAsia="Times New Roman" w:hAnsi="Times New Roman"/>
          <w:sz w:val="18"/>
          <w:szCs w:val="18"/>
          <w:color w:val="auto"/>
        </w:rPr>
        <w:t>Under certain circumstances,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Officer may authorize the immediate release of material non-public information. If disclosure is authorized, the form and content of all public disclosures shall be approved by the Compliance Officer pursuant to the terms of the Company’s Fair Disclosure Policy. In the case of material non-public information that is not disclosed, such information is not to be disclosed or discussed except on a strict “need-to-know” basis. All requests for information, comments, or interviews (other than routine product inquiries) made to any Restricted Person of the Company should be directed immediately to the Compliance Officer, who will clear all proposed responses, which must be in compliance with the Company’s Fair Disclosure Policy. It is anticipated that most questions raised can be answered by the Compliance Officer or another company representative to whom the Compliance Officer refers the request. All Restricted Persons must comply with the Company’s Fair Disclosure Policy and should not respond to such requests directly, unless expressly instructed otherwise by the Compliance Officer. In particular, great care should be taken not to comment on the Company’s expected future financial results without the express instruction by the Compliance Officer. If the Company wishes to give some direction to investors or securities professionals, it must do so only in compliance with the Company’s Fair Disclosure Policy. All communications with representatives of the media and securities analysts shall be directed to the Compliance Officer.</w:t>
      </w:r>
    </w:p>
    <w:p>
      <w:pPr>
        <w:spacing w:after="0" w:line="194" w:lineRule="exact"/>
        <w:rPr>
          <w:rFonts w:ascii="Times New Roman" w:cs="Times New Roman" w:eastAsia="Times New Roman" w:hAnsi="Times New Roman"/>
          <w:sz w:val="18"/>
          <w:szCs w:val="18"/>
          <w:b w:val="1"/>
          <w:bCs w:val="1"/>
          <w:color w:val="auto"/>
        </w:rPr>
      </w:pPr>
    </w:p>
    <w:p>
      <w:pPr>
        <w:jc w:val="both"/>
        <w:ind w:left="200" w:right="219" w:firstLine="657"/>
        <w:spacing w:after="0" w:line="254" w:lineRule="auto"/>
        <w:tabs>
          <w:tab w:leader="none" w:pos="1496"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Transactions. </w:t>
      </w:r>
      <w:r>
        <w:rPr>
          <w:rFonts w:ascii="Times New Roman" w:cs="Times New Roman" w:eastAsia="Times New Roman" w:hAnsi="Times New Roman"/>
          <w:sz w:val="18"/>
          <w:szCs w:val="18"/>
          <w:color w:val="auto"/>
        </w:rPr>
        <w:t>The restrictions set forth in this Insider Trading and Blackout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continue to apply to your transactions in the Company’s securities even after the termination of your employment or term in office, as applicable, for such period as the Compliance Officer shall determine you are likely to be in possession of material non-public information about the Company. If you are in possession of material non-public information when your employment terminates, you may not trade in the Company’s securities until that information has become public or is no longer material.</w:t>
      </w:r>
    </w:p>
    <w:p>
      <w:pPr>
        <w:spacing w:after="0" w:line="184" w:lineRule="exact"/>
        <w:rPr>
          <w:rFonts w:ascii="Times New Roman" w:cs="Times New Roman" w:eastAsia="Times New Roman" w:hAnsi="Times New Roman"/>
          <w:sz w:val="18"/>
          <w:szCs w:val="18"/>
          <w:b w:val="1"/>
          <w:bCs w:val="1"/>
          <w:color w:val="auto"/>
        </w:rPr>
      </w:pPr>
    </w:p>
    <w:p>
      <w:pPr>
        <w:jc w:val="both"/>
        <w:ind w:left="200" w:right="219" w:firstLine="657"/>
        <w:spacing w:after="0" w:line="262" w:lineRule="auto"/>
        <w:tabs>
          <w:tab w:leader="none" w:pos="1496"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Policy Relating to the Company’s Trading in its own Securities. </w:t>
      </w:r>
      <w:r>
        <w:rPr>
          <w:rFonts w:ascii="Times New Roman" w:cs="Times New Roman" w:eastAsia="Times New Roman" w:hAnsi="Times New Roman"/>
          <w:sz w:val="18"/>
          <w:szCs w:val="18"/>
          <w:color w:val="auto"/>
        </w:rPr>
        <w:t>The Company shall not trade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own securities while in possession of material nonpublic information related to the Company, unless such trading activity otherwise complies with all applicable securities laws. Any trading by the Company in its own securities must be pre-approved by the Compliance Officer.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5" w:name="page126"/>
    <w:bookmarkEnd w:id="125"/>
    <w:p>
      <w:pPr>
        <w:ind w:left="20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PRECLEARANCE AND BLACKOUT POLICY FOR DESIGNATED INSIDERS</w:t>
      </w:r>
    </w:p>
    <w:p>
      <w:pPr>
        <w:spacing w:after="0" w:line="225" w:lineRule="exact"/>
        <w:rPr>
          <w:sz w:val="20"/>
          <w:szCs w:val="20"/>
          <w:color w:val="auto"/>
        </w:rPr>
      </w:pPr>
    </w:p>
    <w:p>
      <w:pPr>
        <w:ind w:left="200" w:right="219" w:firstLine="657"/>
        <w:spacing w:after="0" w:line="286" w:lineRule="auto"/>
        <w:tabs>
          <w:tab w:leader="none" w:pos="1496"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Designated Insiders. </w:t>
      </w:r>
      <w:r>
        <w:rPr>
          <w:rFonts w:ascii="Times New Roman" w:cs="Times New Roman" w:eastAsia="Times New Roman" w:hAnsi="Times New Roman"/>
          <w:sz w:val="18"/>
          <w:szCs w:val="18"/>
          <w:color w:val="auto"/>
        </w:rPr>
        <w:t>The following personnel shall be deemed Designated Insiders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Insider Trading and Blackout Policy:</w:t>
      </w:r>
    </w:p>
    <w:p>
      <w:pPr>
        <w:spacing w:after="0" w:line="159" w:lineRule="exact"/>
        <w:rPr>
          <w:sz w:val="20"/>
          <w:szCs w:val="20"/>
          <w:color w:val="auto"/>
        </w:rPr>
      </w:pPr>
    </w:p>
    <w:p>
      <w:pPr>
        <w:ind w:left="1500" w:hanging="643"/>
        <w:spacing w:after="0"/>
        <w:tabs>
          <w:tab w:leader="none" w:pos="15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Company’s Board of Directors;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Chief Executive Officer and all other executive officers of the Company;</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Chief Medical/Scientific Officers and/or advisors of the Company; and</w:t>
      </w:r>
    </w:p>
    <w:p>
      <w:pPr>
        <w:spacing w:after="0" w:line="225"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of the Company who report directly to the Chief Executive Officer and/or Chief Financial Officer, and all members of Protalix’s Finance and Legal Department.</w:t>
      </w:r>
    </w:p>
    <w:p>
      <w:pPr>
        <w:spacing w:after="0" w:line="162" w:lineRule="exact"/>
        <w:rPr>
          <w:sz w:val="20"/>
          <w:szCs w:val="20"/>
          <w:color w:val="auto"/>
        </w:rPr>
      </w:pPr>
    </w:p>
    <w:p>
      <w:pPr>
        <w:ind w:left="200" w:right="239"/>
        <w:spacing w:after="0" w:line="282" w:lineRule="auto"/>
        <w:rPr>
          <w:sz w:val="20"/>
          <w:szCs w:val="20"/>
          <w:color w:val="auto"/>
        </w:rPr>
      </w:pPr>
      <w:r>
        <w:rPr>
          <w:rFonts w:ascii="Times New Roman" w:cs="Times New Roman" w:eastAsia="Times New Roman" w:hAnsi="Times New Roman"/>
          <w:sz w:val="18"/>
          <w:szCs w:val="18"/>
          <w:color w:val="auto"/>
        </w:rPr>
        <w:t>Protalix reserves the right to designate other personnel as Designated Insiders and shall provide appropriate notice to the persons affected.</w:t>
      </w:r>
    </w:p>
    <w:p>
      <w:pPr>
        <w:spacing w:after="0" w:line="158" w:lineRule="exact"/>
        <w:rPr>
          <w:sz w:val="20"/>
          <w:szCs w:val="20"/>
          <w:color w:val="auto"/>
        </w:rPr>
      </w:pPr>
    </w:p>
    <w:p>
      <w:pPr>
        <w:jc w:val="both"/>
        <w:ind w:left="200" w:right="219" w:firstLine="657"/>
        <w:spacing w:after="0" w:line="256" w:lineRule="auto"/>
        <w:tabs>
          <w:tab w:leader="none" w:pos="1496"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Mandatory Pre-clearance of Transactions. </w:t>
      </w:r>
      <w:r>
        <w:rPr>
          <w:rFonts w:ascii="Times New Roman" w:cs="Times New Roman" w:eastAsia="Times New Roman" w:hAnsi="Times New Roman"/>
          <w:sz w:val="18"/>
          <w:szCs w:val="18"/>
          <w:color w:val="auto"/>
        </w:rPr>
        <w:t>To help prevent inadvertent violations of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and avoid even the appearance of trading on material, non-public information, Designated Officers may not engage in any transaction involving the Company’s securities, without first certifying that all such transactions will be conducted in compliance with provisions of this Policy and obtaining the Compliance Officer’s pre-clearance of the transaction. A request for pre-clearance should be submitted to the Compliance Officer at least two days in advance of proposed transaction. The Compliance Officer is under no obligation to approve a transaction submitted for pre-clearance and may determine not to permit the transaction.</w:t>
      </w:r>
    </w:p>
    <w:p>
      <w:pPr>
        <w:spacing w:after="0" w:line="182" w:lineRule="exact"/>
        <w:rPr>
          <w:rFonts w:ascii="Times New Roman" w:cs="Times New Roman" w:eastAsia="Times New Roman" w:hAnsi="Times New Roman"/>
          <w:sz w:val="18"/>
          <w:szCs w:val="18"/>
          <w:b w:val="1"/>
          <w:bCs w:val="1"/>
          <w:color w:val="auto"/>
        </w:rPr>
      </w:pPr>
    </w:p>
    <w:p>
      <w:pPr>
        <w:jc w:val="both"/>
        <w:ind w:left="200" w:right="219" w:firstLine="657"/>
        <w:spacing w:after="0" w:line="253" w:lineRule="auto"/>
        <w:tabs>
          <w:tab w:leader="none" w:pos="1496"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Blackout Period Trading Prohibition. </w:t>
      </w:r>
      <w:r>
        <w:rPr>
          <w:rFonts w:ascii="Times New Roman" w:cs="Times New Roman" w:eastAsia="Times New Roman" w:hAnsi="Times New Roman"/>
          <w:sz w:val="18"/>
          <w:szCs w:val="18"/>
          <w:color w:val="auto"/>
        </w:rPr>
        <w:t>The release of the Company’s financial results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particularly sensitive period of time for transactions in the Company’s securities, because officers, directors and other employees may possess material non-public information about the expected financial results for the applicable fiscal quarter. Accordingly, no Designated Insider may conduct transactions involving the purchase or sale of the Company’s securities during a “blackout period”. The Company’s “blackout period” with respect to each fiscal quarter begins on the close of business on the </w:t>
      </w: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xml:space="preserve"> day prior to the end of the third month of the quarter and ends on the opening of the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business day following the Company’s filing with the SEC of the Company’s quarterly or annual financial reports or earlier public release of quarterly or annual financial information. If the Designated Insider’s employment by the Company, or services as a director of the Company, terminates or expires during a blackout period, the Designated Insider may not trade in the Company’s securities until that blackout period has ended. The Company will inform Designated Insiders of the anticipated date of public disclosure of the financial results for each fiscal quarter or year upon request.</w:t>
      </w:r>
    </w:p>
    <w:p>
      <w:pPr>
        <w:spacing w:after="0" w:line="194"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also determine that Designated Insiders (and selected others) should suspend trading for a period of time to be designated by the Company because of developments known to the Company and not yet disclosed to the public. In such event, such persons may not engage in any transaction involving the purchase or sale of the Company’s securities during such period of time and should not disclose to others the fact of such suspension of trading.</w:t>
      </w:r>
    </w:p>
    <w:p>
      <w:pPr>
        <w:spacing w:after="0" w:line="183"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A Designated Insider who believes that special circumstances require him or her to trade during a trading blackout period should consult the Compliance Officer. Permission to trade during a trading blackout period will be granted only where the circumstances are extenuating and the Compliance Officer concludes that the Designated Insider is not in fact aware of any material nonpublic information of or relating to the Company or its securities, and there appears to be no significant risk that the trade may subsequently be questioned.</w:t>
      </w:r>
    </w:p>
    <w:p>
      <w:pPr>
        <w:spacing w:after="0" w:line="183"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Even outside of the blackout period trading prohibition, any person possessing material non-public information concerning the Company should not engage in any transactions in the Company’s securities until such information has been known publicly for at least one trading day, whether or not the Company has recommended a suspension of trading to that person. If a Designated Insider is aware of material non-public information when his or her employment or services as a director terminates, such person may not trade in the Company’s securities until that information has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6" w:name="page127"/>
    <w:bookmarkEnd w:id="126"/>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become public or is no longer material. Trading in the Company’s securities outside of the blackout period should not be considered a “safe harbor,” and all Designated Officers should use good judgment at all times to make sure that their trades are not performed while they are in possession of material non-public information about the Company. Even individuals who are not subject to the Preclearance or Blackout Policies are strongly encouraged to consult the Compliance Officer for guidance in any situation where caution may be warranted.</w:t>
      </w:r>
    </w:p>
    <w:p>
      <w:pPr>
        <w:spacing w:after="0" w:line="179" w:lineRule="exact"/>
        <w:rPr>
          <w:sz w:val="20"/>
          <w:szCs w:val="20"/>
          <w:color w:val="auto"/>
        </w:rPr>
      </w:pPr>
    </w:p>
    <w:p>
      <w:pPr>
        <w:jc w:val="both"/>
        <w:ind w:left="200" w:right="219" w:firstLine="9"/>
        <w:spacing w:after="0" w:line="255" w:lineRule="auto"/>
        <w:tabs>
          <w:tab w:leader="none" w:pos="848"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Pension Fund Blackout Periods. </w:t>
      </w:r>
      <w:r>
        <w:rPr>
          <w:rFonts w:ascii="Times New Roman" w:cs="Times New Roman" w:eastAsia="Times New Roman" w:hAnsi="Times New Roman"/>
          <w:sz w:val="18"/>
          <w:szCs w:val="18"/>
          <w:color w:val="auto"/>
        </w:rPr>
        <w:t>To the extent that the Company has any pension funds subject to “blackout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as defined below, directors and officers are prohibited from purchasing, selling or otherwise acquiring or transferring, during any pension fund “blackout period,” any equity security of the Company, if the director or executive officer has received such security in connection with his or her service or employment as a director or executive officer of the Company. A “blackout period”, for purposes of this Section IV(4), is a period of more than three consecutive business days during which the ability of 50% or more of the participants in, or beneficiaries of, the 401(k) plans of the Company or its subsidiaries to trade securities of the Company held in such plans is temporarily suspended by the Company or a fiduciary of any such plan.</w:t>
      </w:r>
    </w:p>
    <w:p>
      <w:pPr>
        <w:spacing w:after="0" w:line="185" w:lineRule="exact"/>
        <w:rPr>
          <w:sz w:val="20"/>
          <w:szCs w:val="20"/>
          <w:color w:val="auto"/>
        </w:rPr>
      </w:pPr>
    </w:p>
    <w:p>
      <w:pPr>
        <w:ind w:left="860" w:hanging="651"/>
        <w:spacing w:after="0"/>
        <w:tabs>
          <w:tab w:leader="none" w:pos="8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Officer</w:t>
      </w:r>
    </w:p>
    <w:p>
      <w:pPr>
        <w:spacing w:after="0" w:line="225" w:lineRule="exact"/>
        <w:rPr>
          <w:rFonts w:ascii="Times New Roman" w:cs="Times New Roman" w:eastAsia="Times New Roman" w:hAnsi="Times New Roman"/>
          <w:sz w:val="18"/>
          <w:szCs w:val="18"/>
          <w:b w:val="1"/>
          <w:bCs w:val="1"/>
          <w:color w:val="auto"/>
        </w:rPr>
      </w:pPr>
    </w:p>
    <w:p>
      <w:pPr>
        <w:jc w:val="both"/>
        <w:ind w:left="200" w:right="219" w:firstLine="657"/>
        <w:spacing w:after="0" w:line="262" w:lineRule="auto"/>
        <w:tabs>
          <w:tab w:leader="none" w:pos="1496"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Role of the Compliance Officer. </w:t>
      </w:r>
      <w:r>
        <w:rPr>
          <w:rFonts w:ascii="Times New Roman" w:cs="Times New Roman" w:eastAsia="Times New Roman" w:hAnsi="Times New Roman"/>
          <w:sz w:val="18"/>
          <w:szCs w:val="18"/>
          <w:color w:val="auto"/>
        </w:rPr>
        <w:t>The Compliance Officer shall conduct examinations as required,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uncover and investigate any potential violations of this Insider Trading and Blackout Policy by Restricted Persons (including review and examination of reports received in accordance with this Insider Trading and Blackout Policy), and will report his or her findings to the Company’s Board of Directors and/or Audit Committee, if necessary.</w:t>
      </w:r>
    </w:p>
    <w:p>
      <w:pPr>
        <w:spacing w:after="0" w:line="167"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If the Compliance Officer becomes aware of any violation of this Insider Trading and Blackout Policy, or related applicable law or regulations, by a Restricted Person, the Compliance Officer may perform any of the following actions:</w:t>
      </w:r>
    </w:p>
    <w:p>
      <w:pPr>
        <w:spacing w:after="0" w:line="176" w:lineRule="exact"/>
        <w:rPr>
          <w:sz w:val="20"/>
          <w:szCs w:val="20"/>
          <w:color w:val="auto"/>
        </w:rPr>
      </w:pPr>
    </w:p>
    <w:p>
      <w:pPr>
        <w:ind w:left="1500" w:hanging="643"/>
        <w:spacing w:after="0"/>
        <w:tabs>
          <w:tab w:leader="none" w:pos="15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violating party ceases the violation.</w:t>
      </w:r>
    </w:p>
    <w:p>
      <w:pPr>
        <w:spacing w:after="0" w:line="225"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to mitigate the implications of the violation, as much as legally permissible and possible.</w:t>
      </w:r>
    </w:p>
    <w:p>
      <w:pPr>
        <w:spacing w:after="0" w:line="161"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 the circumstances which led to the violation and/or allowed the violation to occur, and act to identify the parties involved in the process.</w:t>
      </w:r>
    </w:p>
    <w:p>
      <w:pPr>
        <w:spacing w:after="0" w:line="161" w:lineRule="exact"/>
        <w:rPr>
          <w:rFonts w:ascii="Times New Roman" w:cs="Times New Roman" w:eastAsia="Times New Roman" w:hAnsi="Times New Roman"/>
          <w:sz w:val="18"/>
          <w:szCs w:val="18"/>
          <w:color w:val="auto"/>
        </w:rPr>
      </w:pPr>
    </w:p>
    <w:p>
      <w:pPr>
        <w:jc w:val="both"/>
        <w:ind w:left="1500" w:right="219" w:hanging="643"/>
        <w:spacing w:after="0" w:line="261" w:lineRule="auto"/>
        <w:tabs>
          <w:tab w:leader="none" w:pos="15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 internal report to the Company’s Chief Executive Officer, the Company’s Board of Directors and/or Audit Committee regarding the alleged violation(s) which will include his or her findings and conclusions of his examination thereof, and recommendations for preventing similar violations.</w:t>
      </w:r>
    </w:p>
    <w:p>
      <w:pPr>
        <w:spacing w:after="0" w:line="179"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findings, examinations and actions of the Compliance Officer with respect to alleged violation(s) will be documented and kept at the Company’s facilities.</w:t>
      </w:r>
    </w:p>
    <w:p>
      <w:pPr>
        <w:spacing w:after="0" w:line="161"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or modify this Insider trading Policy if deemed advisable, and redistribute to all Restricted Persons.</w:t>
      </w:r>
    </w:p>
    <w:p>
      <w:pPr>
        <w:spacing w:after="0" w:line="158" w:lineRule="exact"/>
        <w:rPr>
          <w:sz w:val="20"/>
          <w:szCs w:val="20"/>
          <w:color w:val="auto"/>
        </w:rPr>
      </w:pPr>
    </w:p>
    <w:p>
      <w:pPr>
        <w:jc w:val="both"/>
        <w:ind w:left="200" w:right="219" w:firstLine="657"/>
        <w:spacing w:after="0" w:line="255" w:lineRule="auto"/>
        <w:tabs>
          <w:tab w:leader="none" w:pos="1496"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Interacting with the Compliance Officer. </w:t>
      </w:r>
      <w:r>
        <w:rPr>
          <w:rFonts w:ascii="Times New Roman" w:cs="Times New Roman" w:eastAsia="Times New Roman" w:hAnsi="Times New Roman"/>
          <w:sz w:val="18"/>
          <w:szCs w:val="18"/>
          <w:color w:val="auto"/>
        </w:rPr>
        <w:t>The cooperation of all Restricted Persons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Officer is an important interest of the Company, and is the personal obligation of each Restricted Person. Accordingly, each Restricted Person should report to the Compliance Officer any circumstance in which a Restricted Person of his or her family members incident, to the Restricted Persons understanding or suspicion, violated this Insider Trading and Blackout Policy or intends to do so in the future. The Company will not sanction a Restricted Person for making any such report in good faith, even if it is later resolved that no violation was made, and will use reasonable efforts to maintain in confidence the identity of the person/s who submitted a violation report, subject to applicable laws and regulations, and related proceedings.</w:t>
      </w:r>
    </w:p>
    <w:p>
      <w:pPr>
        <w:spacing w:after="0" w:line="189" w:lineRule="exact"/>
        <w:rPr>
          <w:sz w:val="20"/>
          <w:szCs w:val="20"/>
          <w:color w:val="auto"/>
        </w:rPr>
      </w:pPr>
    </w:p>
    <w:p>
      <w:pPr>
        <w:ind w:left="200" w:right="219"/>
        <w:spacing w:after="0" w:line="282" w:lineRule="auto"/>
        <w:rPr>
          <w:sz w:val="20"/>
          <w:szCs w:val="20"/>
          <w:color w:val="auto"/>
        </w:rPr>
      </w:pPr>
      <w:r>
        <w:rPr>
          <w:rFonts w:ascii="Times New Roman" w:cs="Times New Roman" w:eastAsia="Times New Roman" w:hAnsi="Times New Roman"/>
          <w:sz w:val="18"/>
          <w:szCs w:val="18"/>
          <w:color w:val="auto"/>
        </w:rPr>
        <w:t>Reports may be submitted to the Compliance Officer at any time during ordinary work hours, by appointment, telephone report, or email sent to: eyal.rubin@protalix.com. Reports submitted to the Compliance Officer should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7" w:name="page128"/>
    <w:bookmarkEnd w:id="127"/>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include all available details and information regarding the violation, including a short description of the circumstances and the names of the persons involved. Although the Company is interested in receiving as much information as possible regarding the violation, anonymous reports can also be submitted.</w:t>
      </w:r>
    </w:p>
    <w:p>
      <w:pPr>
        <w:spacing w:after="0" w:line="176" w:lineRule="exact"/>
        <w:rPr>
          <w:sz w:val="20"/>
          <w:szCs w:val="20"/>
          <w:color w:val="auto"/>
        </w:rPr>
      </w:pPr>
    </w:p>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IF you submitted such a report to the Compliance Officer, and feel that your report has not been properly handled, or not handled at all, please contact the Company’s Chief Executive Officer.</w:t>
      </w:r>
    </w:p>
    <w:p>
      <w:pPr>
        <w:spacing w:after="0" w:line="158"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Company Assistance</w:t>
      </w:r>
    </w:p>
    <w:p>
      <w:pPr>
        <w:spacing w:after="0" w:line="229"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If you have any questions about specific information or proposed transactions, or as to the applicability or interpretation of this Insider Trading and Blackout Policy or the propriety of any desired action, you are encouraged to contact the Compliance Officer.</w:t>
      </w:r>
    </w:p>
    <w:p>
      <w:pPr>
        <w:spacing w:after="0" w:line="176"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The Company shall have no obligation to provide or fund any legal defense for any of its personnel with respect to any SEC or civil action that arises from violations of the policies set forth herein.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8" w:name="page129"/>
    <w:bookmarkEnd w:id="128"/>
    <w:tbl>
      <w:tblPr>
        <w:tblLayout w:type="fixed"/>
        <w:tblInd w:w="22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6820" w:type="dxa"/>
            <w:vAlign w:val="bottom"/>
          </w:tcPr>
          <w:p>
            <w:pPr>
              <w:ind w:left="570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r>
      <w:tr>
        <w:trPr>
          <w:trHeight w:val="810"/>
        </w:trPr>
        <w:tc>
          <w:tcPr>
            <w:tcW w:w="1760" w:type="dxa"/>
            <w:vAlign w:val="bottom"/>
          </w:tcPr>
          <w:p>
            <w:pPr>
              <w:spacing w:after="0"/>
              <w:rPr>
                <w:sz w:val="24"/>
                <w:szCs w:val="24"/>
                <w:color w:val="auto"/>
              </w:rPr>
            </w:pPr>
          </w:p>
        </w:tc>
        <w:tc>
          <w:tcPr>
            <w:tcW w:w="68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Subsidiaries of Protalix BioTherapeutics, Inc.</w:t>
            </w:r>
          </w:p>
        </w:tc>
      </w:tr>
      <w:tr>
        <w:trPr>
          <w:trHeight w:val="445"/>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6820" w:type="dxa"/>
            <w:vAlign w:val="bottom"/>
          </w:tcPr>
          <w:p>
            <w:pPr>
              <w:jc w:val="center"/>
              <w:ind w:left="3850"/>
              <w:spacing w:after="0"/>
              <w:rPr>
                <w:sz w:val="20"/>
                <w:szCs w:val="20"/>
                <w:color w:val="auto"/>
              </w:rPr>
            </w:pPr>
            <w:r>
              <w:rPr>
                <w:rFonts w:ascii="Times New Roman" w:cs="Times New Roman" w:eastAsia="Times New Roman" w:hAnsi="Times New Roman"/>
                <w:sz w:val="18"/>
                <w:szCs w:val="18"/>
                <w:b w:val="1"/>
                <w:bCs w:val="1"/>
                <w:color w:val="auto"/>
                <w:w w:val="99"/>
              </w:rPr>
              <w:t>State or Country of Organization</w:t>
            </w:r>
          </w:p>
        </w:tc>
      </w:tr>
      <w:tr>
        <w:trPr>
          <w:trHeight w:val="243"/>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Protalix Ltd.</w:t>
            </w:r>
          </w:p>
        </w:tc>
        <w:tc>
          <w:tcPr>
            <w:tcW w:w="6820" w:type="dxa"/>
            <w:vAlign w:val="bottom"/>
          </w:tcPr>
          <w:p>
            <w:pPr>
              <w:jc w:val="center"/>
              <w:ind w:left="385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858"/>
        </w:trPr>
        <w:tc>
          <w:tcPr>
            <w:tcW w:w="176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1" w:right="1440" w:bottom="1440" w:gutter="0" w:footer="0" w:header="0"/>
        </w:sectPr>
      </w:pPr>
    </w:p>
    <w:bookmarkStart w:id="129" w:name="page130"/>
    <w:bookmarkEnd w:id="129"/>
    <w:p>
      <w:pPr>
        <w:ind w:left="88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-116840</wp:posOffset>
            </wp:positionV>
            <wp:extent cx="1268730" cy="10718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12687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22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333-237736 and No. 333-264394) and on Form S-8 (No. 333-148983, No. 333-182677, No. 333-203960, No. 333-225526, No. 333-239101, No. 333-266131 and No. 333-273396) of Protalix BioTherapeutics, Inc. of our report dated March 17, 2025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ind w:left="100"/>
              <w:spacing w:after="0"/>
              <w:rPr>
                <w:sz w:val="20"/>
                <w:szCs w:val="20"/>
                <w:color w:val="auto"/>
              </w:rPr>
            </w:pPr>
            <w:r>
              <w:rPr>
                <w:rFonts w:ascii="Georgia" w:cs="Georgia" w:eastAsia="Georgia" w:hAnsi="Georgia"/>
                <w:sz w:val="18"/>
                <w:szCs w:val="18"/>
                <w:color w:val="auto"/>
              </w:rPr>
              <w:t>Tel-Aviv, Israel</w:t>
            </w:r>
          </w:p>
        </w:tc>
        <w:tc>
          <w:tcPr>
            <w:tcW w:w="7140" w:type="dxa"/>
            <w:vAlign w:val="bottom"/>
          </w:tcPr>
          <w:p>
            <w:pPr>
              <w:ind w:left="1440"/>
              <w:spacing w:after="0"/>
              <w:rPr>
                <w:sz w:val="20"/>
                <w:szCs w:val="20"/>
                <w:color w:val="auto"/>
              </w:rPr>
            </w:pPr>
            <w:r>
              <w:rPr>
                <w:rFonts w:ascii="Georgia" w:cs="Georgia" w:eastAsia="Georgia" w:hAnsi="Georgia"/>
                <w:sz w:val="18"/>
                <w:szCs w:val="18"/>
                <w:color w:val="auto"/>
              </w:rPr>
              <w:t>/s/ Kesselman &amp; Kesselman</w:t>
            </w:r>
          </w:p>
        </w:tc>
      </w:tr>
      <w:tr>
        <w:trPr>
          <w:trHeight w:val="203"/>
        </w:trPr>
        <w:tc>
          <w:tcPr>
            <w:tcW w:w="2780" w:type="dxa"/>
            <w:vAlign w:val="bottom"/>
          </w:tcPr>
          <w:p>
            <w:pPr>
              <w:ind w:left="100"/>
              <w:spacing w:after="0" w:line="202" w:lineRule="exact"/>
              <w:rPr>
                <w:sz w:val="20"/>
                <w:szCs w:val="20"/>
                <w:color w:val="auto"/>
              </w:rPr>
            </w:pPr>
            <w:r>
              <w:rPr>
                <w:rFonts w:ascii="Georgia" w:cs="Georgia" w:eastAsia="Georgia" w:hAnsi="Georgia"/>
                <w:sz w:val="18"/>
                <w:szCs w:val="18"/>
                <w:color w:val="auto"/>
              </w:rPr>
              <w:t>March 17, 2025</w:t>
            </w:r>
          </w:p>
        </w:tc>
        <w:tc>
          <w:tcPr>
            <w:tcW w:w="7140" w:type="dxa"/>
            <w:vAlign w:val="bottom"/>
          </w:tcPr>
          <w:p>
            <w:pPr>
              <w:ind w:left="1440"/>
              <w:spacing w:after="0" w:line="202" w:lineRule="exact"/>
              <w:rPr>
                <w:sz w:val="20"/>
                <w:szCs w:val="20"/>
                <w:color w:val="auto"/>
              </w:rPr>
            </w:pPr>
            <w:r>
              <w:rPr>
                <w:rFonts w:ascii="Georgia" w:cs="Georgia" w:eastAsia="Georgia" w:hAnsi="Georgia"/>
                <w:sz w:val="18"/>
                <w:szCs w:val="18"/>
                <w:color w:val="auto"/>
              </w:rPr>
              <w:t>Certified Public Accountants (lsr.)</w:t>
            </w:r>
          </w:p>
        </w:tc>
      </w:tr>
      <w:tr>
        <w:trPr>
          <w:trHeight w:val="203"/>
        </w:trPr>
        <w:tc>
          <w:tcPr>
            <w:tcW w:w="2780" w:type="dxa"/>
            <w:vAlign w:val="bottom"/>
          </w:tcPr>
          <w:p>
            <w:pPr>
              <w:spacing w:after="0"/>
              <w:rPr>
                <w:sz w:val="17"/>
                <w:szCs w:val="17"/>
                <w:color w:val="auto"/>
              </w:rPr>
            </w:pPr>
          </w:p>
        </w:tc>
        <w:tc>
          <w:tcPr>
            <w:tcW w:w="7140" w:type="dxa"/>
            <w:vAlign w:val="bottom"/>
          </w:tcPr>
          <w:p>
            <w:pPr>
              <w:ind w:left="1440"/>
              <w:spacing w:after="0" w:line="202" w:lineRule="exact"/>
              <w:rPr>
                <w:sz w:val="20"/>
                <w:szCs w:val="20"/>
                <w:color w:val="auto"/>
              </w:rPr>
            </w:pPr>
            <w:r>
              <w:rPr>
                <w:rFonts w:ascii="Georgia" w:cs="Georgia" w:eastAsia="Georgia" w:hAnsi="Georgia"/>
                <w:sz w:val="18"/>
                <w:szCs w:val="18"/>
                <w:color w:val="auto"/>
              </w:rPr>
              <w:t>A member firm of PricewaterhouseCoopers</w:t>
            </w:r>
          </w:p>
        </w:tc>
      </w:tr>
      <w:tr>
        <w:trPr>
          <w:trHeight w:val="203"/>
        </w:trPr>
        <w:tc>
          <w:tcPr>
            <w:tcW w:w="2780" w:type="dxa"/>
            <w:vAlign w:val="bottom"/>
          </w:tcPr>
          <w:p>
            <w:pPr>
              <w:spacing w:after="0"/>
              <w:rPr>
                <w:sz w:val="17"/>
                <w:szCs w:val="17"/>
                <w:color w:val="auto"/>
              </w:rPr>
            </w:pPr>
          </w:p>
        </w:tc>
        <w:tc>
          <w:tcPr>
            <w:tcW w:w="7140" w:type="dxa"/>
            <w:vAlign w:val="bottom"/>
          </w:tcPr>
          <w:p>
            <w:pPr>
              <w:ind w:left="1440"/>
              <w:spacing w:after="0" w:line="203" w:lineRule="exact"/>
              <w:rPr>
                <w:sz w:val="20"/>
                <w:szCs w:val="20"/>
                <w:color w:val="auto"/>
              </w:rPr>
            </w:pPr>
            <w:r>
              <w:rPr>
                <w:rFonts w:ascii="Georgia" w:cs="Georgia" w:eastAsia="Georgia" w:hAnsi="Georgia"/>
                <w:sz w:val="18"/>
                <w:szCs w:val="18"/>
                <w:color w:val="auto"/>
              </w:rPr>
              <w:t>International Limited</w:t>
            </w:r>
          </w:p>
        </w:tc>
      </w:tr>
      <w:tr>
        <w:trPr>
          <w:trHeight w:val="1305"/>
        </w:trPr>
        <w:tc>
          <w:tcPr>
            <w:tcW w:w="27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1" w:right="9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225" w:lineRule="exact"/>
        <w:rPr>
          <w:sz w:val="20"/>
          <w:szCs w:val="20"/>
          <w:color w:val="auto"/>
        </w:rPr>
      </w:pPr>
    </w:p>
    <w:p>
      <w:pPr>
        <w:ind w:left="320" w:hanging="312"/>
        <w:spacing w:after="0"/>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Protalix BioTherapeutics, Inc.;</w:t>
      </w:r>
    </w:p>
    <w:p>
      <w:pPr>
        <w:spacing w:after="0" w:line="22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17,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225" w:lineRule="exact"/>
        <w:rPr>
          <w:sz w:val="20"/>
          <w:szCs w:val="20"/>
          <w:color w:val="auto"/>
        </w:rPr>
      </w:pPr>
    </w:p>
    <w:p>
      <w:pPr>
        <w:ind w:left="360" w:hanging="352"/>
        <w:spacing w:after="0"/>
        <w:tabs>
          <w:tab w:leader="none" w:pos="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Protalix BioTherapeutics, Inc.;</w:t>
      </w:r>
    </w:p>
    <w:p>
      <w:pPr>
        <w:spacing w:after="0" w:line="22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Chief Financial Officer,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Protalix BioTherapeutics, Inc. (the “Company”) on Form 10-K for the period ended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December 31, 2024 as filed with the Securities and Exchange Commission (the “Report”), I, Dror Bashan, President and Chief Executive Officer of the Company, hereby certify as of the date hereof, solely for purposes of Title 18, Chapter 63, Section 1350 of the United States Code, that to my knowledge:</w:t>
      </w:r>
    </w:p>
    <w:p>
      <w:pPr>
        <w:spacing w:after="0" w:line="186" w:lineRule="exact"/>
        <w:rPr>
          <w:sz w:val="20"/>
          <w:szCs w:val="20"/>
          <w:color w:val="auto"/>
        </w:rPr>
      </w:pPr>
    </w:p>
    <w:p>
      <w:pPr>
        <w:ind w:left="440" w:right="400" w:firstLine="8"/>
        <w:spacing w:after="0" w:line="282"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being furnished to the Securities and Exchange Commission as an exhibit to the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17,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Protalix BioTherapeutics, Inc. (the “Company”) on Form 10-K for the period ended December 31, 2024 as filed with the Securities and Exchange Commission (the “Report”), I, Eyal Rubin, Sr. Vice President and Chief Financial Officer of the Company, hereby certify as of the date hereof, solely for the purposes of Title 18, Chapter 63, Section 1350 of the United States Code, that to my knowledge:</w:t>
      </w:r>
    </w:p>
    <w:p>
      <w:pPr>
        <w:spacing w:after="0" w:line="180" w:lineRule="exact"/>
        <w:rPr>
          <w:sz w:val="20"/>
          <w:szCs w:val="20"/>
          <w:color w:val="auto"/>
        </w:rPr>
      </w:pPr>
    </w:p>
    <w:p>
      <w:pPr>
        <w:ind w:left="440" w:right="400" w:firstLine="8"/>
        <w:spacing w:after="0" w:line="282"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being furnished to the Securities and Exchange Commission as an exhibit to the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1)"/>
      <w:numFmt w:val="decimal"/>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lvl w:ilvl="1">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2"/>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1)"/>
      <w:numFmt w:val="lowerRoman"/>
      <w:start w:val="3"/>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1."/>
      <w:numFmt w:val="decimal"/>
      <w:start w:val="1"/>
    </w:lvl>
  </w:abstractNum>
  <w:abstractNum w:abstractNumId="48">
    <w:nsid w:val="4A2AC315"/>
    <w:multiLevelType w:val="hybridMultilevel"/>
    <w:lvl w:ilvl="0">
      <w:lvlJc w:val="left"/>
      <w:lvlText w:val="%1."/>
      <w:numFmt w:val="decimal"/>
      <w:start w:val="2"/>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1."/>
      <w:numFmt w:val="lowerLetter"/>
      <w:start w:val="1"/>
    </w:lvl>
    <w:lvl w:ilvl="1">
      <w:lvlJc w:val="left"/>
      <w:lvlText w:val="(%2)"/>
      <w:numFmt w:val="decimal"/>
      <w:start w:val="1"/>
    </w:lvl>
  </w:abstractNum>
  <w:abstractNum w:abstractNumId="52">
    <w:nsid w:val="43F18422"/>
    <w:multiLevelType w:val="hybridMultilevel"/>
    <w:lvl w:ilvl="0">
      <w:lvlJc w:val="left"/>
      <w:lvlText w:val="(%1)"/>
      <w:numFmt w:val="decimal"/>
      <w:start w:val="2"/>
    </w:lvl>
  </w:abstractNum>
  <w:abstractNum w:abstractNumId="53">
    <w:nsid w:val="60EF0119"/>
    <w:multiLevelType w:val="hybridMultilevel"/>
    <w:lvl w:ilvl="0">
      <w:lvlJc w:val="left"/>
      <w:lvlText w:val="%1."/>
      <w:numFmt w:val="lowerLetter"/>
      <w:start w:val="2"/>
    </w:lvl>
  </w:abstractNum>
  <w:abstractNum w:abstractNumId="54">
    <w:nsid w:val="26F324BA"/>
    <w:multiLevelType w:val="hybridMultilevel"/>
    <w:lvl w:ilvl="0">
      <w:lvlJc w:val="left"/>
      <w:lvlText w:val="%1."/>
      <w:numFmt w:val="lowerLetter"/>
      <w:start w:val="7"/>
    </w:lvl>
  </w:abstractNum>
  <w:abstractNum w:abstractNumId="55">
    <w:nsid w:val="7F01579B"/>
    <w:multiLevelType w:val="hybridMultilevel"/>
    <w:lvl w:ilvl="0">
      <w:lvlJc w:val="left"/>
      <w:lvlText w:val="%1."/>
      <w:numFmt w:val="lowerLetter"/>
      <w:start w:val="8"/>
    </w:lvl>
    <w:lvl w:ilvl="1">
      <w:lvlJc w:val="left"/>
      <w:lvlText w:val="%2."/>
      <w:numFmt w:val="decimal"/>
      <w:start w:val="1"/>
    </w:lvl>
  </w:abstractNum>
  <w:abstractNum w:abstractNumId="56">
    <w:nsid w:val="49DA307D"/>
    <w:multiLevelType w:val="hybridMultilevel"/>
    <w:lvl w:ilvl="0">
      <w:lvlJc w:val="left"/>
      <w:lvlText w:val="%1."/>
      <w:numFmt w:val="lowerRoman"/>
      <w:start w:val="1"/>
    </w:lvl>
  </w:abstractNum>
  <w:abstractNum w:abstractNumId="57">
    <w:nsid w:val="7055A5F5"/>
    <w:multiLevelType w:val="hybridMultilevel"/>
    <w:lvl w:ilvl="0">
      <w:lvlJc w:val="left"/>
      <w:lvlText w:val="%1."/>
      <w:numFmt w:val="lowerLetter"/>
      <w:start w:val="10"/>
    </w:lvl>
    <w:lvl w:ilvl="1">
      <w:lvlJc w:val="left"/>
      <w:lvlText w:val="%2."/>
      <w:numFmt w:val="decimal"/>
      <w:start w:val="1"/>
    </w:lvl>
  </w:abstractNum>
  <w:abstractNum w:abstractNumId="58">
    <w:nsid w:val="5FB8370B"/>
    <w:multiLevelType w:val="hybridMultilevel"/>
    <w:lvl w:ilvl="0">
      <w:lvlJc w:val="left"/>
      <w:lvlText w:val="%1."/>
      <w:numFmt w:val="decimal"/>
      <w:start w:val="1"/>
    </w:lvl>
  </w:abstractNum>
  <w:abstractNum w:abstractNumId="59">
    <w:nsid w:val="50801EE1"/>
    <w:multiLevelType w:val="hybridMultilevel"/>
    <w:lvl w:ilvl="0">
      <w:lvlJc w:val="left"/>
      <w:lvlText w:val="%1"/>
      <w:numFmt w:val="lowerLetter"/>
      <w:start w:val="1"/>
    </w:lvl>
    <w:lvl w:ilvl="1">
      <w:lvlJc w:val="left"/>
      <w:lvlText w:val="%2."/>
      <w:numFmt w:val="decimal"/>
      <w:start w:val="3"/>
    </w:lvl>
  </w:abstractNum>
  <w:abstractNum w:abstractNumId="60">
    <w:nsid w:val="488AC1A"/>
    <w:multiLevelType w:val="hybridMultilevel"/>
    <w:lvl w:ilvl="0">
      <w:lvlJc w:val="left"/>
      <w:lvlText w:val="%1."/>
      <w:numFmt w:val="lowerLetter"/>
      <w:start w:val="12"/>
    </w:lvl>
    <w:lvl w:ilvl="1">
      <w:lvlJc w:val="left"/>
      <w:lvlText w:val="%2"/>
      <w:numFmt w:val="decimal"/>
      <w:start w:val="1"/>
    </w:lvl>
  </w:abstractNum>
  <w:abstractNum w:abstractNumId="61">
    <w:nsid w:val="5FB8011C"/>
    <w:multiLevelType w:val="hybridMultilevel"/>
    <w:lvl w:ilvl="0">
      <w:lvlJc w:val="left"/>
      <w:lvlText w:val="%1."/>
      <w:numFmt w:val="lowerLetter"/>
      <w:start w:val="14"/>
    </w:lvl>
  </w:abstractNum>
  <w:abstractNum w:abstractNumId="62">
    <w:nsid w:val="6AA78F7F"/>
    <w:multiLevelType w:val="hybridMultilevel"/>
    <w:lvl w:ilvl="0">
      <w:lvlJc w:val="left"/>
      <w:lvlText w:val="%1."/>
      <w:numFmt w:val="lowerLetter"/>
      <w:start w:val="15"/>
    </w:lvl>
  </w:abstractNum>
  <w:abstractNum w:abstractNumId="63">
    <w:nsid w:val="7672BD23"/>
    <w:multiLevelType w:val="hybridMultilevel"/>
    <w:lvl w:ilvl="0">
      <w:lvlJc w:val="left"/>
      <w:lvlText w:val="%1."/>
      <w:numFmt w:val="lowerLetter"/>
      <w:start w:val="18"/>
    </w:lvl>
  </w:abstractNum>
  <w:abstractNum w:abstractNumId="64">
    <w:nsid w:val="6FC75AF8"/>
    <w:multiLevelType w:val="hybridMultilevel"/>
    <w:lvl w:ilvl="0">
      <w:lvlJc w:val="left"/>
      <w:lvlText w:val="%1."/>
      <w:numFmt w:val="lowerLetter"/>
      <w:start w:val="1"/>
    </w:lvl>
  </w:abstractNum>
  <w:abstractNum w:abstractNumId="65">
    <w:nsid w:val="6A5F702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66">
    <w:nsid w:val="7D5E18F8"/>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67">
    <w:nsid w:val="5F3534A4"/>
    <w:multiLevelType w:val="hybridMultilevel"/>
    <w:lvl w:ilvl="0">
      <w:lvlJc w:val="left"/>
      <w:lvlText w:val="%1."/>
      <w:numFmt w:val="decimal"/>
      <w:start w:val="6"/>
    </w:lvl>
  </w:abstractNum>
  <w:abstractNum w:abstractNumId="68">
    <w:nsid w:val="73A1821B"/>
    <w:multiLevelType w:val="hybridMultilevel"/>
    <w:lvl w:ilvl="0">
      <w:lvlJc w:val="left"/>
      <w:lvlText w:val="%1."/>
      <w:numFmt w:val="decimal"/>
      <w:start w:val="1"/>
    </w:lvl>
  </w:abstractNum>
  <w:abstractNum w:abstractNumId="69">
    <w:nsid w:val="7DE67713"/>
    <w:multiLevelType w:val="hybridMultilevel"/>
    <w:lvl w:ilvl="0">
      <w:lvlJc w:val="left"/>
      <w:lvlText w:val="%1."/>
      <w:numFmt w:val="lowerLetter"/>
      <w:start w:val="3"/>
    </w:lvl>
  </w:abstractNum>
  <w:abstractNum w:abstractNumId="70">
    <w:nsid w:val="555C55B5"/>
    <w:multiLevelType w:val="hybridMultilevel"/>
    <w:lvl w:ilvl="0">
      <w:lvlJc w:val="left"/>
      <w:lvlText w:val="%1."/>
      <w:numFmt w:val="lowerLetter"/>
      <w:start w:val="1"/>
    </w:lvl>
  </w:abstractNum>
  <w:abstractNum w:abstractNumId="71">
    <w:nsid w:val="3FA62ACA"/>
    <w:multiLevelType w:val="hybridMultilevel"/>
    <w:lvl w:ilvl="0">
      <w:lvlJc w:val="left"/>
      <w:lvlText w:val="%1."/>
      <w:numFmt w:val="lowerLetter"/>
      <w:start w:val="2"/>
    </w:lvl>
  </w:abstractNum>
  <w:abstractNum w:abstractNumId="72">
    <w:nsid w:val="14FCE74E"/>
    <w:multiLevelType w:val="hybridMultilevel"/>
    <w:lvl w:ilvl="0">
      <w:lvlJc w:val="left"/>
      <w:lvlText w:val="%1."/>
      <w:numFmt w:val="lowerLetter"/>
      <w:start w:val="1"/>
    </w:lvl>
  </w:abstractNum>
  <w:abstractNum w:abstractNumId="73">
    <w:nsid w:val="6A3DD3E8"/>
    <w:multiLevelType w:val="hybridMultilevel"/>
    <w:lvl w:ilvl="0">
      <w:lvlJc w:val="left"/>
      <w:lvlText w:val="%1."/>
      <w:numFmt w:val="lowerLetter"/>
      <w:start w:val="2"/>
    </w:lvl>
  </w:abstractNum>
  <w:abstractNum w:abstractNumId="74">
    <w:nsid w:val="71C91298"/>
    <w:multiLevelType w:val="hybridMultilevel"/>
    <w:lvl w:ilvl="0">
      <w:lvlJc w:val="left"/>
      <w:lvlText w:val="%1."/>
      <w:numFmt w:val="lowerLetter"/>
      <w:start w:val="1"/>
    </w:lvl>
  </w:abstractNum>
  <w:abstractNum w:abstractNumId="75">
    <w:nsid w:val="9DAF632"/>
    <w:multiLevelType w:val="hybridMultilevel"/>
    <w:lvl w:ilvl="0">
      <w:lvlJc w:val="left"/>
      <w:lvlText w:val="%1."/>
      <w:numFmt w:val="lowerLetter"/>
      <w:start w:val="1"/>
    </w:lvl>
  </w:abstractNum>
  <w:abstractNum w:abstractNumId="76">
    <w:nsid w:val="53299938"/>
    <w:multiLevelType w:val="hybridMultilevel"/>
    <w:lvl w:ilvl="0">
      <w:lvlJc w:val="left"/>
      <w:lvlText w:val="%1."/>
      <w:numFmt w:val="lowerLetter"/>
      <w:start w:val="2"/>
    </w:lvl>
  </w:abstractNum>
  <w:abstractNum w:abstractNumId="77">
    <w:nsid w:val="1FBFE8E0"/>
    <w:multiLevelType w:val="hybridMultilevel"/>
    <w:lvl w:ilvl="0">
      <w:lvlJc w:val="left"/>
      <w:lvlText w:val="%1."/>
      <w:numFmt w:val="decimal"/>
      <w:start w:val="1"/>
    </w:lvl>
  </w:abstractNum>
  <w:abstractNum w:abstractNumId="78">
    <w:nsid w:val="5092CA79"/>
    <w:multiLevelType w:val="hybridMultilevel"/>
    <w:lvl w:ilvl="0">
      <w:lvlJc w:val="left"/>
      <w:lvlText w:val="%1)"/>
      <w:numFmt w:val="lowerLetter"/>
      <w:start w:val="1"/>
    </w:lvl>
  </w:abstractNum>
  <w:abstractNum w:abstractNumId="79">
    <w:nsid w:val="1D545C4D"/>
    <w:multiLevelType w:val="hybridMultilevel"/>
    <w:lvl w:ilvl="0">
      <w:lvlJc w:val="left"/>
      <w:lvlText w:val="%1)"/>
      <w:numFmt w:val="lowerLetter"/>
      <w:start w:val="3"/>
    </w:lvl>
  </w:abstractNum>
  <w:abstractNum w:abstractNumId="80">
    <w:nsid w:val="59ADEA3D"/>
    <w:multiLevelType w:val="hybridMultilevel"/>
    <w:lvl w:ilvl="0">
      <w:lvlJc w:val="left"/>
      <w:lvlText w:val="%1)"/>
      <w:numFmt w:val="lowerLetter"/>
      <w:start w:val="4"/>
    </w:lvl>
  </w:abstractNum>
  <w:abstractNum w:abstractNumId="81">
    <w:nsid w:val="288F1A34"/>
    <w:multiLevelType w:val="hybridMultilevel"/>
    <w:lvl w:ilvl="0">
      <w:lvlJc w:val="left"/>
      <w:lvlText w:val="%1)"/>
      <w:numFmt w:val="lowerLetter"/>
      <w:start w:val="6"/>
    </w:lvl>
  </w:abstractNum>
  <w:abstractNum w:abstractNumId="82">
    <w:nsid w:val="2A155DBC"/>
    <w:multiLevelType w:val="hybridMultilevel"/>
    <w:lvl w:ilvl="0">
      <w:lvlJc w:val="left"/>
      <w:lvlText w:val="%1."/>
      <w:numFmt w:val="lowerLetter"/>
      <w:start w:val="4"/>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1."/>
      <w:numFmt w:val="lowerLetter"/>
      <w:start w:val="1"/>
    </w:lvl>
  </w:abstractNum>
  <w:abstractNum w:abstractNumId="85">
    <w:nsid w:val="51088277"/>
    <w:multiLevelType w:val="hybridMultilevel"/>
    <w:lvl w:ilvl="0">
      <w:lvlJc w:val="left"/>
      <w:lvlText w:val="%1."/>
      <w:numFmt w:val="lowerLetter"/>
      <w:start w:val="2"/>
    </w:lvl>
  </w:abstractNum>
  <w:abstractNum w:abstractNumId="86">
    <w:nsid w:val="1CA0C5FA"/>
    <w:multiLevelType w:val="hybridMultilevel"/>
    <w:lvl w:ilvl="0">
      <w:lvlJc w:val="left"/>
      <w:lvlText w:val="%1."/>
      <w:numFmt w:val="decimal"/>
      <w:start w:val="1"/>
    </w:lvl>
  </w:abstractNum>
  <w:abstractNum w:abstractNumId="87">
    <w:nsid w:val="53584BCB"/>
    <w:multiLevelType w:val="hybridMultilevel"/>
    <w:lvl w:ilvl="0">
      <w:lvlJc w:val="left"/>
      <w:lvlText w:val="%1."/>
      <w:numFmt w:val="decimal"/>
      <w:start w:val="2"/>
    </w:lvl>
  </w:abstractNum>
  <w:abstractNum w:abstractNumId="88">
    <w:nsid w:val="415E286C"/>
    <w:multiLevelType w:val="hybridMultilevel"/>
    <w:lvl w:ilvl="0">
      <w:lvlJc w:val="left"/>
      <w:lvlText w:val="%1."/>
      <w:numFmt w:val="lowerLetter"/>
      <w:start w:val="1"/>
    </w:lvl>
  </w:abstractNum>
  <w:abstractNum w:abstractNumId="89">
    <w:nsid w:val="7C58FD05"/>
    <w:multiLevelType w:val="hybridMultilevel"/>
    <w:lvl w:ilvl="0">
      <w:lvlJc w:val="left"/>
      <w:lvlText w:val="%1."/>
      <w:numFmt w:val="decimal"/>
      <w:start w:val="1"/>
    </w:lvl>
  </w:abstractNum>
  <w:abstractNum w:abstractNumId="90">
    <w:nsid w:val="23D86AAC"/>
    <w:multiLevelType w:val="hybridMultilevel"/>
    <w:lvl w:ilvl="0">
      <w:lvlJc w:val="left"/>
      <w:lvlText w:val="%1."/>
      <w:numFmt w:val="decimal"/>
      <w:start w:val="2"/>
    </w:lvl>
  </w:abstractNum>
  <w:abstractNum w:abstractNumId="91">
    <w:nsid w:val="45E6D486"/>
    <w:multiLevelType w:val="hybridMultilevel"/>
    <w:lvl w:ilvl="0">
      <w:lvlJc w:val="left"/>
      <w:lvlText w:val="%1."/>
      <w:numFmt w:val="lowerLetter"/>
      <w:start w:val="4"/>
    </w:lvl>
  </w:abstractNum>
  <w:abstractNum w:abstractNumId="92">
    <w:nsid w:val="5C10FE21"/>
    <w:multiLevelType w:val="hybridMultilevel"/>
    <w:lvl w:ilvl="0">
      <w:lvlJc w:val="left"/>
      <w:lvlText w:val="%1."/>
      <w:numFmt w:val="lowerLetter"/>
      <w:start w:val="5"/>
    </w:lvl>
  </w:abstractNum>
  <w:abstractNum w:abstractNumId="93">
    <w:nsid w:val="E7FFA2B"/>
    <w:multiLevelType w:val="hybridMultilevel"/>
    <w:lvl w:ilvl="0">
      <w:lvlJc w:val="left"/>
      <w:lvlText w:val="%1."/>
      <w:numFmt w:val="lowerLetter"/>
      <w:start w:val="7"/>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1."/>
      <w:numFmt w:val="lowerLetter"/>
      <w:start w:val="8"/>
    </w:lvl>
  </w:abstractNum>
  <w:abstractNum w:abstractNumId="97">
    <w:nsid w:val="39B7AAA2"/>
    <w:multiLevelType w:val="hybridMultilevel"/>
    <w:lvl w:ilvl="0">
      <w:lvlJc w:val="left"/>
      <w:lvlText w:val="%1."/>
      <w:numFmt w:val="lowerLetter"/>
      <w:start w:val="1"/>
    </w:lvl>
  </w:abstractNum>
  <w:abstractNum w:abstractNumId="98">
    <w:nsid w:val="2B0D8DBE"/>
    <w:multiLevelType w:val="hybridMultilevel"/>
    <w:lvl w:ilvl="0">
      <w:lvlJc w:val="left"/>
      <w:lvlText w:val="%1"/>
      <w:numFmt w:val="lowerLetter"/>
      <w:start w:val="1"/>
    </w:lvl>
    <w:lvl w:ilvl="1">
      <w:lvlJc w:val="left"/>
      <w:lvlText w:val="*"/>
      <w:numFmt w:val="bullet"/>
      <w:start w:val="1"/>
    </w:lvl>
  </w:abstractNum>
  <w:abstractNum w:abstractNumId="99">
    <w:nsid w:val="6C80EC70"/>
    <w:multiLevelType w:val="hybridMultilevel"/>
    <w:lvl w:ilvl="0">
      <w:lvlJc w:val="left"/>
      <w:lvlText w:val="(%1)"/>
      <w:numFmt w:val="decimal"/>
      <w:start w:val="1"/>
    </w:lvl>
  </w:abstractNum>
  <w:abstractNum w:abstractNumId="100">
    <w:nsid w:val="379E21B5"/>
    <w:multiLevelType w:val="hybridMultilevel"/>
    <w:lvl w:ilvl="0">
      <w:lvlJc w:val="left"/>
      <w:lvlText w:val="%1."/>
      <w:numFmt w:val="lowerLetter"/>
      <w:start w:val="1"/>
    </w:lvl>
  </w:abstractNum>
  <w:abstractNum w:abstractNumId="101">
    <w:nsid w:val="69E373"/>
    <w:multiLevelType w:val="hybridMultilevel"/>
    <w:lvl w:ilvl="0">
      <w:lvlJc w:val="left"/>
      <w:lvlText w:val="%1."/>
      <w:numFmt w:val="lowerLetter"/>
      <w:start w:val="2"/>
    </w:lvl>
  </w:abstractNum>
  <w:abstractNum w:abstractNumId="102">
    <w:nsid w:val="2C27173B"/>
    <w:multiLevelType w:val="hybridMultilevel"/>
    <w:lvl w:ilvl="0">
      <w:lvlJc w:val="left"/>
      <w:lvlText w:val="%1."/>
      <w:numFmt w:val="lowerLetter"/>
      <w:start w:val="1"/>
    </w:lvl>
  </w:abstractNum>
  <w:abstractNum w:abstractNumId="103">
    <w:nsid w:val="4C9B0904"/>
    <w:multiLevelType w:val="hybridMultilevel"/>
    <w:lvl w:ilvl="0">
      <w:lvlJc w:val="left"/>
      <w:lvlText w:val="%1."/>
      <w:numFmt w:val="lowerLetter"/>
      <w:start w:val="3"/>
    </w:lvl>
  </w:abstractNum>
  <w:abstractNum w:abstractNumId="104">
    <w:nsid w:val="6AA7B75C"/>
    <w:multiLevelType w:val="hybridMultilevel"/>
    <w:lvl w:ilvl="0">
      <w:lvlJc w:val="left"/>
      <w:lvlText w:val="%1."/>
      <w:numFmt w:val="upperLetter"/>
      <w:start w:val="9"/>
    </w:lvl>
  </w:abstractNum>
  <w:abstractNum w:abstractNumId="105">
    <w:nsid w:val="1DF029D3"/>
    <w:multiLevelType w:val="hybridMultilevel"/>
    <w:lvl w:ilvl="0">
      <w:lvlJc w:val="left"/>
      <w:lvlText w:val="%1."/>
      <w:numFmt w:val="upperLetter"/>
      <w:start w:val="35"/>
    </w:lvl>
  </w:abstractNum>
  <w:abstractNum w:abstractNumId="106">
    <w:nsid w:val="5675FF36"/>
    <w:multiLevelType w:val="hybridMultilevel"/>
    <w:lvl w:ilvl="0">
      <w:lvlJc w:val="left"/>
      <w:lvlText w:val="%1."/>
      <w:numFmt w:val="upperLetter"/>
      <w:start w:val="61"/>
    </w:lvl>
    <w:lvl w:ilvl="1">
      <w:lvlJc w:val="left"/>
      <w:lvlText w:val="%2."/>
      <w:numFmt w:val="decimal"/>
      <w:start w:val="1"/>
    </w:lvl>
  </w:abstractNum>
  <w:abstractNum w:abstractNumId="107">
    <w:nsid w:val="3DD15094"/>
    <w:multiLevelType w:val="hybridMultilevel"/>
    <w:lvl w:ilvl="0">
      <w:lvlJc w:val="left"/>
      <w:lvlText w:val="(%1)"/>
      <w:numFmt w:val="lowerLetter"/>
      <w:start w:val="1"/>
    </w:lvl>
  </w:abstractNum>
  <w:abstractNum w:abstractNumId="108">
    <w:nsid w:val="3DB012B3"/>
    <w:multiLevelType w:val="hybridMultilevel"/>
    <w:lvl w:ilvl="0">
      <w:lvlJc w:val="left"/>
      <w:lvlText w:val="%1."/>
      <w:numFmt w:val="decimal"/>
      <w:start w:val="2"/>
    </w:lvl>
  </w:abstractNum>
  <w:abstractNum w:abstractNumId="109">
    <w:nsid w:val="2708C9AF"/>
    <w:multiLevelType w:val="hybridMultilevel"/>
    <w:lvl w:ilvl="0">
      <w:lvlJc w:val="left"/>
      <w:lvlText w:val="%1."/>
      <w:numFmt w:val="decimal"/>
      <w:start w:val="3"/>
    </w:lvl>
  </w:abstractNum>
  <w:abstractNum w:abstractNumId="110">
    <w:nsid w:val="5B25ACE2"/>
    <w:multiLevelType w:val="hybridMultilevel"/>
    <w:lvl w:ilvl="0">
      <w:lvlJc w:val="left"/>
      <w:lvlText w:val="%1."/>
      <w:numFmt w:val="decimal"/>
      <w:start w:val="4"/>
    </w:lvl>
  </w:abstractNum>
  <w:abstractNum w:abstractNumId="111">
    <w:nsid w:val="175DFCF0"/>
    <w:multiLevelType w:val="hybridMultilevel"/>
    <w:lvl w:ilvl="0">
      <w:lvlJc w:val="left"/>
      <w:lvlText w:val="•"/>
      <w:numFmt w:val="bullet"/>
      <w:start w:val="1"/>
    </w:lvl>
  </w:abstractNum>
  <w:abstractNum w:abstractNumId="112">
    <w:nsid w:val="4F97E3E4"/>
    <w:multiLevelType w:val="hybridMultilevel"/>
    <w:lvl w:ilvl="0">
      <w:lvlJc w:val="left"/>
      <w:lvlText w:val="•"/>
      <w:numFmt w:val="bullet"/>
      <w:start w:val="1"/>
    </w:lvl>
  </w:abstractNum>
  <w:abstractNum w:abstractNumId="113">
    <w:nsid w:val="53B0A9E"/>
    <w:multiLevelType w:val="hybridMultilevel"/>
    <w:lvl w:ilvl="0">
      <w:lvlJc w:val="left"/>
      <w:lvlText w:val="%1"/>
      <w:numFmt w:val="decimal"/>
      <w:start w:val="1"/>
    </w:lvl>
    <w:lvl w:ilvl="1">
      <w:lvlJc w:val="left"/>
      <w:lvlText w:val="%2."/>
      <w:numFmt w:val="decimal"/>
      <w:start w:val="5"/>
    </w:lvl>
  </w:abstractNum>
  <w:abstractNum w:abstractNumId="114">
    <w:nsid w:val="34FD6B4F"/>
    <w:multiLevelType w:val="hybridMultilevel"/>
    <w:lvl w:ilvl="0">
      <w:lvlJc w:val="left"/>
      <w:lvlText w:val="%1."/>
      <w:numFmt w:val="decimal"/>
      <w:start w:val="6"/>
    </w:lvl>
    <w:lvl w:ilvl="1">
      <w:lvlJc w:val="left"/>
      <w:lvlText w:val="%2"/>
      <w:numFmt w:val="decimal"/>
      <w:start w:val="1"/>
    </w:lvl>
  </w:abstractNum>
  <w:abstractNum w:abstractNumId="115">
    <w:nsid w:val="5915FF32"/>
    <w:multiLevelType w:val="hybridMultilevel"/>
    <w:lvl w:ilvl="0">
      <w:lvlJc w:val="left"/>
      <w:lvlText w:val="(%1)"/>
      <w:numFmt w:val="lowerLetter"/>
      <w:start w:val="1"/>
    </w:lvl>
  </w:abstractNum>
  <w:abstractNum w:abstractNumId="116">
    <w:nsid w:val="56438D15"/>
    <w:multiLevelType w:val="hybridMultilevel"/>
    <w:lvl w:ilvl="0">
      <w:lvlJc w:val="left"/>
      <w:lvlText w:val="%1."/>
      <w:numFmt w:val="decimal"/>
      <w:start w:val="7"/>
    </w:lvl>
  </w:abstractNum>
  <w:abstractNum w:abstractNumId="117">
    <w:nsid w:val="519E3149"/>
    <w:multiLevelType w:val="hybridMultilevel"/>
    <w:lvl w:ilvl="0">
      <w:lvlJc w:val="left"/>
      <w:lvlText w:val="(%1)"/>
      <w:numFmt w:val="lowerLetter"/>
      <w:start w:val="1"/>
    </w:lvl>
  </w:abstractNum>
  <w:abstractNum w:abstractNumId="118">
    <w:nsid w:val="2C6E4AFD"/>
    <w:multiLevelType w:val="hybridMultilevel"/>
    <w:lvl w:ilvl="0">
      <w:lvlJc w:val="left"/>
      <w:lvlText w:val="(%1)"/>
      <w:numFmt w:val="lowerLetter"/>
      <w:start w:val="3"/>
    </w:lvl>
  </w:abstractNum>
  <w:abstractNum w:abstractNumId="119">
    <w:nsid w:val="17A1B582"/>
    <w:multiLevelType w:val="hybridMultilevel"/>
    <w:lvl w:ilvl="0">
      <w:lvlJc w:val="left"/>
      <w:lvlText w:val="%1."/>
      <w:numFmt w:val="decimal"/>
      <w:start w:val="10"/>
    </w:lvl>
  </w:abstractNum>
  <w:abstractNum w:abstractNumId="120">
    <w:nsid w:val="4DF72E4E"/>
    <w:multiLevelType w:val="hybridMultilevel"/>
    <w:lvl w:ilvl="0">
      <w:lvlJc w:val="left"/>
      <w:lvlText w:val="(%1)"/>
      <w:numFmt w:val="lowerLetter"/>
      <w:start w:val="1"/>
    </w:lvl>
  </w:abstractNum>
  <w:abstractNum w:abstractNumId="121">
    <w:nsid w:val="5046B5A9"/>
    <w:multiLevelType w:val="hybridMultilevel"/>
    <w:lvl w:ilvl="0">
      <w:lvlJc w:val="left"/>
      <w:lvlText w:val="(%1)"/>
      <w:numFmt w:val="lowerLetter"/>
      <w:start w:val="2"/>
    </w:lvl>
  </w:abstractNum>
  <w:abstractNum w:abstractNumId="122">
    <w:nsid w:val="5D888A08"/>
    <w:multiLevelType w:val="hybridMultilevel"/>
    <w:lvl w:ilvl="0">
      <w:lvlJc w:val="left"/>
      <w:lvlText w:val="%1."/>
      <w:numFmt w:val="decimal"/>
      <w:start w:val="11"/>
    </w:lvl>
  </w:abstractNum>
  <w:abstractNum w:abstractNumId="123">
    <w:nsid w:val="2A082C70"/>
    <w:multiLevelType w:val="hybridMultilevel"/>
    <w:lvl w:ilvl="0">
      <w:lvlJc w:val="left"/>
      <w:lvlText w:val="%1."/>
      <w:numFmt w:val="decimal"/>
      <w:start w:val="1"/>
    </w:lvl>
  </w:abstractNum>
  <w:abstractNum w:abstractNumId="124">
    <w:nsid w:val="5EC6AFD4"/>
    <w:multiLevelType w:val="hybridMultilevel"/>
    <w:lvl w:ilvl="0">
      <w:lvlJc w:val="left"/>
      <w:lvlText w:val="(%1)"/>
      <w:numFmt w:val="lowerLetter"/>
      <w:start w:val="1"/>
    </w:lvl>
  </w:abstractNum>
  <w:abstractNum w:abstractNumId="125">
    <w:nsid w:val="19E21BB2"/>
    <w:multiLevelType w:val="hybridMultilevel"/>
    <w:lvl w:ilvl="0">
      <w:lvlJc w:val="left"/>
      <w:lvlText w:val="%1."/>
      <w:numFmt w:val="decimal"/>
      <w:start w:val="2"/>
    </w:lvl>
  </w:abstractNum>
  <w:abstractNum w:abstractNumId="126">
    <w:nsid w:val="75E0858A"/>
    <w:multiLevelType w:val="hybridMultilevel"/>
    <w:lvl w:ilvl="0">
      <w:lvlJc w:val="left"/>
      <w:lvlText w:val="%1."/>
      <w:numFmt w:val="decimal"/>
      <w:start w:val="4"/>
    </w:lvl>
  </w:abstractNum>
  <w:abstractNum w:abstractNumId="127">
    <w:nsid w:val="57A61A29"/>
    <w:multiLevelType w:val="hybridMultilevel"/>
    <w:lvl w:ilvl="0">
      <w:lvlJc w:val="left"/>
      <w:lvlText w:val="%1."/>
      <w:numFmt w:val="upperLetter"/>
      <w:start w:val="22"/>
    </w:lvl>
    <w:lvl w:ilvl="1">
      <w:lvlJc w:val="left"/>
      <w:lvlText w:val="%2."/>
      <w:numFmt w:val="decimal"/>
      <w:start w:val="1"/>
    </w:lvl>
  </w:abstractNum>
  <w:abstractNum w:abstractNumId="128">
    <w:nsid w:val="5399C654"/>
    <w:multiLevelType w:val="hybridMultilevel"/>
    <w:lvl w:ilvl="0">
      <w:lvlJc w:val="left"/>
      <w:lvlText w:val="(%1)"/>
      <w:numFmt w:val="lowerLetter"/>
      <w:start w:val="1"/>
    </w:lvl>
  </w:abstractNum>
  <w:abstractNum w:abstractNumId="129">
    <w:nsid w:val="20EE1348"/>
    <w:multiLevelType w:val="hybridMultilevel"/>
    <w:lvl w:ilvl="0">
      <w:lvlJc w:val="left"/>
      <w:lvlText w:val="%1."/>
      <w:numFmt w:val="decimal"/>
      <w:start w:val="2"/>
    </w:lvl>
  </w:abstractNum>
  <w:abstractNum w:abstractNumId="130">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11" Type="http://schemas.openxmlformats.org/officeDocument/2006/relationships/image" Target="media/image93.png"/><Relationship Id="rId123"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jpeg"/><Relationship Id="rId135" Type="http://schemas.openxmlformats.org/officeDocument/2006/relationships/image" Target="media/image102.png"/><Relationship Id="rId136" Type="http://schemas.openxmlformats.org/officeDocument/2006/relationships/image" Target="media/image103.jpe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jpe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44" Type="http://schemas.openxmlformats.org/officeDocument/2006/relationships/hyperlink" Target="https://www.sec.gov/Archives/edgar/data/1006281/000114420418013053/tv486893_ex10-16.htm" TargetMode="External"/><Relationship Id="rId83" Type="http://schemas.openxmlformats.org/officeDocument/2006/relationships/hyperlink" Target="https://www.sec.gov/Archives/edgar/data/1006281/000155837023013483/plx-20230630xex10d1.htm" TargetMode="External"/><Relationship Id="rId102" Type="http://schemas.openxmlformats.org/officeDocument/2006/relationships/hyperlink" Target="https://www.sec.gov/Archives/edgar/data/1006281/000155837023002104/plx-20230227xex1d1.htm" TargetMode="External"/><Relationship Id="rId103" Type="http://schemas.openxmlformats.org/officeDocument/2006/relationships/hyperlink" Target="https://www.sec.gov/Archives/edgar/data/1006281/000114420416092335/v435826_ex3-1.htm" TargetMode="External"/><Relationship Id="rId104" Type="http://schemas.openxmlformats.org/officeDocument/2006/relationships/hyperlink" Target="https://www.sec.gov/Archives/edgar/data/1006281/000114420416111273/v443094_def14a.htm" TargetMode="External"/><Relationship Id="rId105" Type="http://schemas.openxmlformats.org/officeDocument/2006/relationships/hyperlink" Target="https://www.sec.gov/Archives/edgar/data/1006281/000114420418054229/tv504383-def14a.htm" TargetMode="External"/><Relationship Id="rId106" Type="http://schemas.openxmlformats.org/officeDocument/2006/relationships/hyperlink" Target="https://www.sec.gov/Archives/edgar/data/1006281/000110465919074602/tm1926620d1_ex3-1.htm" TargetMode="External"/><Relationship Id="rId107" Type="http://schemas.openxmlformats.org/officeDocument/2006/relationships/hyperlink" Target="https://www.sec.gov/Archives/edgar/data/1006281/000155837022013560/plx-20220630xex3d5.htm" TargetMode="External"/><Relationship Id="rId108" Type="http://schemas.openxmlformats.org/officeDocument/2006/relationships/hyperlink" Target="https://www.sec.gov/Archives/edgar/data/1006281/000155837023013483/plx-20230630xex3d6.htm" TargetMode="External"/><Relationship Id="rId109" Type="http://schemas.openxmlformats.org/officeDocument/2006/relationships/hyperlink" Target="https://www.sec.gov/Archives/edgar/data/1006281/000155837024016505/plx-20241227xex3d1.htm" TargetMode="External"/><Relationship Id="rId110" Type="http://schemas.openxmlformats.org/officeDocument/2006/relationships/hyperlink" Target="https://www.sec.gov/Archives/edgar/data/1006281/000114420412040015/v318898_ex4-1.htm" TargetMode="External"/><Relationship Id="rId112" Type="http://schemas.openxmlformats.org/officeDocument/2006/relationships/hyperlink" Target="https://www.sec.gov/Archives/edgar/data/1006281/000110465920092375/plx-20200630xex4d8.htm" TargetMode="External"/><Relationship Id="rId113" Type="http://schemas.openxmlformats.org/officeDocument/2006/relationships/hyperlink" Target="https://www.sec.gov/Archives/edgar/data/1006281/000110465920092375/plx-20200630xex4d9.htm" TargetMode="External"/><Relationship Id="rId114" Type="http://schemas.openxmlformats.org/officeDocument/2006/relationships/hyperlink" Target="https://www.sec.gov/Archives/edgar/data/1006281/000095014407000141/g04822exv10w9.htm" TargetMode="External"/><Relationship Id="rId115" Type="http://schemas.openxmlformats.org/officeDocument/2006/relationships/hyperlink" Target="https://www.sec.gov/Archives/edgar/data/1006281/000095013608001374/file2.htm" TargetMode="External"/><Relationship Id="rId116" Type="http://schemas.openxmlformats.org/officeDocument/2006/relationships/hyperlink" Target="https://www.sec.gov/Archives/edgar/data/1006281/000155837021007157/plx-20210331xex10d1.htm" TargetMode="External"/><Relationship Id="rId117" Type="http://schemas.openxmlformats.org/officeDocument/2006/relationships/hyperlink" Target="https://www.sec.gov/Archives/edgar/data/1006281/000155837021007157/plx-20210331xex10d2.htm" TargetMode="External"/><Relationship Id="rId118" Type="http://schemas.openxmlformats.org/officeDocument/2006/relationships/hyperlink" Target="https://www.sec.gov/Archives/edgar/data/1006281/000155837021007157/plx-20210331xex10d3.htm" TargetMode="External"/><Relationship Id="rId119" Type="http://schemas.openxmlformats.org/officeDocument/2006/relationships/hyperlink" Target="https://www.sec.gov/Archives/edgar/data/1006281/000114420415070554/v426600_ex10-1.htm" TargetMode="External"/><Relationship Id="rId120" Type="http://schemas.openxmlformats.org/officeDocument/2006/relationships/hyperlink" Target="https://www.sec.gov/Archives/edgar/data/1006281/000114420418057990/tv505296_ex10-1.htm" TargetMode="External"/><Relationship Id="rId121" Type="http://schemas.openxmlformats.org/officeDocument/2006/relationships/hyperlink" Target="https://www.sec.gov/Archives/edgar/data/1006281/000114420419027423/tv522023_ex10-1.htm" TargetMode="External"/><Relationship Id="rId122" Type="http://schemas.openxmlformats.org/officeDocument/2006/relationships/hyperlink" Target="https://www.sec.gov/Archives/edgar/data/1006281/000114420419036350/tv526084_ex10-1.htm" TargetMode="External"/><Relationship Id="rId124" Type="http://schemas.openxmlformats.org/officeDocument/2006/relationships/hyperlink" Target="https://www.sec.gov/Archives/edgar/data/1006281/000155837024009567/plx-20240627xex10d1.htm" TargetMode="External"/><Relationship Id="rId125" Type="http://schemas.openxmlformats.org/officeDocument/2006/relationships/hyperlink" Target="https://www.sec.gov/Archives/edgar/data/1006281/000155837022017554/plx-20220930xex10d1.htm" TargetMode="External"/><Relationship Id="rId126" Type="http://schemas.openxmlformats.org/officeDocument/2006/relationships/hyperlink" Target="https://www.sec.gov/Archives/edgar/data/1006281/000155837022017554/plx-20220930xex10d2.htm" TargetMode="External"/><Relationship Id="rId127" Type="http://schemas.openxmlformats.org/officeDocument/2006/relationships/hyperlink" Target="https://www.sec.gov/Archives/edgar/data/1006281/000155837024003161/plx-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2025-03-17T08:46:56Z</dcterms:created>
  <dcterms:modified xsi:type="dcterms:W3CDTF">2025-03-17T08:46:56Z</dcterms:modified>
</cp:coreProperties>
</file>