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505714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5057140"/>
                    </a:xfrm>
                    <a:prstGeom prst="rect">
                      <a:avLst/>
                    </a:prstGeom>
                    <a:noFill/>
                  </pic:spPr>
                </pic:pic>
              </a:graphicData>
            </a:graphic>
          </wp:anchor>
        </w:drawing>
      </w:r>
    </w:p>
    <w:p>
      <w:pPr>
        <w:sectPr>
          <w:pgSz w:w="11900" w:h="16838" w:orient="portrait"/>
          <w:cols w:equalWidth="0" w:num="1">
            <w:col w:w="10940"/>
          </w:cols>
          <w:pgMar w:left="480" w:top="230" w:right="479" w:bottom="144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gridSpan w:val="3"/>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060" w:type="dxa"/>
            <w:vAlign w:val="bottom"/>
            <w:gridSpan w:val="2"/>
            <w:vMerge w:val="restart"/>
          </w:tcPr>
          <w:p>
            <w:pPr>
              <w:spacing w:after="0"/>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Mamlok Gilad</w:t>
              </w:r>
            </w:hyperlink>
          </w:p>
        </w:tc>
        <w:tc>
          <w:tcPr>
            <w:tcW w:w="1520" w:type="dxa"/>
            <w:vAlign w:val="bottom"/>
          </w:tcPr>
          <w:p>
            <w:pPr>
              <w:ind w:left="16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060" w:type="dxa"/>
            <w:vAlign w:val="bottom"/>
            <w:gridSpan w:val="2"/>
            <w:vMerge w:val="continue"/>
          </w:tcPr>
          <w:p>
            <w:pPr>
              <w:spacing w:after="0"/>
              <w:rPr>
                <w:sz w:val="14"/>
                <w:szCs w:val="14"/>
                <w:color w:val="auto"/>
              </w:rPr>
            </w:pPr>
          </w:p>
        </w:tc>
        <w:tc>
          <w:tcPr>
            <w:tcW w:w="1520" w:type="dxa"/>
            <w:vAlign w:val="bottom"/>
          </w:tcPr>
          <w:p>
            <w:pPr>
              <w:ind w:left="16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1400" w:type="dxa"/>
            <w:vAlign w:val="bottom"/>
            <w:tcBorders>
              <w:top w:val="single" w:sz="8" w:color="0000EE"/>
              <w:bottom w:val="single" w:sz="8" w:color="9A9A9A"/>
            </w:tcBorders>
          </w:tcPr>
          <w:p>
            <w:pPr>
              <w:spacing w:after="0"/>
              <w:rPr>
                <w:sz w:val="17"/>
                <w:szCs w:val="17"/>
                <w:color w:val="auto"/>
              </w:rPr>
            </w:pPr>
          </w:p>
        </w:tc>
        <w:tc>
          <w:tcPr>
            <w:tcW w:w="166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Times New Roman" w:cs="Times New Roman" w:eastAsia="Times New Roman" w:hAnsi="Times New Roman"/>
                <w:sz w:val="20"/>
                <w:szCs w:val="20"/>
                <w:color w:val="0000FF"/>
              </w:rPr>
              <w:t>08/24/2025</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3" w:lineRule="exact"/>
        <w:rPr>
          <w:sz w:val="24"/>
          <w:szCs w:val="24"/>
          <w:color w:val="auto"/>
        </w:rPr>
      </w:pPr>
    </w:p>
    <w:p>
      <w:pPr>
        <w:spacing w:after="0"/>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Protalix BioTherapeutics, Inc.</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PLX</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line="358" w:lineRule="exact"/>
        <w:rPr>
          <w:sz w:val="24"/>
          <w:szCs w:val="24"/>
          <w:color w:val="auto"/>
        </w:rPr>
      </w:pPr>
    </w:p>
    <w:p>
      <w:pPr>
        <w:sectPr>
          <w:pgSz w:w="11900" w:h="16838" w:orient="portrait"/>
          <w:cols w:equalWidth="0" w:num="2">
            <w:col w:w="4720" w:space="280"/>
            <w:col w:w="5940"/>
          </w:cols>
          <w:pgMar w:left="480" w:top="230" w:right="479" w:bottom="1440" w:gutter="0" w:footer="0" w:header="0"/>
          <w:type w:val="continuous"/>
        </w:sectPr>
      </w:pPr>
    </w:p>
    <w:p>
      <w:pPr>
        <w:spacing w:after="0" w:line="75"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82"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20"/>
          <w:szCs w:val="20"/>
          <w:color w:val="0000FF"/>
        </w:rPr>
        <w:t>CO PROTALIX</w:t>
      </w:r>
    </w:p>
    <w:p>
      <w:pPr>
        <w:spacing w:after="0" w:line="24"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20"/>
          <w:szCs w:val="20"/>
          <w:color w:val="0000FF"/>
        </w:rPr>
        <w:t>BIOTHERAPEUTICS, INC.</w:t>
      </w:r>
    </w:p>
    <w:p>
      <w:pPr>
        <w:spacing w:after="0" w:line="56" w:lineRule="exact"/>
        <w:rPr>
          <w:sz w:val="24"/>
          <w:szCs w:val="24"/>
          <w:color w:val="auto"/>
        </w:rPr>
      </w:pPr>
    </w:p>
    <w:p>
      <w:pPr>
        <w:ind w:left="140" w:right="1617"/>
        <w:spacing w:after="0" w:line="275" w:lineRule="auto"/>
        <w:rPr>
          <w:sz w:val="20"/>
          <w:szCs w:val="20"/>
          <w:color w:val="auto"/>
        </w:rPr>
      </w:pPr>
      <w:r>
        <w:rPr>
          <w:rFonts w:ascii="Times New Roman" w:cs="Times New Roman" w:eastAsia="Times New Roman" w:hAnsi="Times New Roman"/>
          <w:sz w:val="20"/>
          <w:szCs w:val="20"/>
          <w:color w:val="0000FF"/>
        </w:rPr>
        <w:t>2 SNUNIT STREET, SCIENCE PARK, P.O. BOX</w:t>
      </w:r>
    </w:p>
    <w:p>
      <w:pPr>
        <w:spacing w:after="0" w:line="269" w:lineRule="exact"/>
        <w:rPr>
          <w:sz w:val="24"/>
          <w:szCs w:val="24"/>
          <w:color w:val="auto"/>
        </w:rPr>
      </w:pPr>
    </w:p>
    <w:tbl>
      <w:tblPr>
        <w:tblLayout w:type="fixed"/>
        <w:tblInd w:w="100" w:type="dxa"/>
        <w:tblCellMar>
          <w:top w:w="0" w:type="dxa"/>
          <w:left w:w="0" w:type="dxa"/>
          <w:bottom w:w="0" w:type="dxa"/>
          <w:right w:w="0" w:type="dxa"/>
        </w:tblCellMar>
      </w:tblPr>
      <w:tr>
        <w:trPr>
          <w:trHeight w:val="198"/>
        </w:trPr>
        <w:tc>
          <w:tcPr>
            <w:tcW w:w="1680" w:type="dxa"/>
            <w:vAlign w:val="bottom"/>
          </w:tcPr>
          <w:p>
            <w:pPr>
              <w:spacing w:after="0"/>
              <w:rPr>
                <w:sz w:val="20"/>
                <w:szCs w:val="20"/>
                <w:color w:val="auto"/>
              </w:rPr>
            </w:pPr>
            <w:r>
              <w:rPr>
                <w:rFonts w:ascii="Arial" w:cs="Arial" w:eastAsia="Arial" w:hAnsi="Arial"/>
                <w:sz w:val="15"/>
                <w:szCs w:val="15"/>
                <w:color w:val="auto"/>
              </w:rPr>
              <w:t>(Street)</w:t>
            </w:r>
          </w:p>
        </w:tc>
        <w:tc>
          <w:tcPr>
            <w:tcW w:w="1100" w:type="dxa"/>
            <w:vAlign w:val="bottom"/>
          </w:tcPr>
          <w:p>
            <w:pPr>
              <w:spacing w:after="0"/>
              <w:rPr>
                <w:sz w:val="17"/>
                <w:szCs w:val="17"/>
                <w:color w:val="auto"/>
              </w:rPr>
            </w:pPr>
          </w:p>
        </w:tc>
      </w:tr>
      <w:tr>
        <w:trPr>
          <w:trHeight w:val="265"/>
        </w:trPr>
        <w:tc>
          <w:tcPr>
            <w:tcW w:w="1680" w:type="dxa"/>
            <w:vAlign w:val="bottom"/>
          </w:tcPr>
          <w:p>
            <w:pPr>
              <w:ind w:left="40"/>
              <w:spacing w:after="0"/>
              <w:rPr>
                <w:sz w:val="20"/>
                <w:szCs w:val="20"/>
                <w:color w:val="auto"/>
              </w:rPr>
            </w:pPr>
            <w:r>
              <w:rPr>
                <w:rFonts w:ascii="Times New Roman" w:cs="Times New Roman" w:eastAsia="Times New Roman" w:hAnsi="Times New Roman"/>
                <w:sz w:val="20"/>
                <w:szCs w:val="20"/>
                <w:color w:val="0000FF"/>
              </w:rPr>
              <w:t>CARMIEL  L3</w:t>
            </w: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0000FF"/>
              </w:rPr>
              <w:t>2161401</w:t>
            </w:r>
          </w:p>
        </w:tc>
      </w:tr>
    </w:tbl>
    <w:p>
      <w:pPr>
        <w:spacing w:after="0" w:line="20" w:lineRule="exact"/>
        <w:rPr>
          <w:sz w:val="24"/>
          <w:szCs w:val="24"/>
          <w:color w:val="auto"/>
        </w:rPr>
      </w:pPr>
      <w:r>
        <w:rPr>
          <w:sz w:val="24"/>
          <w:szCs w:val="24"/>
          <w:color w:val="auto"/>
        </w:rPr>
        <w:br w:type="column"/>
      </w:r>
    </w:p>
    <w:p>
      <w:pPr>
        <w:ind w:left="3" w:right="300" w:hanging="3"/>
        <w:spacing w:after="0" w:line="23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24"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53"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7"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38" w:lineRule="exact"/>
        <w:rPr>
          <w:sz w:val="24"/>
          <w:szCs w:val="24"/>
          <w:color w:val="auto"/>
        </w:rPr>
      </w:pPr>
    </w:p>
    <w:p>
      <w:pPr>
        <w:ind w:left="923"/>
        <w:spacing w:after="0"/>
        <w:rPr>
          <w:sz w:val="20"/>
          <w:szCs w:val="20"/>
          <w:color w:val="auto"/>
        </w:rPr>
      </w:pPr>
      <w:r>
        <w:rPr>
          <w:rFonts w:ascii="Times New Roman" w:cs="Times New Roman" w:eastAsia="Times New Roman" w:hAnsi="Times New Roman"/>
          <w:sz w:val="20"/>
          <w:szCs w:val="20"/>
          <w:color w:val="0000FF"/>
        </w:rPr>
        <w:t>Sr. VP and CFO</w:t>
      </w:r>
    </w:p>
    <w:p>
      <w:pPr>
        <w:spacing w:after="0" w:line="20" w:lineRule="exact"/>
        <w:rPr>
          <w:sz w:val="24"/>
          <w:szCs w:val="24"/>
          <w:color w:val="auto"/>
        </w:rPr>
      </w:pPr>
      <w:r>
        <w:rPr>
          <w:sz w:val="24"/>
          <w:szCs w:val="24"/>
          <w:color w:val="auto"/>
        </w:rPr>
        <w:br w:type="column"/>
      </w:r>
    </w:p>
    <w:p>
      <w:pPr>
        <w:ind w:right="440" w:firstLine="9"/>
        <w:spacing w:after="0" w:line="244" w:lineRule="auto"/>
        <w:tabs>
          <w:tab w:leader="none" w:pos="167"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rPr>
          <w:sz w:val="20"/>
          <w:szCs w:val="20"/>
          <w:color w:val="auto"/>
        </w:rPr>
      </w:pPr>
      <w:r>
        <w:rPr>
          <w:rFonts w:ascii="Times New Roman" w:cs="Times New Roman" w:eastAsia="Times New Roman" w:hAnsi="Times New Roman"/>
          <w:sz w:val="20"/>
          <w:szCs w:val="20"/>
          <w:color w:val="0000FF"/>
        </w:rPr>
        <w:t>08/25/2025</w:t>
      </w:r>
    </w:p>
    <w:p>
      <w:pPr>
        <w:spacing w:after="0" w:line="200" w:lineRule="exact"/>
        <w:rPr>
          <w:sz w:val="24"/>
          <w:szCs w:val="24"/>
          <w:color w:val="auto"/>
        </w:rPr>
      </w:pPr>
    </w:p>
    <w:p>
      <w:pPr>
        <w:spacing w:after="0" w:line="239" w:lineRule="exact"/>
        <w:rPr>
          <w:sz w:val="24"/>
          <w:szCs w:val="24"/>
          <w:color w:val="auto"/>
        </w:rPr>
      </w:pPr>
    </w:p>
    <w:p>
      <w:pPr>
        <w:ind w:right="480" w:firstLine="9"/>
        <w:spacing w:after="0" w:line="261" w:lineRule="auto"/>
        <w:tabs>
          <w:tab w:leader="none" w:pos="167" w:val="left"/>
        </w:tabs>
        <w:numPr>
          <w:ilvl w:val="0"/>
          <w:numId w:val="3"/>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ind w:left="460" w:right="340"/>
        <w:spacing w:after="0" w:line="264" w:lineRule="auto"/>
        <w:rPr>
          <w:sz w:val="20"/>
          <w:szCs w:val="20"/>
          <w:color w:val="auto"/>
        </w:rPr>
      </w:pPr>
      <w:r>
        <w:rPr>
          <w:rFonts w:ascii="Arial" w:cs="Arial" w:eastAsia="Arial" w:hAnsi="Arial"/>
          <w:sz w:val="15"/>
          <w:szCs w:val="15"/>
          <w:color w:val="auto"/>
        </w:rPr>
        <w:t>Form filed by One Reporting Person</w:t>
      </w:r>
    </w:p>
    <w:p>
      <w:pPr>
        <w:spacing w:after="0" w:line="11" w:lineRule="exact"/>
        <w:rPr>
          <w:sz w:val="24"/>
          <w:szCs w:val="24"/>
          <w:color w:val="auto"/>
        </w:rPr>
      </w:pPr>
    </w:p>
    <w:p>
      <w:pPr>
        <w:ind w:left="460" w:right="320"/>
        <w:spacing w:after="0" w:line="264" w:lineRule="auto"/>
        <w:rPr>
          <w:sz w:val="20"/>
          <w:szCs w:val="20"/>
          <w:color w:val="auto"/>
        </w:rPr>
      </w:pPr>
      <w:r>
        <w:rPr>
          <w:rFonts w:ascii="Arial" w:cs="Arial" w:eastAsia="Arial" w:hAnsi="Arial"/>
          <w:sz w:val="15"/>
          <w:szCs w:val="15"/>
          <w:color w:val="auto"/>
        </w:rPr>
        <w:t>Form filed by More than One Reporting Person</w:t>
      </w:r>
    </w:p>
    <w:p>
      <w:pPr>
        <w:spacing w:after="0" w:line="200" w:lineRule="exact"/>
        <w:rPr>
          <w:sz w:val="24"/>
          <w:szCs w:val="24"/>
          <w:color w:val="auto"/>
        </w:rPr>
      </w:pPr>
    </w:p>
    <w:p>
      <w:pPr>
        <w:sectPr>
          <w:pgSz w:w="11900" w:h="16838" w:orient="portrait"/>
          <w:cols w:equalWidth="0" w:num="3">
            <w:col w:w="4277" w:space="720"/>
            <w:col w:w="3003" w:space="260"/>
            <w:col w:w="2680"/>
          </w:cols>
          <w:pgMar w:left="480" w:top="230" w:right="479" w:bottom="1440" w:gutter="0" w:footer="0" w:header="0"/>
          <w:type w:val="continuous"/>
        </w:sectPr>
      </w:pPr>
    </w:p>
    <w:p>
      <w:pPr>
        <w:spacing w:after="0" w:line="111"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20" w:type="dxa"/>
        <w:tblCellMar>
          <w:top w:w="0" w:type="dxa"/>
          <w:left w:w="0" w:type="dxa"/>
          <w:bottom w:w="0" w:type="dxa"/>
          <w:right w:w="0" w:type="dxa"/>
        </w:tblCellMar>
      </w:tblPr>
      <w:tr>
        <w:trPr>
          <w:trHeight w:val="172"/>
        </w:trPr>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60" w:type="dxa"/>
            <w:vAlign w:val="bottom"/>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60" w:type="dxa"/>
            <w:vAlign w:val="bottom"/>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r>
      <w:tr>
        <w:trPr>
          <w:trHeight w:val="206"/>
        </w:trPr>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r>
      <w:tr>
        <w:trPr>
          <w:trHeight w:val="44"/>
        </w:trPr>
        <w:tc>
          <w:tcPr>
            <w:tcW w:w="3420" w:type="dxa"/>
            <w:vAlign w:val="bottom"/>
            <w:tcBorders>
              <w:bottom w:val="single" w:sz="8" w:color="2C2C2C"/>
            </w:tcBorders>
          </w:tcPr>
          <w:p>
            <w:pPr>
              <w:spacing w:after="0"/>
              <w:rPr>
                <w:sz w:val="3"/>
                <w:szCs w:val="3"/>
                <w:color w:val="auto"/>
              </w:rPr>
            </w:pPr>
          </w:p>
        </w:tc>
        <w:tc>
          <w:tcPr>
            <w:tcW w:w="340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tcPr>
          <w:p>
            <w:pPr>
              <w:spacing w:after="0"/>
              <w:rPr>
                <w:sz w:val="3"/>
                <w:szCs w:val="3"/>
                <w:color w:val="auto"/>
              </w:rPr>
            </w:pPr>
          </w:p>
        </w:tc>
        <w:tc>
          <w:tcPr>
            <w:tcW w:w="2860" w:type="dxa"/>
            <w:vAlign w:val="bottom"/>
            <w:tcBorders>
              <w:bottom w:val="single" w:sz="8" w:color="2C2C2C"/>
            </w:tcBorders>
          </w:tcPr>
          <w:p>
            <w:pPr>
              <w:spacing w:after="0"/>
              <w:rPr>
                <w:sz w:val="3"/>
                <w:szCs w:val="3"/>
                <w:color w:val="auto"/>
              </w:rPr>
            </w:pPr>
          </w:p>
        </w:tc>
      </w:tr>
    </w:tbl>
    <w:p>
      <w:pPr>
        <w:spacing w:after="0" w:line="44" w:lineRule="exact"/>
        <w:rPr>
          <w:sz w:val="24"/>
          <w:szCs w:val="24"/>
          <w:color w:val="auto"/>
        </w:rPr>
      </w:pPr>
    </w:p>
    <w:tbl>
      <w:tblPr>
        <w:tblLayout w:type="fixed"/>
        <w:tblInd w:w="0" w:type="dxa"/>
        <w:tblCellMar>
          <w:top w:w="0" w:type="dxa"/>
          <w:left w:w="0" w:type="dxa"/>
          <w:bottom w:w="0" w:type="dxa"/>
          <w:right w:w="0" w:type="dxa"/>
        </w:tblCellMar>
      </w:tblPr>
      <w:tr>
        <w:trPr>
          <w:trHeight w:val="254"/>
        </w:trPr>
        <w:tc>
          <w:tcPr>
            <w:tcW w:w="20" w:type="dxa"/>
            <w:vAlign w:val="bottom"/>
          </w:tcPr>
          <w:p>
            <w:pPr>
              <w:spacing w:after="0"/>
              <w:rPr>
                <w:sz w:val="22"/>
                <w:szCs w:val="22"/>
                <w:color w:val="auto"/>
              </w:rPr>
            </w:pPr>
          </w:p>
        </w:tc>
        <w:tc>
          <w:tcPr>
            <w:tcW w:w="276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Common Stock</w:t>
            </w:r>
          </w:p>
        </w:tc>
        <w:tc>
          <w:tcPr>
            <w:tcW w:w="2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740" w:type="dxa"/>
            <w:vAlign w:val="bottom"/>
          </w:tcPr>
          <w:p>
            <w:pPr>
              <w:ind w:left="740"/>
              <w:spacing w:after="0"/>
              <w:rPr>
                <w:sz w:val="20"/>
                <w:szCs w:val="20"/>
                <w:color w:val="auto"/>
              </w:rPr>
            </w:pPr>
            <w:r>
              <w:rPr>
                <w:rFonts w:ascii="Times New Roman" w:cs="Times New Roman" w:eastAsia="Times New Roman" w:hAnsi="Times New Roman"/>
                <w:sz w:val="20"/>
                <w:szCs w:val="20"/>
                <w:color w:val="0000FF"/>
              </w:rPr>
              <w:t>3,631</w:t>
            </w:r>
          </w:p>
        </w:tc>
        <w:tc>
          <w:tcPr>
            <w:tcW w:w="960" w:type="dxa"/>
            <w:vAlign w:val="bottom"/>
            <w:gridSpan w:val="2"/>
          </w:tcPr>
          <w:p>
            <w:pPr>
              <w:ind w:left="780"/>
              <w:spacing w:after="0"/>
              <w:rPr>
                <w:sz w:val="20"/>
                <w:szCs w:val="20"/>
                <w:color w:val="auto"/>
              </w:rPr>
            </w:pPr>
            <w:r>
              <w:rPr>
                <w:rFonts w:ascii="Times New Roman" w:cs="Times New Roman" w:eastAsia="Times New Roman" w:hAnsi="Times New Roman"/>
                <w:sz w:val="20"/>
                <w:szCs w:val="20"/>
                <w:color w:val="0000FF"/>
              </w:rPr>
              <w:t>D</w:t>
            </w:r>
          </w:p>
        </w:tc>
        <w:tc>
          <w:tcPr>
            <w:tcW w:w="9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7"/>
        </w:trPr>
        <w:tc>
          <w:tcPr>
            <w:tcW w:w="20" w:type="dxa"/>
            <w:vAlign w:val="bottom"/>
            <w:tcBorders>
              <w:bottom w:val="single" w:sz="8" w:color="2C2C2C"/>
            </w:tcBorders>
          </w:tcPr>
          <w:p>
            <w:pPr>
              <w:spacing w:after="0"/>
              <w:rPr>
                <w:sz w:val="9"/>
                <w:szCs w:val="9"/>
                <w:color w:val="auto"/>
              </w:rPr>
            </w:pPr>
          </w:p>
        </w:tc>
        <w:tc>
          <w:tcPr>
            <w:tcW w:w="2760" w:type="dxa"/>
            <w:vAlign w:val="bottom"/>
            <w:tcBorders>
              <w:bottom w:val="single" w:sz="8" w:color="2C2C2C"/>
            </w:tcBorders>
          </w:tcPr>
          <w:p>
            <w:pPr>
              <w:spacing w:after="0"/>
              <w:rPr>
                <w:sz w:val="9"/>
                <w:szCs w:val="9"/>
                <w:color w:val="auto"/>
              </w:rPr>
            </w:pPr>
          </w:p>
        </w:tc>
        <w:tc>
          <w:tcPr>
            <w:tcW w:w="260" w:type="dxa"/>
            <w:vAlign w:val="bottom"/>
            <w:tcBorders>
              <w:bottom w:val="single" w:sz="8" w:color="2C2C2C"/>
            </w:tcBorders>
          </w:tcPr>
          <w:p>
            <w:pPr>
              <w:spacing w:after="0"/>
              <w:rPr>
                <w:sz w:val="9"/>
                <w:szCs w:val="9"/>
                <w:color w:val="auto"/>
              </w:rPr>
            </w:pPr>
          </w:p>
        </w:tc>
        <w:tc>
          <w:tcPr>
            <w:tcW w:w="4500" w:type="dxa"/>
            <w:vAlign w:val="bottom"/>
            <w:tcBorders>
              <w:bottom w:val="single" w:sz="8" w:color="2C2C2C"/>
            </w:tcBorders>
            <w:gridSpan w:val="4"/>
          </w:tcPr>
          <w:p>
            <w:pPr>
              <w:spacing w:after="0"/>
              <w:rPr>
                <w:sz w:val="9"/>
                <w:szCs w:val="9"/>
                <w:color w:val="auto"/>
              </w:rPr>
            </w:pPr>
          </w:p>
        </w:tc>
        <w:tc>
          <w:tcPr>
            <w:tcW w:w="1000" w:type="dxa"/>
            <w:vAlign w:val="bottom"/>
            <w:tcBorders>
              <w:bottom w:val="single" w:sz="8" w:color="2C2C2C"/>
            </w:tcBorders>
            <w:gridSpan w:val="2"/>
          </w:tcPr>
          <w:p>
            <w:pPr>
              <w:spacing w:after="0"/>
              <w:rPr>
                <w:sz w:val="9"/>
                <w:szCs w:val="9"/>
                <w:color w:val="auto"/>
              </w:rPr>
            </w:pPr>
          </w:p>
        </w:tc>
        <w:tc>
          <w:tcPr>
            <w:tcW w:w="920" w:type="dxa"/>
            <w:vAlign w:val="bottom"/>
            <w:tcBorders>
              <w:bottom w:val="single" w:sz="8" w:color="2C2C2C"/>
            </w:tcBorders>
          </w:tcPr>
          <w:p>
            <w:pPr>
              <w:spacing w:after="0"/>
              <w:rPr>
                <w:sz w:val="9"/>
                <w:szCs w:val="9"/>
                <w:color w:val="auto"/>
              </w:rPr>
            </w:pPr>
          </w:p>
        </w:tc>
        <w:tc>
          <w:tcPr>
            <w:tcW w:w="146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0" w:type="dxa"/>
            <w:vAlign w:val="bottom"/>
          </w:tcPr>
          <w:p>
            <w:pPr>
              <w:spacing w:after="0"/>
              <w:rPr>
                <w:sz w:val="1"/>
                <w:szCs w:val="1"/>
                <w:color w:val="auto"/>
              </w:rPr>
            </w:pPr>
          </w:p>
        </w:tc>
      </w:tr>
      <w:tr>
        <w:trPr>
          <w:trHeight w:val="259"/>
        </w:trPr>
        <w:tc>
          <w:tcPr>
            <w:tcW w:w="20" w:type="dxa"/>
            <w:vAlign w:val="bottom"/>
            <w:tcBorders>
              <w:top w:val="single" w:sz="8" w:color="808080"/>
            </w:tcBorders>
          </w:tcPr>
          <w:p>
            <w:pPr>
              <w:spacing w:after="0"/>
              <w:rPr>
                <w:sz w:val="22"/>
                <w:szCs w:val="22"/>
                <w:color w:val="auto"/>
              </w:rPr>
            </w:pPr>
          </w:p>
        </w:tc>
        <w:tc>
          <w:tcPr>
            <w:tcW w:w="2760" w:type="dxa"/>
            <w:vAlign w:val="bottom"/>
            <w:tcBorders>
              <w:top w:val="single" w:sz="8" w:color="2C2C2C"/>
            </w:tcBorders>
          </w:tcPr>
          <w:p>
            <w:pPr>
              <w:spacing w:after="0"/>
              <w:rPr>
                <w:sz w:val="22"/>
                <w:szCs w:val="22"/>
                <w:color w:val="auto"/>
              </w:rPr>
            </w:pPr>
          </w:p>
        </w:tc>
        <w:tc>
          <w:tcPr>
            <w:tcW w:w="260" w:type="dxa"/>
            <w:vAlign w:val="bottom"/>
            <w:tcBorders>
              <w:top w:val="single" w:sz="8" w:color="2C2C2C"/>
            </w:tcBorders>
          </w:tcPr>
          <w:p>
            <w:pPr>
              <w:spacing w:after="0"/>
              <w:rPr>
                <w:sz w:val="22"/>
                <w:szCs w:val="22"/>
                <w:color w:val="auto"/>
              </w:rPr>
            </w:pPr>
          </w:p>
        </w:tc>
        <w:tc>
          <w:tcPr>
            <w:tcW w:w="5500" w:type="dxa"/>
            <w:vAlign w:val="bottom"/>
            <w:tcBorders>
              <w:top w:val="single" w:sz="8" w:color="2C2C2C"/>
            </w:tcBorders>
            <w:gridSpan w:val="6"/>
          </w:tcPr>
          <w:p>
            <w:pPr>
              <w:ind w:left="140"/>
              <w:spacing w:after="0"/>
              <w:rPr>
                <w:sz w:val="20"/>
                <w:szCs w:val="20"/>
                <w:color w:val="auto"/>
              </w:rPr>
            </w:pPr>
            <w:r>
              <w:rPr>
                <w:rFonts w:ascii="Arial" w:cs="Arial" w:eastAsia="Arial" w:hAnsi="Arial"/>
                <w:sz w:val="20"/>
                <w:szCs w:val="20"/>
                <w:b w:val="1"/>
                <w:bCs w:val="1"/>
                <w:color w:val="auto"/>
              </w:rPr>
              <w:t>Table II - Derivative Securities Beneficially Owned</w:t>
            </w:r>
          </w:p>
        </w:tc>
        <w:tc>
          <w:tcPr>
            <w:tcW w:w="920" w:type="dxa"/>
            <w:vAlign w:val="bottom"/>
            <w:tcBorders>
              <w:top w:val="single" w:sz="8" w:color="2C2C2C"/>
            </w:tcBorders>
          </w:tcPr>
          <w:p>
            <w:pPr>
              <w:spacing w:after="0"/>
              <w:rPr>
                <w:sz w:val="22"/>
                <w:szCs w:val="22"/>
                <w:color w:val="auto"/>
              </w:rPr>
            </w:pPr>
          </w:p>
        </w:tc>
        <w:tc>
          <w:tcPr>
            <w:tcW w:w="146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2760" w:type="dxa"/>
            <w:vAlign w:val="bottom"/>
          </w:tcPr>
          <w:p>
            <w:pPr>
              <w:spacing w:after="0"/>
              <w:rPr>
                <w:sz w:val="23"/>
                <w:szCs w:val="23"/>
                <w:color w:val="auto"/>
              </w:rPr>
            </w:pPr>
          </w:p>
        </w:tc>
        <w:tc>
          <w:tcPr>
            <w:tcW w:w="5760" w:type="dxa"/>
            <w:vAlign w:val="bottom"/>
            <w:gridSpan w:val="7"/>
          </w:tcPr>
          <w:p>
            <w:pPr>
              <w:spacing w:after="0"/>
              <w:rPr>
                <w:sz w:val="20"/>
                <w:szCs w:val="20"/>
                <w:color w:val="auto"/>
              </w:rPr>
            </w:pPr>
            <w:r>
              <w:rPr>
                <w:rFonts w:ascii="Arial" w:cs="Arial" w:eastAsia="Arial" w:hAnsi="Arial"/>
                <w:sz w:val="20"/>
                <w:szCs w:val="20"/>
                <w:b w:val="1"/>
                <w:bCs w:val="1"/>
                <w:color w:val="auto"/>
              </w:rPr>
              <w:t>(e.g., puts, calls, warrants, options, convertible securities)</w:t>
            </w:r>
          </w:p>
        </w:tc>
        <w:tc>
          <w:tcPr>
            <w:tcW w:w="92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860" w:type="dxa"/>
            <w:vAlign w:val="bottom"/>
            <w:tcBorders>
              <w:bottom w:val="single" w:sz="8" w:color="2C2C2C"/>
            </w:tcBorders>
            <w:gridSpan w:val="2"/>
          </w:tcPr>
          <w:p>
            <w:pPr>
              <w:spacing w:after="0"/>
              <w:rPr>
                <w:sz w:val="3"/>
                <w:szCs w:val="3"/>
                <w:color w:val="auto"/>
              </w:rPr>
            </w:pPr>
          </w:p>
        </w:tc>
        <w:tc>
          <w:tcPr>
            <w:tcW w:w="264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14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760" w:type="dxa"/>
            <w:vAlign w:val="bottom"/>
          </w:tcPr>
          <w:p>
            <w:pPr>
              <w:ind w:left="80"/>
              <w:spacing w:after="0"/>
              <w:rPr>
                <w:sz w:val="20"/>
                <w:szCs w:val="20"/>
                <w:color w:val="auto"/>
              </w:rPr>
            </w:pPr>
            <w:r>
              <w:rPr>
                <w:rFonts w:ascii="Arial" w:cs="Arial" w:eastAsia="Arial" w:hAnsi="Arial"/>
                <w:sz w:val="15"/>
                <w:szCs w:val="15"/>
                <w:b w:val="1"/>
                <w:bCs w:val="1"/>
                <w:color w:val="auto"/>
                <w:w w:val="99"/>
              </w:rPr>
              <w:t>1. Title of Derivative Security (Instr. 4)</w:t>
            </w:r>
          </w:p>
        </w:tc>
        <w:tc>
          <w:tcPr>
            <w:tcW w:w="260" w:type="dxa"/>
            <w:vAlign w:val="bottom"/>
          </w:tcPr>
          <w:p>
            <w:pPr>
              <w:spacing w:after="0"/>
              <w:rPr>
                <w:sz w:val="18"/>
                <w:szCs w:val="18"/>
                <w:color w:val="auto"/>
              </w:rPr>
            </w:pPr>
          </w:p>
        </w:tc>
        <w:tc>
          <w:tcPr>
            <w:tcW w:w="1860" w:type="dxa"/>
            <w:vAlign w:val="bottom"/>
            <w:gridSpan w:val="2"/>
          </w:tcPr>
          <w:p>
            <w:pPr>
              <w:ind w:left="60"/>
              <w:spacing w:after="0"/>
              <w:rPr>
                <w:sz w:val="20"/>
                <w:szCs w:val="20"/>
                <w:color w:val="auto"/>
              </w:rPr>
            </w:pPr>
            <w:r>
              <w:rPr>
                <w:rFonts w:ascii="Arial" w:cs="Arial" w:eastAsia="Arial" w:hAnsi="Arial"/>
                <w:sz w:val="15"/>
                <w:szCs w:val="15"/>
                <w:b w:val="1"/>
                <w:bCs w:val="1"/>
                <w:color w:val="auto"/>
              </w:rPr>
              <w:t>2. Date Exercisable and</w:t>
            </w:r>
          </w:p>
        </w:tc>
        <w:tc>
          <w:tcPr>
            <w:tcW w:w="2700" w:type="dxa"/>
            <w:vAlign w:val="bottom"/>
            <w:gridSpan w:val="3"/>
          </w:tcPr>
          <w:p>
            <w:pPr>
              <w:ind w:left="80"/>
              <w:spacing w:after="0"/>
              <w:rPr>
                <w:sz w:val="20"/>
                <w:szCs w:val="20"/>
                <w:color w:val="auto"/>
              </w:rPr>
            </w:pPr>
            <w:r>
              <w:rPr>
                <w:rFonts w:ascii="Arial" w:cs="Arial" w:eastAsia="Arial" w:hAnsi="Arial"/>
                <w:sz w:val="15"/>
                <w:szCs w:val="15"/>
                <w:b w:val="1"/>
                <w:bCs w:val="1"/>
                <w:color w:val="auto"/>
              </w:rPr>
              <w:t>3. Title and Amount of Securities</w:t>
            </w:r>
          </w:p>
        </w:tc>
        <w:tc>
          <w:tcPr>
            <w:tcW w:w="940" w:type="dxa"/>
            <w:vAlign w:val="bottom"/>
          </w:tcPr>
          <w:p>
            <w:pPr>
              <w:ind w:left="20"/>
              <w:spacing w:after="0"/>
              <w:rPr>
                <w:sz w:val="20"/>
                <w:szCs w:val="20"/>
                <w:color w:val="auto"/>
              </w:rPr>
            </w:pPr>
            <w:r>
              <w:rPr>
                <w:rFonts w:ascii="Arial" w:cs="Arial" w:eastAsia="Arial" w:hAnsi="Arial"/>
                <w:sz w:val="15"/>
                <w:szCs w:val="15"/>
                <w:b w:val="1"/>
                <w:bCs w:val="1"/>
                <w:color w:val="auto"/>
              </w:rPr>
              <w:t>4.</w:t>
            </w:r>
          </w:p>
        </w:tc>
        <w:tc>
          <w:tcPr>
            <w:tcW w:w="92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480" w:type="dxa"/>
            <w:vAlign w:val="bottom"/>
            <w:gridSpan w:val="2"/>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6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Expiration Date</w:t>
            </w:r>
          </w:p>
        </w:tc>
        <w:tc>
          <w:tcPr>
            <w:tcW w:w="2700" w:type="dxa"/>
            <w:vAlign w:val="bottom"/>
            <w:gridSpan w:val="3"/>
          </w:tcPr>
          <w:p>
            <w:pPr>
              <w:ind w:left="8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4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Conversion</w:t>
            </w:r>
          </w:p>
        </w:tc>
        <w:tc>
          <w:tcPr>
            <w:tcW w:w="9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4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6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(Month/Day/Year)</w:t>
            </w:r>
          </w:p>
        </w:tc>
        <w:tc>
          <w:tcPr>
            <w:tcW w:w="17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(Instr. 4)</w:t>
            </w:r>
          </w:p>
        </w:tc>
        <w:tc>
          <w:tcPr>
            <w:tcW w:w="9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4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or Exercise</w:t>
            </w:r>
          </w:p>
        </w:tc>
        <w:tc>
          <w:tcPr>
            <w:tcW w:w="9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4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2760" w:type="dxa"/>
            <w:vAlign w:val="bottom"/>
          </w:tcPr>
          <w:p>
            <w:pPr>
              <w:spacing w:after="0"/>
              <w:rPr>
                <w:sz w:val="7"/>
                <w:szCs w:val="7"/>
                <w:color w:val="auto"/>
              </w:rPr>
            </w:pPr>
          </w:p>
        </w:tc>
        <w:tc>
          <w:tcPr>
            <w:tcW w:w="26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880" w:type="dxa"/>
            <w:vAlign w:val="bottom"/>
            <w:tcBorders>
              <w:bottom w:val="single" w:sz="8" w:color="2C2C2C"/>
            </w:tcBorders>
          </w:tcPr>
          <w:p>
            <w:pPr>
              <w:spacing w:after="0"/>
              <w:rPr>
                <w:sz w:val="7"/>
                <w:szCs w:val="7"/>
                <w:color w:val="auto"/>
              </w:rPr>
            </w:pPr>
          </w:p>
        </w:tc>
        <w:tc>
          <w:tcPr>
            <w:tcW w:w="174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60" w:type="dxa"/>
            <w:vAlign w:val="bottom"/>
          </w:tcPr>
          <w:p>
            <w:pPr>
              <w:spacing w:after="0"/>
              <w:rPr>
                <w:sz w:val="7"/>
                <w:szCs w:val="7"/>
                <w:color w:val="auto"/>
              </w:rPr>
            </w:pPr>
          </w:p>
        </w:tc>
        <w:tc>
          <w:tcPr>
            <w:tcW w:w="940" w:type="dxa"/>
            <w:vAlign w:val="bottom"/>
            <w:vMerge w:val="restart"/>
          </w:tcPr>
          <w:p>
            <w:pPr>
              <w:ind w:left="20"/>
              <w:spacing w:after="0" w:line="165" w:lineRule="exact"/>
              <w:rPr>
                <w:sz w:val="20"/>
                <w:szCs w:val="20"/>
                <w:color w:val="auto"/>
              </w:rPr>
            </w:pPr>
            <w:r>
              <w:rPr>
                <w:rFonts w:ascii="Arial" w:cs="Arial" w:eastAsia="Arial" w:hAnsi="Arial"/>
                <w:sz w:val="15"/>
                <w:szCs w:val="15"/>
                <w:b w:val="1"/>
                <w:bCs w:val="1"/>
                <w:color w:val="auto"/>
              </w:rPr>
              <w:t>Price of</w:t>
            </w:r>
          </w:p>
        </w:tc>
        <w:tc>
          <w:tcPr>
            <w:tcW w:w="92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6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2760" w:type="dxa"/>
            <w:vAlign w:val="bottom"/>
          </w:tcPr>
          <w:p>
            <w:pPr>
              <w:spacing w:after="0"/>
              <w:rPr>
                <w:sz w:val="5"/>
                <w:szCs w:val="5"/>
                <w:color w:val="auto"/>
              </w:rPr>
            </w:pPr>
          </w:p>
        </w:tc>
        <w:tc>
          <w:tcPr>
            <w:tcW w:w="260" w:type="dxa"/>
            <w:vAlign w:val="bottom"/>
          </w:tcPr>
          <w:p>
            <w:pPr>
              <w:spacing w:after="0"/>
              <w:rPr>
                <w:sz w:val="5"/>
                <w:szCs w:val="5"/>
                <w:color w:val="auto"/>
              </w:rPr>
            </w:pPr>
          </w:p>
        </w:tc>
        <w:tc>
          <w:tcPr>
            <w:tcW w:w="980" w:type="dxa"/>
            <w:vAlign w:val="bottom"/>
          </w:tcPr>
          <w:p>
            <w:pPr>
              <w:spacing w:after="0"/>
              <w:rPr>
                <w:sz w:val="5"/>
                <w:szCs w:val="5"/>
                <w:color w:val="auto"/>
              </w:rPr>
            </w:pPr>
          </w:p>
        </w:tc>
        <w:tc>
          <w:tcPr>
            <w:tcW w:w="880" w:type="dxa"/>
            <w:vAlign w:val="bottom"/>
          </w:tcPr>
          <w:p>
            <w:pPr>
              <w:spacing w:after="0"/>
              <w:rPr>
                <w:sz w:val="5"/>
                <w:szCs w:val="5"/>
                <w:color w:val="auto"/>
              </w:rPr>
            </w:pPr>
          </w:p>
        </w:tc>
        <w:tc>
          <w:tcPr>
            <w:tcW w:w="1740" w:type="dxa"/>
            <w:vAlign w:val="bottom"/>
          </w:tcPr>
          <w:p>
            <w:pPr>
              <w:spacing w:after="0"/>
              <w:rPr>
                <w:sz w:val="5"/>
                <w:szCs w:val="5"/>
                <w:color w:val="auto"/>
              </w:rPr>
            </w:pPr>
          </w:p>
        </w:tc>
        <w:tc>
          <w:tcPr>
            <w:tcW w:w="960" w:type="dxa"/>
            <w:vAlign w:val="bottom"/>
            <w:gridSpan w:val="2"/>
            <w:vMerge w:val="restart"/>
          </w:tcPr>
          <w:p>
            <w:pPr>
              <w:ind w:left="180"/>
              <w:spacing w:after="0"/>
              <w:rPr>
                <w:sz w:val="20"/>
                <w:szCs w:val="20"/>
                <w:color w:val="auto"/>
              </w:rPr>
            </w:pPr>
            <w:r>
              <w:rPr>
                <w:rFonts w:ascii="Arial" w:cs="Arial" w:eastAsia="Arial" w:hAnsi="Arial"/>
                <w:sz w:val="15"/>
                <w:szCs w:val="15"/>
                <w:b w:val="1"/>
                <w:bCs w:val="1"/>
                <w:color w:val="auto"/>
              </w:rPr>
              <w:t>Amount</w:t>
            </w:r>
          </w:p>
        </w:tc>
        <w:tc>
          <w:tcPr>
            <w:tcW w:w="940" w:type="dxa"/>
            <w:vAlign w:val="bottom"/>
            <w:vMerge w:val="continue"/>
          </w:tcPr>
          <w:p>
            <w:pPr>
              <w:spacing w:after="0"/>
              <w:rPr>
                <w:sz w:val="5"/>
                <w:szCs w:val="5"/>
                <w:color w:val="auto"/>
              </w:rPr>
            </w:pPr>
          </w:p>
        </w:tc>
        <w:tc>
          <w:tcPr>
            <w:tcW w:w="920" w:type="dxa"/>
            <w:vAlign w:val="bottom"/>
            <w:vMerge w:val="continue"/>
          </w:tcPr>
          <w:p>
            <w:pPr>
              <w:spacing w:after="0"/>
              <w:rPr>
                <w:sz w:val="5"/>
                <w:szCs w:val="5"/>
                <w:color w:val="auto"/>
              </w:rPr>
            </w:pPr>
          </w:p>
        </w:tc>
        <w:tc>
          <w:tcPr>
            <w:tcW w:w="146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960" w:type="dxa"/>
            <w:vAlign w:val="bottom"/>
            <w:gridSpan w:val="2"/>
            <w:vMerge w:val="continue"/>
          </w:tcPr>
          <w:p>
            <w:pPr>
              <w:spacing w:after="0"/>
              <w:rPr>
                <w:sz w:val="13"/>
                <w:szCs w:val="13"/>
                <w:color w:val="auto"/>
              </w:rPr>
            </w:pPr>
          </w:p>
        </w:tc>
        <w:tc>
          <w:tcPr>
            <w:tcW w:w="940" w:type="dxa"/>
            <w:vAlign w:val="bottom"/>
          </w:tcPr>
          <w:p>
            <w:pPr>
              <w:ind w:left="20"/>
              <w:spacing w:after="0" w:line="150" w:lineRule="exact"/>
              <w:rPr>
                <w:sz w:val="20"/>
                <w:szCs w:val="20"/>
                <w:color w:val="auto"/>
              </w:rPr>
            </w:pPr>
            <w:r>
              <w:rPr>
                <w:rFonts w:ascii="Arial" w:cs="Arial" w:eastAsia="Arial" w:hAnsi="Arial"/>
                <w:sz w:val="15"/>
                <w:szCs w:val="15"/>
                <w:b w:val="1"/>
                <w:bCs w:val="1"/>
                <w:color w:val="auto"/>
              </w:rPr>
              <w:t>Derivative</w:t>
            </w:r>
          </w:p>
        </w:tc>
        <w:tc>
          <w:tcPr>
            <w:tcW w:w="92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14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960" w:type="dxa"/>
            <w:vAlign w:val="bottom"/>
            <w:gridSpan w:val="2"/>
          </w:tcPr>
          <w:p>
            <w:pPr>
              <w:ind w:left="180"/>
              <w:spacing w:after="0" w:line="165" w:lineRule="exact"/>
              <w:rPr>
                <w:sz w:val="20"/>
                <w:szCs w:val="20"/>
                <w:color w:val="auto"/>
              </w:rPr>
            </w:pPr>
            <w:r>
              <w:rPr>
                <w:rFonts w:ascii="Arial" w:cs="Arial" w:eastAsia="Arial" w:hAnsi="Arial"/>
                <w:sz w:val="15"/>
                <w:szCs w:val="15"/>
                <w:b w:val="1"/>
                <w:bCs w:val="1"/>
                <w:color w:val="auto"/>
              </w:rPr>
              <w:t>or</w:t>
            </w:r>
          </w:p>
        </w:tc>
        <w:tc>
          <w:tcPr>
            <w:tcW w:w="94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Security</w:t>
            </w:r>
          </w:p>
        </w:tc>
        <w:tc>
          <w:tcPr>
            <w:tcW w:w="9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960" w:type="dxa"/>
            <w:vAlign w:val="bottom"/>
            <w:gridSpan w:val="2"/>
          </w:tcPr>
          <w:p>
            <w:pPr>
              <w:ind w:left="180"/>
              <w:spacing w:after="0" w:line="165" w:lineRule="exact"/>
              <w:rPr>
                <w:sz w:val="20"/>
                <w:szCs w:val="20"/>
                <w:color w:val="auto"/>
              </w:rPr>
            </w:pPr>
            <w:r>
              <w:rPr>
                <w:rFonts w:ascii="Arial" w:cs="Arial" w:eastAsia="Arial" w:hAnsi="Arial"/>
                <w:sz w:val="15"/>
                <w:szCs w:val="15"/>
                <w:b w:val="1"/>
                <w:bCs w:val="1"/>
                <w:color w:val="auto"/>
              </w:rPr>
              <w:t>Number</w:t>
            </w:r>
          </w:p>
        </w:tc>
        <w:tc>
          <w:tcPr>
            <w:tcW w:w="9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Date</w:t>
            </w:r>
          </w:p>
        </w:tc>
        <w:tc>
          <w:tcPr>
            <w:tcW w:w="8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740" w:type="dxa"/>
            <w:vAlign w:val="bottom"/>
          </w:tcPr>
          <w:p>
            <w:pPr>
              <w:spacing w:after="0"/>
              <w:rPr>
                <w:sz w:val="14"/>
                <w:szCs w:val="14"/>
                <w:color w:val="auto"/>
              </w:rPr>
            </w:pPr>
          </w:p>
        </w:tc>
        <w:tc>
          <w:tcPr>
            <w:tcW w:w="960" w:type="dxa"/>
            <w:vAlign w:val="bottom"/>
            <w:gridSpan w:val="2"/>
          </w:tcPr>
          <w:p>
            <w:pPr>
              <w:ind w:left="180"/>
              <w:spacing w:after="0" w:line="165" w:lineRule="exact"/>
              <w:rPr>
                <w:sz w:val="20"/>
                <w:szCs w:val="20"/>
                <w:color w:val="auto"/>
              </w:rPr>
            </w:pPr>
            <w:r>
              <w:rPr>
                <w:rFonts w:ascii="Arial" w:cs="Arial" w:eastAsia="Arial" w:hAnsi="Arial"/>
                <w:sz w:val="15"/>
                <w:szCs w:val="15"/>
                <w:b w:val="1"/>
                <w:bCs w:val="1"/>
                <w:color w:val="auto"/>
              </w:rPr>
              <w:t>of</w:t>
            </w:r>
          </w:p>
        </w:tc>
        <w:tc>
          <w:tcPr>
            <w:tcW w:w="9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ind w:left="60"/>
              <w:spacing w:after="0"/>
              <w:rPr>
                <w:sz w:val="20"/>
                <w:szCs w:val="20"/>
                <w:color w:val="auto"/>
              </w:rPr>
            </w:pPr>
            <w:r>
              <w:rPr>
                <w:rFonts w:ascii="Arial" w:cs="Arial" w:eastAsia="Arial" w:hAnsi="Arial"/>
                <w:sz w:val="15"/>
                <w:szCs w:val="15"/>
                <w:b w:val="1"/>
                <w:bCs w:val="1"/>
                <w:color w:val="auto"/>
              </w:rPr>
              <w:t>Exercisable</w:t>
            </w:r>
          </w:p>
        </w:tc>
        <w:tc>
          <w:tcPr>
            <w:tcW w:w="88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740" w:type="dxa"/>
            <w:vAlign w:val="bottom"/>
          </w:tcPr>
          <w:p>
            <w:pPr>
              <w:ind w:left="80"/>
              <w:spacing w:after="0"/>
              <w:rPr>
                <w:sz w:val="20"/>
                <w:szCs w:val="20"/>
                <w:color w:val="auto"/>
              </w:rPr>
            </w:pPr>
            <w:r>
              <w:rPr>
                <w:rFonts w:ascii="Arial" w:cs="Arial" w:eastAsia="Arial" w:hAnsi="Arial"/>
                <w:sz w:val="15"/>
                <w:szCs w:val="15"/>
                <w:b w:val="1"/>
                <w:bCs w:val="1"/>
                <w:color w:val="auto"/>
              </w:rPr>
              <w:t>Title</w:t>
            </w:r>
          </w:p>
        </w:tc>
        <w:tc>
          <w:tcPr>
            <w:tcW w:w="960" w:type="dxa"/>
            <w:vAlign w:val="bottom"/>
            <w:gridSpan w:val="2"/>
          </w:tcPr>
          <w:p>
            <w:pPr>
              <w:ind w:left="180"/>
              <w:spacing w:after="0"/>
              <w:rPr>
                <w:sz w:val="20"/>
                <w:szCs w:val="20"/>
                <w:color w:val="auto"/>
              </w:rPr>
            </w:pPr>
            <w:r>
              <w:rPr>
                <w:rFonts w:ascii="Arial" w:cs="Arial" w:eastAsia="Arial" w:hAnsi="Arial"/>
                <w:sz w:val="15"/>
                <w:szCs w:val="15"/>
                <w:b w:val="1"/>
                <w:bCs w:val="1"/>
                <w:color w:val="auto"/>
              </w:rPr>
              <w:t>Shares</w:t>
            </w:r>
          </w:p>
        </w:tc>
        <w:tc>
          <w:tcPr>
            <w:tcW w:w="9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124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74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14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276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Stock Option (Right to Buy)</w:t>
            </w:r>
          </w:p>
        </w:tc>
        <w:tc>
          <w:tcPr>
            <w:tcW w:w="1240" w:type="dxa"/>
            <w:vAlign w:val="bottom"/>
            <w:gridSpan w:val="2"/>
          </w:tcPr>
          <w:p>
            <w:pPr>
              <w:jc w:val="right"/>
              <w:ind w:right="341"/>
              <w:spacing w:after="0"/>
              <w:rPr>
                <w:sz w:val="20"/>
                <w:szCs w:val="20"/>
                <w:color w:val="auto"/>
              </w:rPr>
            </w:pPr>
            <w:r>
              <w:rPr>
                <w:rFonts w:ascii="Times New Roman" w:cs="Times New Roman" w:eastAsia="Times New Roman" w:hAnsi="Times New Roman"/>
                <w:sz w:val="13"/>
                <w:szCs w:val="13"/>
                <w:color w:val="008000"/>
              </w:rPr>
              <w:t>(1)</w:t>
            </w:r>
          </w:p>
        </w:tc>
        <w:tc>
          <w:tcPr>
            <w:tcW w:w="880" w:type="dxa"/>
            <w:vAlign w:val="bottom"/>
          </w:tcPr>
          <w:p>
            <w:pPr>
              <w:jc w:val="right"/>
              <w:ind w:right="25"/>
              <w:spacing w:after="0"/>
              <w:rPr>
                <w:sz w:val="20"/>
                <w:szCs w:val="20"/>
                <w:color w:val="auto"/>
              </w:rPr>
            </w:pPr>
            <w:r>
              <w:rPr>
                <w:rFonts w:ascii="Times New Roman" w:cs="Times New Roman" w:eastAsia="Times New Roman" w:hAnsi="Times New Roman"/>
                <w:sz w:val="15"/>
                <w:szCs w:val="15"/>
                <w:color w:val="0000FF"/>
              </w:rPr>
              <w:t>07/20/2035</w:t>
            </w:r>
          </w:p>
        </w:tc>
        <w:tc>
          <w:tcPr>
            <w:tcW w:w="1740" w:type="dxa"/>
            <w:vAlign w:val="bottom"/>
          </w:tcPr>
          <w:p>
            <w:pPr>
              <w:ind w:left="320"/>
              <w:spacing w:after="0"/>
              <w:rPr>
                <w:sz w:val="20"/>
                <w:szCs w:val="20"/>
                <w:color w:val="auto"/>
              </w:rPr>
            </w:pPr>
            <w:r>
              <w:rPr>
                <w:rFonts w:ascii="Times New Roman" w:cs="Times New Roman" w:eastAsia="Times New Roman" w:hAnsi="Times New Roman"/>
                <w:sz w:val="20"/>
                <w:szCs w:val="20"/>
                <w:color w:val="0000FF"/>
              </w:rPr>
              <w:t>Common Stock</w:t>
            </w:r>
          </w:p>
        </w:tc>
        <w:tc>
          <w:tcPr>
            <w:tcW w:w="900" w:type="dxa"/>
            <w:vAlign w:val="bottom"/>
          </w:tcPr>
          <w:p>
            <w:pPr>
              <w:ind w:left="200"/>
              <w:spacing w:after="0"/>
              <w:rPr>
                <w:sz w:val="20"/>
                <w:szCs w:val="20"/>
                <w:color w:val="auto"/>
              </w:rPr>
            </w:pPr>
            <w:r>
              <w:rPr>
                <w:rFonts w:ascii="Times New Roman" w:cs="Times New Roman" w:eastAsia="Times New Roman" w:hAnsi="Times New Roman"/>
                <w:sz w:val="20"/>
                <w:szCs w:val="20"/>
                <w:color w:val="0000FF"/>
              </w:rPr>
              <w:t>597,990</w:t>
            </w:r>
          </w:p>
        </w:tc>
        <w:tc>
          <w:tcPr>
            <w:tcW w:w="60" w:type="dxa"/>
            <w:vAlign w:val="bottom"/>
          </w:tcPr>
          <w:p>
            <w:pPr>
              <w:spacing w:after="0"/>
              <w:rPr>
                <w:sz w:val="24"/>
                <w:szCs w:val="24"/>
                <w:color w:val="auto"/>
              </w:rPr>
            </w:pPr>
          </w:p>
        </w:tc>
        <w:tc>
          <w:tcPr>
            <w:tcW w:w="940" w:type="dxa"/>
            <w:vAlign w:val="bottom"/>
          </w:tcPr>
          <w:p>
            <w:pPr>
              <w:ind w:left="280"/>
              <w:spacing w:after="0"/>
              <w:rPr>
                <w:sz w:val="20"/>
                <w:szCs w:val="20"/>
                <w:color w:val="auto"/>
              </w:rPr>
            </w:pPr>
            <w:r>
              <w:rPr>
                <w:rFonts w:ascii="Times New Roman" w:cs="Times New Roman" w:eastAsia="Times New Roman" w:hAnsi="Times New Roman"/>
                <w:sz w:val="20"/>
                <w:szCs w:val="20"/>
                <w:color w:val="0000FF"/>
              </w:rPr>
              <w:t>1.45</w:t>
            </w:r>
          </w:p>
        </w:tc>
        <w:tc>
          <w:tcPr>
            <w:tcW w:w="920" w:type="dxa"/>
            <w:vAlign w:val="bottom"/>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20" w:type="dxa"/>
            <w:vAlign w:val="bottom"/>
            <w:tcBorders>
              <w:bottom w:val="single" w:sz="8" w:color="2C2C2C"/>
            </w:tcBorders>
          </w:tcPr>
          <w:p>
            <w:pPr>
              <w:spacing w:after="0"/>
              <w:rPr>
                <w:sz w:val="6"/>
                <w:szCs w:val="6"/>
                <w:color w:val="auto"/>
              </w:rPr>
            </w:pPr>
          </w:p>
        </w:tc>
        <w:tc>
          <w:tcPr>
            <w:tcW w:w="276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174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2760" w:type="dxa"/>
            <w:vAlign w:val="bottom"/>
          </w:tcPr>
          <w:p>
            <w:pPr>
              <w:ind w:left="20"/>
              <w:spacing w:after="0"/>
              <w:rPr>
                <w:sz w:val="20"/>
                <w:szCs w:val="20"/>
                <w:color w:val="auto"/>
              </w:rPr>
            </w:pPr>
            <w:r>
              <w:rPr>
                <w:rFonts w:ascii="Arial" w:cs="Arial" w:eastAsia="Arial" w:hAnsi="Arial"/>
                <w:sz w:val="15"/>
                <w:szCs w:val="15"/>
                <w:b w:val="1"/>
                <w:bCs w:val="1"/>
                <w:color w:val="auto"/>
              </w:rPr>
              <w:t>Explanation of Responses:</w:t>
            </w: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9" w:lineRule="exact"/>
        <w:rPr>
          <w:sz w:val="24"/>
          <w:szCs w:val="24"/>
          <w:color w:val="auto"/>
        </w:rPr>
      </w:pPr>
    </w:p>
    <w:p>
      <w:pPr>
        <w:ind w:left="40" w:right="380" w:firstLine="5"/>
        <w:spacing w:after="0" w:line="244" w:lineRule="auto"/>
        <w:tabs>
          <w:tab w:leader="none" w:pos="190" w:val="left"/>
        </w:tabs>
        <w:numPr>
          <w:ilvl w:val="0"/>
          <w:numId w:val="4"/>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The shares of common stock underlying the stock options shall vest in 12 equal quarterly installments commencing upon the date of grant. The stock options are subject to accelerated vesting upon a corporate transaction or a change in control as described in the Protalix BioTherapeutics, Inc., Amended and Restated 2006 Stock Incentive Plan, as amended.</w:t>
      </w:r>
    </w:p>
    <w:p>
      <w:pPr>
        <w:spacing w:after="0" w:line="27"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5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5"/>
          <w:szCs w:val="15"/>
          <w:color w:val="008000"/>
        </w:rPr>
        <w:t>On August 25, 2025, the reporting person filed a Form 3 which inadvertently omitted the reporting person's beneficial ownership of 3,631 shares of the issuer's common stock.</w:t>
      </w:r>
    </w:p>
    <w:p>
      <w:pPr>
        <w:spacing w:after="0" w:line="62"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2180" w:type="dxa"/>
            <w:vAlign w:val="bottom"/>
            <w:gridSpan w:val="2"/>
          </w:tcPr>
          <w:p>
            <w:pPr>
              <w:spacing w:after="0"/>
              <w:rPr>
                <w:sz w:val="20"/>
                <w:szCs w:val="20"/>
                <w:color w:val="auto"/>
              </w:rPr>
            </w:pPr>
            <w:r>
              <w:rPr>
                <w:rFonts w:ascii="Times New Roman" w:cs="Times New Roman" w:eastAsia="Times New Roman" w:hAnsi="Times New Roman"/>
                <w:sz w:val="20"/>
                <w:szCs w:val="20"/>
                <w:color w:val="0000FF"/>
              </w:rPr>
              <w:t>/s/ Gilad Mamlok</w:t>
            </w:r>
          </w:p>
        </w:tc>
        <w:tc>
          <w:tcPr>
            <w:tcW w:w="900" w:type="dxa"/>
            <w:vAlign w:val="bottom"/>
          </w:tcPr>
          <w:p>
            <w:pPr>
              <w:spacing w:after="0"/>
              <w:rPr>
                <w:sz w:val="20"/>
                <w:szCs w:val="20"/>
                <w:color w:val="auto"/>
              </w:rPr>
            </w:pPr>
            <w:r>
              <w:rPr>
                <w:rFonts w:ascii="Times New Roman" w:cs="Times New Roman" w:eastAsia="Times New Roman" w:hAnsi="Times New Roman"/>
                <w:sz w:val="20"/>
                <w:szCs w:val="20"/>
                <w:color w:val="0000FF"/>
                <w:w w:val="96"/>
              </w:rPr>
              <w:t>04/27/2026</w:t>
            </w: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6540" w:type="dxa"/>
            <w:vAlign w:val="bottom"/>
          </w:tcPr>
          <w:p>
            <w:pPr>
              <w:spacing w:after="0"/>
              <w:rPr>
                <w:sz w:val="20"/>
                <w:szCs w:val="20"/>
                <w:color w:val="auto"/>
              </w:rPr>
            </w:pPr>
          </w:p>
        </w:tc>
        <w:tc>
          <w:tcPr>
            <w:tcW w:w="2180" w:type="dxa"/>
            <w:vAlign w:val="bottom"/>
            <w:gridSpan w:val="2"/>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108"/>
        </w:trPr>
        <w:tc>
          <w:tcPr>
            <w:tcW w:w="6540" w:type="dxa"/>
            <w:vAlign w:val="bottom"/>
          </w:tcPr>
          <w:p>
            <w:pPr>
              <w:spacing w:after="0"/>
              <w:rPr>
                <w:sz w:val="9"/>
                <w:szCs w:val="9"/>
                <w:color w:val="auto"/>
              </w:rPr>
            </w:pPr>
          </w:p>
        </w:tc>
        <w:tc>
          <w:tcPr>
            <w:tcW w:w="2180" w:type="dxa"/>
            <w:vAlign w:val="bottom"/>
            <w:gridSpan w:val="2"/>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2"/>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3"/>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3"/>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4"/>
          <w:szCs w:val="24"/>
          <w:color w:val="auto"/>
        </w:rPr>
      </w:pPr>
    </w:p>
    <w:p>
      <w:pPr>
        <w:jc w:val="both"/>
        <w:ind w:left="40" w:right="2240" w:firstLine="5"/>
        <w:spacing w:after="0" w:line="335" w:lineRule="auto"/>
        <w:tabs>
          <w:tab w:leader="none" w:pos="199" w:val="left"/>
        </w:tabs>
        <w:numPr>
          <w:ilvl w:val="0"/>
          <w:numId w:val="5"/>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4"/>
          <w:szCs w:val="24"/>
          <w:color w:val="auto"/>
        </w:rPr>
      </w:pPr>
    </w:p>
    <w:p>
      <w:pPr>
        <w:ind w:left="40" w:right="80"/>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940"/>
      </w:cols>
      <w:pgMar w:left="480" w:top="230" w:right="47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4"/>
    </w:lvl>
  </w:abstractNum>
  <w:abstractNum w:abstractNumId="1">
    <w:nsid w:val="2AE8944A"/>
    <w:multiLevelType w:val="hybridMultilevel"/>
    <w:lvl w:ilvl="0">
      <w:lvlJc w:val="left"/>
      <w:lvlText w:val="%1."/>
      <w:numFmt w:val="decimal"/>
      <w:start w:val="5"/>
    </w:lvl>
  </w:abstractNum>
  <w:abstractNum w:abstractNumId="2">
    <w:nsid w:val="625558EC"/>
    <w:multiLevelType w:val="hybridMultilevel"/>
    <w:lvl w:ilvl="0">
      <w:lvlJc w:val="left"/>
      <w:lvlText w:val="%1."/>
      <w:numFmt w:val="decimal"/>
      <w:start w:val="6"/>
    </w:lvl>
  </w:abstractNum>
  <w:abstractNum w:abstractNumId="3">
    <w:nsid w:val="238E1F29"/>
    <w:multiLevelType w:val="hybridMultilevel"/>
    <w:lvl w:ilvl="0">
      <w:lvlJc w:val="left"/>
      <w:lvlText w:val="%1."/>
      <w:numFmt w:val="decimal"/>
      <w:start w:val="1"/>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hyperlink" Target="http://www.sec.gov/cgi-bin/browse-edgar?action=getcompany&amp;CIK=0001975896" TargetMode="External"/><Relationship Id="rId11" Type="http://schemas.openxmlformats.org/officeDocument/2006/relationships/hyperlink" Target="http://www.sec.gov/cgi-bin/browse-edgar?action=getcompany&amp;CIK=000100628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2026-04-27T17:01:02Z</dcterms:created>
  <dcterms:modified xsi:type="dcterms:W3CDTF">2026-04-27T17:01:02Z</dcterms:modified>
</cp:coreProperties>
</file>