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28" w:lineRule="exact"/>
        <w:rPr>
          <w:sz w:val="24"/>
          <w:szCs w:val="24"/>
          <w:color w:val="auto"/>
        </w:rPr>
      </w:pPr>
    </w:p>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6"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3" w:lineRule="exact"/>
        <w:rPr>
          <w:rFonts w:ascii="MS PGothic" w:cs="MS PGothic" w:eastAsia="MS PGothic" w:hAnsi="MS PGothic"/>
          <w:sz w:val="18"/>
          <w:szCs w:val="18"/>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19" w:lineRule="exact"/>
        <w:rPr>
          <w:rFonts w:ascii="MS PGothic" w:cs="MS PGothic" w:eastAsia="MS PGothic" w:hAnsi="MS PGothic"/>
          <w:sz w:val="18"/>
          <w:szCs w:val="18"/>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440" w:hanging="433"/>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32"/>
          <w:szCs w:val="32"/>
          <w:b w:val="1"/>
          <w:bCs w:val="1"/>
          <w:color w:val="auto"/>
        </w:rPr>
        <w:t>Protalix BioTherapeutics, Inc.</w:t>
      </w:r>
    </w:p>
    <w:p>
      <w:pPr>
        <w:spacing w:after="0" w:line="200" w:lineRule="exact"/>
        <w:rPr>
          <w:sz w:val="24"/>
          <w:szCs w:val="24"/>
          <w:color w:val="auto"/>
        </w:rPr>
      </w:pPr>
    </w:p>
    <w:p>
      <w:pPr>
        <w:spacing w:after="0" w:line="2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440" w:hanging="433"/>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176530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617220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6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1652270" cy="550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52270" cy="55054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0" w:lineRule="exact"/>
        <w:rPr>
          <w:sz w:val="20"/>
          <w:szCs w:val="20"/>
          <w:color w:val="auto"/>
        </w:rPr>
      </w:pPr>
    </w:p>
    <w:p>
      <w:pPr>
        <w:ind w:right="520" w:firstLine="640"/>
        <w:spacing w:after="0" w:line="277" w:lineRule="auto"/>
        <w:rPr>
          <w:sz w:val="20"/>
          <w:szCs w:val="20"/>
          <w:color w:val="auto"/>
        </w:rPr>
      </w:pPr>
      <w:r>
        <w:rPr>
          <w:rFonts w:ascii="Times New Roman" w:cs="Times New Roman" w:eastAsia="Times New Roman" w:hAnsi="Times New Roman"/>
          <w:sz w:val="18"/>
          <w:szCs w:val="18"/>
          <w:color w:val="auto"/>
        </w:rPr>
        <w:t>We cordially invite you to attend the 2023 Annual Meeting of Stockholders of Protalix BioTherapeutics, Inc. to be held at 8:30 A.M. EDT on June 28, 2023 at the offices of LifeSci Advisors, 250 W. 55th Street, Suite 3401, New York, NY 10019.</w:t>
      </w:r>
    </w:p>
    <w:p>
      <w:pPr>
        <w:spacing w:after="0" w:line="163"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The attached notice of annual meeting and proxy statement describe the business we will conduct at the meeting and provide information about us that you should consider when you vote your shares. As set forth in the attached proxy statement, the meeting will be held to:</w:t>
      </w:r>
    </w:p>
    <w:p>
      <w:pPr>
        <w:spacing w:after="0" w:line="163" w:lineRule="exact"/>
        <w:rPr>
          <w:sz w:val="20"/>
          <w:szCs w:val="20"/>
          <w:color w:val="auto"/>
        </w:rPr>
      </w:pPr>
    </w:p>
    <w:p>
      <w:pPr>
        <w:ind w:left="1280" w:hanging="633"/>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election of directors;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advisory vote on executive compensation;</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advisory vote on the frequency of an advisory vote on executive compensation;</w:t>
      </w:r>
    </w:p>
    <w:p>
      <w:pPr>
        <w:spacing w:after="0" w:line="219" w:lineRule="exact"/>
        <w:rPr>
          <w:rFonts w:ascii="Times New Roman" w:cs="Times New Roman" w:eastAsia="Times New Roman" w:hAnsi="Times New Roman"/>
          <w:sz w:val="18"/>
          <w:szCs w:val="18"/>
          <w:color w:val="auto"/>
        </w:rPr>
      </w:pPr>
    </w:p>
    <w:p>
      <w:pPr>
        <w:ind w:left="1280" w:right="360" w:hanging="633"/>
        <w:spacing w:after="0" w:line="27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amendments to the Protalix BioTherapeutics, Inc. 2006 Stock Incentive Plan, as amended, to increase the number of shares of common stock available under the plan from 8,475,171 shares to 12,475,171 shares and to amend certain other terms of said plan;</w:t>
      </w:r>
    </w:p>
    <w:p>
      <w:pPr>
        <w:spacing w:after="0" w:line="162" w:lineRule="exact"/>
        <w:rPr>
          <w:rFonts w:ascii="Times New Roman" w:cs="Times New Roman" w:eastAsia="Times New Roman" w:hAnsi="Times New Roman"/>
          <w:sz w:val="18"/>
          <w:szCs w:val="18"/>
          <w:color w:val="auto"/>
        </w:rPr>
      </w:pPr>
    </w:p>
    <w:p>
      <w:pPr>
        <w:ind w:left="1280" w:right="200" w:hanging="633"/>
        <w:spacing w:after="0" w:line="277"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our Certificate of Incorporation, as amended, to increase the number of shares of our common stock, par value $0.001 per share, authorized for issuance from 144,000,000 to 185,000,000; and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our independent registered public accounting firm for the fiscal year ending December 31, 2023.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Please take the time to carefully read each of the proposals stockholders are being asked to consider and vote on.</w:t>
      </w:r>
    </w:p>
    <w:p>
      <w:pPr>
        <w:spacing w:after="0" w:line="22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Please promptly vote your shares either via the Internet, by telephone or by marking, signing, dating and returning the proxy card in the enclosed envelope. Your vote is important, whether or not you attend the meeting in person. We encourage you to vote by proxy so that your shares will be represented and voted at the meeting. If you decide to attend the meeting and vote in person, your proxy may be revoked at your request.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appreciate your support and look forward to your attending the meeting.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151130</wp:posOffset>
            </wp:positionV>
            <wp:extent cx="1270635" cy="448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635" cy="448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Eyal Rubin</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University Plaza, Suite 100, Hackensack, NJ 07601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1-201-696-9435 | Web: www.protalix.com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Protalix BioTherapeutics, Inc.:</w:t>
      </w:r>
    </w:p>
    <w:p>
      <w:pPr>
        <w:spacing w:after="0" w:line="220"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8"/>
          <w:szCs w:val="18"/>
          <w:color w:val="auto"/>
        </w:rPr>
        <w:t>The 2023 Annual Meeting of Stockholders of Protalix BioTherapeutics, Inc. (the “Company”) will be held at the following time, date and place for the following purposes:</w:t>
      </w:r>
    </w:p>
    <w:p>
      <w:pPr>
        <w:sectPr>
          <w:pgSz w:w="11900" w:h="16838" w:orient="portrait"/>
          <w:cols w:equalWidth="0" w:num="1">
            <w:col w:w="11240"/>
          </w:cols>
          <w:pgMar w:left="320" w:top="904" w:right="339" w:bottom="1440" w:gutter="0" w:footer="0" w:header="0"/>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 A.M. EDT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offices of LifeSci Advisors, 250 W. 55th Street, Suite 3401, New York, 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10019</w:t>
      </w:r>
    </w:p>
    <w:p>
      <w:pPr>
        <w:spacing w:after="0" w:line="36" w:lineRule="exact"/>
        <w:rPr>
          <w:sz w:val="20"/>
          <w:szCs w:val="20"/>
          <w:color w:val="auto"/>
        </w:rPr>
      </w:pPr>
    </w:p>
    <w:p>
      <w:pPr>
        <w:sectPr>
          <w:pgSz w:w="11900" w:h="16838" w:orient="portrait"/>
          <w:cols w:equalWidth="0" w:num="3">
            <w:col w:w="620" w:space="520"/>
            <w:col w:w="5680" w:space="80"/>
            <w:col w:w="434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PURPOSES:</w:t>
      </w:r>
    </w:p>
    <w:p>
      <w:pPr>
        <w:sectPr>
          <w:pgSz w:w="11900" w:h="16838" w:orient="portrait"/>
          <w:cols w:equalWidth="0" w:num="1">
            <w:col w:w="11240"/>
          </w:cols>
          <w:pgMar w:left="320" w:top="904" w:right="339" w:bottom="1440" w:gutter="0" w:footer="0" w:header="0"/>
          <w:type w:val="continuous"/>
        </w:sectPr>
      </w:pPr>
    </w:p>
    <w:p>
      <w:pPr>
        <w:spacing w:after="0" w:line="212" w:lineRule="exact"/>
        <w:rPr>
          <w:sz w:val="20"/>
          <w:szCs w:val="20"/>
          <w:color w:val="auto"/>
        </w:rPr>
      </w:pPr>
    </w:p>
    <w:p>
      <w:pPr>
        <w:ind w:left="1140" w:hanging="5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members to the Board of Directors to serve for the ensuing year or until their respective successors have been duly elected.</w:t>
      </w:r>
    </w:p>
    <w:p>
      <w:pPr>
        <w:spacing w:after="0" w:line="219" w:lineRule="exact"/>
        <w:rPr>
          <w:rFonts w:ascii="Times New Roman" w:cs="Times New Roman" w:eastAsia="Times New Roman" w:hAnsi="Times New Roman"/>
          <w:sz w:val="18"/>
          <w:szCs w:val="18"/>
          <w:color w:val="auto"/>
        </w:rPr>
      </w:pPr>
    </w:p>
    <w:p>
      <w:pPr>
        <w:ind w:left="1140" w:right="660" w:hanging="560"/>
        <w:spacing w:after="0" w:line="27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as disclosed in the proxy statement that accompanies this notice.</w:t>
      </w:r>
    </w:p>
    <w:p>
      <w:pPr>
        <w:spacing w:after="0" w:line="162" w:lineRule="exact"/>
        <w:rPr>
          <w:rFonts w:ascii="Times New Roman" w:cs="Times New Roman" w:eastAsia="Times New Roman" w:hAnsi="Times New Roman"/>
          <w:sz w:val="18"/>
          <w:szCs w:val="18"/>
          <w:color w:val="auto"/>
        </w:rPr>
      </w:pPr>
    </w:p>
    <w:p>
      <w:pPr>
        <w:ind w:left="1140" w:right="160" w:hanging="560"/>
        <w:spacing w:after="0" w:line="27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on the frequency (every one, two or three years) that stockholders of the Company will have a non-binding, advisory vote on the compensation of the Company’s named executive officers.</w:t>
      </w:r>
    </w:p>
    <w:p>
      <w:pPr>
        <w:spacing w:after="0" w:line="162" w:lineRule="exact"/>
        <w:rPr>
          <w:rFonts w:ascii="Times New Roman" w:cs="Times New Roman" w:eastAsia="Times New Roman" w:hAnsi="Times New Roman"/>
          <w:sz w:val="18"/>
          <w:szCs w:val="18"/>
          <w:color w:val="auto"/>
        </w:rPr>
      </w:pPr>
    </w:p>
    <w:p>
      <w:pPr>
        <w:ind w:left="1140" w:right="480" w:hanging="560"/>
        <w:spacing w:after="0" w:line="27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amendments to the Protalix BioTherapeutics, Inc. 2006 Stock Incentive Plan, as amended, to increase the number of shares of common stock available under the plan from 8,475,171 shares to 12,475,171 shares and to amend certain other terms of said plan;</w:t>
      </w:r>
    </w:p>
    <w:p>
      <w:pPr>
        <w:spacing w:after="0" w:line="162" w:lineRule="exact"/>
        <w:rPr>
          <w:rFonts w:ascii="Times New Roman" w:cs="Times New Roman" w:eastAsia="Times New Roman" w:hAnsi="Times New Roman"/>
          <w:sz w:val="18"/>
          <w:szCs w:val="18"/>
          <w:color w:val="auto"/>
        </w:rPr>
      </w:pPr>
    </w:p>
    <w:p>
      <w:pPr>
        <w:ind w:left="1140" w:right="140" w:hanging="560"/>
        <w:spacing w:after="0" w:line="27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as amended, to increase the number of shares of our common stock, par value $0.001 per share, authorized for issuance from 144,000,000 to 185,000,000;</w:t>
      </w:r>
    </w:p>
    <w:p>
      <w:pPr>
        <w:spacing w:after="0" w:line="162" w:lineRule="exact"/>
        <w:rPr>
          <w:rFonts w:ascii="Times New Roman" w:cs="Times New Roman" w:eastAsia="Times New Roman" w:hAnsi="Times New Roman"/>
          <w:sz w:val="18"/>
          <w:szCs w:val="18"/>
          <w:color w:val="auto"/>
        </w:rPr>
      </w:pPr>
    </w:p>
    <w:p>
      <w:pPr>
        <w:ind w:left="1140" w:right="60" w:hanging="560"/>
        <w:spacing w:after="0" w:line="27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Kesselman &amp; Kesselman, Certified Public Accountant (lsr.), a member of PricewaterhouseCoopers International Limited, as our independent registered public accounting firm for the fiscal year ending December 31, 2023; and</w:t>
      </w:r>
    </w:p>
    <w:p>
      <w:pPr>
        <w:spacing w:after="0" w:line="162" w:lineRule="exact"/>
        <w:rPr>
          <w:rFonts w:ascii="Times New Roman" w:cs="Times New Roman" w:eastAsia="Times New Roman" w:hAnsi="Times New Roman"/>
          <w:sz w:val="18"/>
          <w:szCs w:val="18"/>
          <w:color w:val="auto"/>
        </w:rPr>
      </w:pPr>
    </w:p>
    <w:p>
      <w:pPr>
        <w:ind w:left="1140" w:hanging="560"/>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meeting or any adjournment.</w:t>
      </w:r>
    </w:p>
    <w:p>
      <w:pPr>
        <w:spacing w:after="0" w:line="220" w:lineRule="exact"/>
        <w:rPr>
          <w:sz w:val="20"/>
          <w:szCs w:val="20"/>
          <w:color w:val="auto"/>
        </w:rPr>
      </w:pPr>
    </w:p>
    <w:p>
      <w:pPr>
        <w:jc w:val="both"/>
        <w:ind w:right="120" w:firstLine="640"/>
        <w:spacing w:after="0" w:line="284" w:lineRule="auto"/>
        <w:rPr>
          <w:sz w:val="20"/>
          <w:szCs w:val="20"/>
          <w:color w:val="auto"/>
        </w:rPr>
      </w:pPr>
      <w:r>
        <w:rPr>
          <w:rFonts w:ascii="Times New Roman" w:cs="Times New Roman" w:eastAsia="Times New Roman" w:hAnsi="Times New Roman"/>
          <w:sz w:val="17"/>
          <w:szCs w:val="17"/>
          <w:color w:val="auto"/>
        </w:rPr>
        <w:t>All of these proposals are more fully described in the proxy statement that follows. You may vote at the meeting and any adjournments if you were the record owner of the Company’s common stock at the close of business on May 15, 2023. A list of stockholders of record will be available at the meeting and, during the 10 days prior to the meeting, at the office of the Company’s Corporate Secretary at 2 University Plaza, Suite 100, Hackensack, NJ 07601.</w:t>
      </w:r>
    </w:p>
    <w:p>
      <w:pPr>
        <w:spacing w:after="0" w:line="156" w:lineRule="exact"/>
        <w:rPr>
          <w:sz w:val="20"/>
          <w:szCs w:val="20"/>
          <w:color w:val="auto"/>
        </w:rPr>
      </w:pPr>
    </w:p>
    <w:p>
      <w:pPr>
        <w:ind w:right="22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Please sign, date and promptly return the enclosed proxy card in the enclosed envelope, or vote by telephone or Internet (instructions are on your proxy card), so that your shares will be represented whether or not you attend the annual meeting.</w:t>
      </w:r>
    </w:p>
    <w:p>
      <w:pPr>
        <w:spacing w:after="0" w:line="1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151130</wp:posOffset>
            </wp:positionV>
            <wp:extent cx="1076325" cy="372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632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79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Eyal Rubin</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Carmiel, Israel</w:t>
            </w:r>
          </w:p>
        </w:tc>
        <w:tc>
          <w:tcPr>
            <w:tcW w:w="79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Sr. Vice President and Chief Financial Officer and</w:t>
            </w:r>
          </w:p>
        </w:tc>
      </w:tr>
      <w:tr>
        <w:trPr>
          <w:trHeight w:val="2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 2023</w:t>
            </w:r>
          </w:p>
        </w:tc>
        <w:tc>
          <w:tcPr>
            <w:tcW w:w="79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Corporate Secretary</w:t>
            </w:r>
          </w:p>
        </w:tc>
      </w:tr>
      <w:tr>
        <w:trPr>
          <w:trHeight w:val="667"/>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University Plaza, Suite 100</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Hackensack, NJ 07601</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201-696-9345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 PROTALIX BIOTHERAPEUTICS, INC.</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ANNUAL MEETING OF STOCKHOLDERS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You Send Me This Proxy Statement?</w:t>
      </w:r>
    </w:p>
    <w:p>
      <w:pPr>
        <w:spacing w:after="0" w:line="224" w:lineRule="exact"/>
        <w:rPr>
          <w:sz w:val="20"/>
          <w:szCs w:val="20"/>
          <w:color w:val="auto"/>
        </w:rPr>
      </w:pPr>
    </w:p>
    <w:p>
      <w:pPr>
        <w:ind w:right="300" w:firstLine="640"/>
        <w:spacing w:after="0" w:line="257" w:lineRule="auto"/>
        <w:rPr>
          <w:sz w:val="20"/>
          <w:szCs w:val="20"/>
          <w:color w:val="auto"/>
        </w:rPr>
      </w:pPr>
      <w:r>
        <w:rPr>
          <w:rFonts w:ascii="Times New Roman" w:cs="Times New Roman" w:eastAsia="Times New Roman" w:hAnsi="Times New Roman"/>
          <w:sz w:val="18"/>
          <w:szCs w:val="18"/>
          <w:color w:val="auto"/>
        </w:rPr>
        <w:t>We sent you this proxy statement and the enclosed proxy card because the Board of Directors of Protalix BioTherapeutics, Inc. is soliciting your proxy to vote at the 2023 Annual Meeting of Stockholders and any adjournments of the meeting to be held on June 28, 2023 at the offices of LifeSci Advisors, 250 W. 55th Street, Suite 3401, New York, NY 10019. This proxy statement, along with the accompanying Notice of Annual Meeting of Stockholders, summarizes the purposes of the meeting and the information you need to know to vote at the meeting.</w:t>
      </w:r>
    </w:p>
    <w:p>
      <w:pPr>
        <w:spacing w:after="0" w:line="181"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We anticipate that on or about May 24, 2023, we will begin sending this proxy statement, the attached Notice of Annual Meeting and the form of proxy enclosed to all stockholders entitled to vote at the meeting. Although not part of this proxy statement, we are also sending along with this proxy statement our Annual Report on Form 10-K which includes financial statements for the fiscal year ended December 31, 2022 (the “FY2022 Annual Report”). You can also find a copy of our FY2022 Annual Report on the Internet through the electronic data system called EDGAR provided by the Securities and Exchange Commission, or the SEC, at http://www.sec.gov or through the Investor Relations section of our website at http://www.protalix.com. Our FY2022 Annual Report and the information on the website other than the proxy statement are not part of our proxy soliciting materials. Additional copies of the FY2022 Annual Report are available upon request.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Only holders of record of our common stock, par value $0.001 per share, on May 15, 2023 (the “Record Date”), are entitled to vote at the meeting. On the Record Date, there were shares of common stock outstanding and entitled to vote. The common stock is currently our only outstanding class of voting stock.</w:t>
      </w:r>
    </w:p>
    <w:p>
      <w:pPr>
        <w:spacing w:after="0" w:line="176"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You do not need to attend the meeting to vote your shares. Shares represented by valid proxies, received in time for the meeting and not revoked prior to the meeting, will be voted at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share of common stock that you own entitles you to one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4"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Whether you plan to attend the meeting or not, we urge you to vote by proxy. Voting by proxy will not affect your right to attend the meeting. If your shares are registered directly in your name through our stock transfer agent, American Stock Transfer &amp; Trust Company, or you have stock certificates, you may vote:</w:t>
      </w:r>
    </w:p>
    <w:p>
      <w:pPr>
        <w:spacing w:after="0" w:line="172" w:lineRule="exact"/>
        <w:rPr>
          <w:sz w:val="20"/>
          <w:szCs w:val="20"/>
          <w:color w:val="auto"/>
        </w:rPr>
      </w:pPr>
    </w:p>
    <w:p>
      <w:pPr>
        <w:jc w:val="both"/>
        <w:ind w:left="1280" w:right="360" w:hanging="633"/>
        <w:spacing w:after="0" w:line="264"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date, sign and mail the enclosed proxy card in the enclosed postage prepaid envelope. Your proxy will be voted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your instructions. If you sign the proxy card but do not specify how you want your shares voted, they will be voted as recommended by our Board of Directors.</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ind w:left="1280" w:hanging="633"/>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or by telephone. </w:t>
      </w:r>
      <w:r>
        <w:rPr>
          <w:rFonts w:ascii="Times New Roman" w:cs="Times New Roman" w:eastAsia="Times New Roman" w:hAnsi="Times New Roman"/>
          <w:sz w:val="18"/>
          <w:szCs w:val="18"/>
          <w:color w:val="auto"/>
        </w:rPr>
        <w:t>Follow the instructions attached to the proxy card to vote by Internet or telephone.</w:t>
      </w:r>
    </w:p>
    <w:p>
      <w:pPr>
        <w:spacing w:after="0" w:line="219" w:lineRule="exact"/>
        <w:rPr>
          <w:rFonts w:ascii="Times New Roman" w:cs="Times New Roman" w:eastAsia="Times New Roman" w:hAnsi="Times New Roman"/>
          <w:sz w:val="18"/>
          <w:szCs w:val="18"/>
          <w:color w:val="auto"/>
        </w:rPr>
      </w:pPr>
    </w:p>
    <w:p>
      <w:pPr>
        <w:ind w:left="1280" w:hanging="633"/>
        <w:spacing w:after="0" w:line="264" w:lineRule="auto"/>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you may deliver your completed proxy card in person or you may vote by completing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ballot, which will be available at the meeting. We recommend arriving early to the meeting as there may be delays at the entrance to the meeting venue.</w:t>
      </w:r>
    </w:p>
    <w:p>
      <w:pPr>
        <w:spacing w:after="0" w:line="175" w:lineRule="exact"/>
        <w:rPr>
          <w:sz w:val="20"/>
          <w:szCs w:val="20"/>
          <w:color w:val="auto"/>
        </w:rPr>
      </w:pPr>
    </w:p>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nominee), you must provide the bank, broker or other nominee with instructions on how to vote your shares and can generally do so as follows:</w:t>
      </w:r>
    </w:p>
    <w:p>
      <w:pPr>
        <w:spacing w:after="0" w:line="159" w:lineRule="exact"/>
        <w:rPr>
          <w:sz w:val="20"/>
          <w:szCs w:val="20"/>
          <w:color w:val="auto"/>
        </w:rPr>
      </w:pPr>
    </w:p>
    <w:p>
      <w:pPr>
        <w:jc w:val="both"/>
        <w:ind w:left="1280" w:right="340" w:hanging="633"/>
        <w:spacing w:after="0" w:line="264"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date, sign and mail the enclosed proxy card in the enclosed postage prepaid envelope. Your proxy will be voted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your instructions. If you sign the proxy card but do not specify how you want your shares voted, they will be voted as recommended by our Board of Directors.</w:t>
      </w:r>
    </w:p>
    <w:p>
      <w:pPr>
        <w:spacing w:after="0" w:line="17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or by telephone. </w:t>
      </w:r>
      <w:r>
        <w:rPr>
          <w:rFonts w:ascii="Times New Roman" w:cs="Times New Roman" w:eastAsia="Times New Roman" w:hAnsi="Times New Roman"/>
          <w:sz w:val="18"/>
          <w:szCs w:val="18"/>
          <w:color w:val="auto"/>
        </w:rPr>
        <w:t>Follow the instructions attached to the proxy card to vote by Internet or telephone.</w:t>
      </w:r>
    </w:p>
    <w:p>
      <w:pPr>
        <w:spacing w:after="0" w:line="219" w:lineRule="exact"/>
        <w:rPr>
          <w:rFonts w:ascii="Times New Roman" w:cs="Times New Roman" w:eastAsia="Times New Roman" w:hAnsi="Times New Roman"/>
          <w:sz w:val="18"/>
          <w:szCs w:val="18"/>
          <w:color w:val="auto"/>
        </w:rPr>
      </w:pPr>
    </w:p>
    <w:p>
      <w:pPr>
        <w:ind w:left="1280" w:hanging="633"/>
        <w:spacing w:after="0" w:line="264"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you may deliver your completed proxy card in person or you may vote by completing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ballot, which will be available at the meeting. We recommend arriving early to the meeting as there may be delays at the entrance to the meeting venue.</w:t>
      </w:r>
    </w:p>
    <w:p>
      <w:pPr>
        <w:spacing w:after="0" w:line="175"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If you need assistance in voting by telephone or over the Internet or completing your proxy card or have questions regarding the meeting, please contact our proxy advisor:</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Alliance Advisors, LLC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200 Broadacres Drive, 3rd Floor</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Bloomfield, NJ 07003</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 (855) 200-7892 (toll free in the United States)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PLX@AllianceAdvisors.com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You are voting on:</w:t>
      </w:r>
    </w:p>
    <w:p>
      <w:pPr>
        <w:spacing w:after="0" w:line="220" w:lineRule="exact"/>
        <w:rPr>
          <w:sz w:val="20"/>
          <w:szCs w:val="20"/>
          <w:color w:val="auto"/>
        </w:rPr>
      </w:pPr>
    </w:p>
    <w:p>
      <w:pPr>
        <w:ind w:left="1280" w:right="160" w:hanging="633"/>
        <w:spacing w:after="0" w:line="262"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seven members to our Board of Directors to serve for the ensuing year or until their respective successors have been duly elected (Zeev Bronfeld, Dror Bashan, Amos Bar Shalev, Shmuel “Muli” Ben Zvi, Ph.D., Pol F. Boudes, M.D., Gwen A. Melincoff and Aharon Schwartz, Ph.D.).</w:t>
      </w:r>
    </w:p>
    <w:p>
      <w:pPr>
        <w:spacing w:after="0" w:line="17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disclosed in this proxy statement.</w:t>
      </w:r>
    </w:p>
    <w:p>
      <w:pPr>
        <w:spacing w:after="0" w:line="219" w:lineRule="exact"/>
        <w:rPr>
          <w:rFonts w:ascii="Times New Roman" w:cs="Times New Roman" w:eastAsia="Times New Roman" w:hAnsi="Times New Roman"/>
          <w:sz w:val="18"/>
          <w:szCs w:val="18"/>
          <w:color w:val="auto"/>
        </w:rPr>
      </w:pPr>
    </w:p>
    <w:p>
      <w:pPr>
        <w:ind w:left="1280" w:right="500" w:hanging="633"/>
        <w:spacing w:after="0" w:line="27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on the frequency (every one, two or three years) that our stockholders will have a non-binding, advisory vote on the compensation of our named executive officers.</w:t>
      </w:r>
    </w:p>
    <w:p>
      <w:pPr>
        <w:spacing w:after="0" w:line="162" w:lineRule="exact"/>
        <w:rPr>
          <w:rFonts w:ascii="Times New Roman" w:cs="Times New Roman" w:eastAsia="Times New Roman" w:hAnsi="Times New Roman"/>
          <w:sz w:val="18"/>
          <w:szCs w:val="18"/>
          <w:color w:val="auto"/>
        </w:rPr>
      </w:pPr>
    </w:p>
    <w:p>
      <w:pPr>
        <w:ind w:left="1280" w:right="300" w:hanging="633"/>
        <w:spacing w:after="0" w:line="277"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amendments to the Protalix BioTherapeutics, Inc. 2006 Stock Incentive Plan, as amended, to increase the number of shares of common stock available under the plan from 8,475,171 shares to 12,475,171 shares and to amend certain other terms of said plan.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 w:name="page6"/>
    <w:bookmarkEnd w:id="5"/>
    <w:p>
      <w:pPr>
        <w:ind w:left="1280" w:right="360" w:hanging="633"/>
        <w:spacing w:after="0" w:line="27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Certificate of Incorporation, as amended, to increase the number of shares of our common stock, par value $0.001 per share, authorized for issuance from 144,000,000 to 185,000,000.</w:t>
      </w:r>
    </w:p>
    <w:p>
      <w:pPr>
        <w:spacing w:after="0" w:line="162" w:lineRule="exact"/>
        <w:rPr>
          <w:rFonts w:ascii="Times New Roman" w:cs="Times New Roman" w:eastAsia="Times New Roman" w:hAnsi="Times New Roman"/>
          <w:sz w:val="18"/>
          <w:szCs w:val="18"/>
          <w:color w:val="auto"/>
        </w:rPr>
      </w:pPr>
    </w:p>
    <w:p>
      <w:pPr>
        <w:ind w:left="1280" w:hanging="633"/>
        <w:spacing w:after="0" w:line="307"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Kesselman and Kesselman, Certified Public Accountant (Isr.), a member of PricewaterhouseCoopers International Limited, as our independent registered public accounting firm for the fiscal year ending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At The Meeting?</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216" w:lineRule="exact"/>
        <w:rPr>
          <w:sz w:val="20"/>
          <w:szCs w:val="20"/>
          <w:color w:val="auto"/>
        </w:rPr>
      </w:pPr>
    </w:p>
    <w:p>
      <w:pPr>
        <w:ind w:left="1360" w:hanging="713"/>
        <w:spacing w:after="0"/>
        <w:tabs>
          <w:tab w:leader="none" w:pos="1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re-election of all director nominees named in “Proposal 1: Election of Directors” of this proxy statement.</w:t>
      </w:r>
    </w:p>
    <w:p>
      <w:pPr>
        <w:spacing w:after="0" w:line="219" w:lineRule="exact"/>
        <w:rPr>
          <w:rFonts w:ascii="Times New Roman" w:cs="Times New Roman" w:eastAsia="Times New Roman" w:hAnsi="Times New Roman"/>
          <w:sz w:val="18"/>
          <w:szCs w:val="18"/>
          <w:color w:val="auto"/>
        </w:rPr>
      </w:pPr>
    </w:p>
    <w:p>
      <w:pPr>
        <w:ind w:right="880" w:firstLine="647"/>
        <w:spacing w:after="0" w:line="281" w:lineRule="auto"/>
        <w:tabs>
          <w:tab w:leader="none" w:pos="1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our executive compensation as disclosed in the proxy statement that accompanies this notice and as described in “Proposal 2: Advisory Vote on Executive Compensation” of this proxy statement.</w:t>
      </w:r>
    </w:p>
    <w:p>
      <w:pPr>
        <w:spacing w:after="0" w:line="155" w:lineRule="exact"/>
        <w:rPr>
          <w:rFonts w:ascii="Times New Roman" w:cs="Times New Roman" w:eastAsia="Times New Roman" w:hAnsi="Times New Roman"/>
          <w:sz w:val="18"/>
          <w:szCs w:val="18"/>
          <w:color w:val="auto"/>
        </w:rPr>
      </w:pPr>
    </w:p>
    <w:p>
      <w:pPr>
        <w:ind w:right="140" w:firstLine="647"/>
        <w:spacing w:after="0" w:line="264" w:lineRule="auto"/>
        <w:tabs>
          <w:tab w:leader="none" w:pos="1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every one year as the frequency that our stockholders will have a non-binding, advisory vote on our executive compensation as described in the “Proposal 3: Advisory Vote on the Frequency of an Advisory Vote on Executive Compensation” of this proxy statement.</w:t>
      </w:r>
    </w:p>
    <w:p>
      <w:pPr>
        <w:spacing w:after="0" w:line="170" w:lineRule="exact"/>
        <w:rPr>
          <w:rFonts w:ascii="Times New Roman" w:cs="Times New Roman" w:eastAsia="Times New Roman" w:hAnsi="Times New Roman"/>
          <w:sz w:val="18"/>
          <w:szCs w:val="18"/>
          <w:color w:val="auto"/>
        </w:rPr>
      </w:pPr>
    </w:p>
    <w:p>
      <w:pPr>
        <w:jc w:val="both"/>
        <w:ind w:right="20" w:firstLine="647"/>
        <w:spacing w:after="0" w:line="287" w:lineRule="auto"/>
        <w:tabs>
          <w:tab w:leader="none" w:pos="135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adoption of amendments to the Protalix BioTherapeutics, Inc. 2006 Stock Incentive Plan, as amended, to increase the number of shares of common stock available under the plan from 8,475,171 shares to 12,475,171 shares and to amend certain other terms of said plan as disclosed in the proxy statement that accompanies this notice and as described in “Proposal 4: Advisory Vote on Executive Compensation” of this proxy statement.</w:t>
      </w:r>
    </w:p>
    <w:p>
      <w:pPr>
        <w:spacing w:after="0" w:line="152" w:lineRule="exact"/>
        <w:rPr>
          <w:rFonts w:ascii="Times New Roman" w:cs="Times New Roman" w:eastAsia="Times New Roman" w:hAnsi="Times New Roman"/>
          <w:sz w:val="17"/>
          <w:szCs w:val="17"/>
          <w:color w:val="auto"/>
        </w:rPr>
      </w:pPr>
    </w:p>
    <w:p>
      <w:pPr>
        <w:ind w:right="20" w:firstLine="647"/>
        <w:spacing w:after="0" w:line="264" w:lineRule="auto"/>
        <w:tabs>
          <w:tab w:leader="none" w:pos="1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our Certificate of Incorporation, as amended, to increase the number of shares of our common stock, par value $0.001 per share, authorized for issuance from 144,000,000 to 185,000,000, as disclosed in the proxy statement that accompanies this notice and as described in “Proposal 5: Advisory Vote on Executive Compensation” of this proxy statement; and</w:t>
      </w:r>
    </w:p>
    <w:p>
      <w:pPr>
        <w:spacing w:after="0" w:line="170" w:lineRule="exact"/>
        <w:rPr>
          <w:rFonts w:ascii="Times New Roman" w:cs="Times New Roman" w:eastAsia="Times New Roman" w:hAnsi="Times New Roman"/>
          <w:sz w:val="18"/>
          <w:szCs w:val="18"/>
          <w:color w:val="auto"/>
        </w:rPr>
      </w:pPr>
    </w:p>
    <w:p>
      <w:pPr>
        <w:ind w:right="340" w:firstLine="647"/>
        <w:spacing w:after="0" w:line="281" w:lineRule="auto"/>
        <w:tabs>
          <w:tab w:leader="none" w:pos="1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Kesselman and Kesselman as our independent registered public accounting firm for the 2023 fiscal year, as named in “Proposal 6: Ratification of Independent Registered Public Accounting Firm” of this proxy statement.</w:t>
      </w:r>
    </w:p>
    <w:p>
      <w:pPr>
        <w:spacing w:after="0" w:line="160"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If any other matter is properly presented at the meeting or any adjournment, the proxy card provides that your shares will be voted by the proxy holder listed on the proxy card in accordance with his or her best judgment. At the time this proxy statement was printed, we knew of no matters that needed to be acted on at the meeting, other than those discussed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Meeting?</w:t>
      </w:r>
    </w:p>
    <w:p>
      <w:pPr>
        <w:spacing w:after="0" w:line="224"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Of the shares of common stock outstanding as of the Record Date, the holders of at least one-third (1/3) of those shares, or at least shares, must be present at the meeting in person or represented by proxy to hold the meeting and conduct business. Once a quorum is established at a meeting, it shall not be broken by the withdrawal of enough votes to leave less than a quorum. Shares held by stockholders of record who are present at the meeting in person or by proxy are counted for purposes of determining whether a quorum exists. Abstentions and “broker non-votes” are also counted as present and entitled to vote for purposes of determining whether a quorum exists. If a quorum is not present, the meeting will be adjourned until a quorum is obtained.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What Are The Voting Requirements To Approve A Proposal?</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22"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Director nominees will be elected by a plurality of votes cast, which means that the director nominees receiving the highest number of votes will be elected. In voting to elect nominees to the Board of Directors, stockholders may vote in favor of all the nominees or any individual nominee or withhold their votes as to all the nominees or any individual nominee. Only “FOR” and “WITHHOLD” votes will affect the outcome. Abstentions and broker non-votes will have no effect on Proposal 1.</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Approval of non-binding advisory resolution on executive compensation</w:t>
      </w:r>
    </w:p>
    <w:p>
      <w:pPr>
        <w:spacing w:after="0" w:line="222"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You may vote “FOR,” “AGAINST” or “ABSTAIN” on the advisory vote to approve executive compensation. Approval requires the affirmative vote of the majority of shares present in person or represented by proxy at the meeting and entitled to vote on the resolution. The outcome of this vote is not binding; however, the Board of Directors and the Compensation Committee will consider the outcome of the vote when developing and reviewing the future executive compensation plans. Abstentions and broker non-votes will have no effect on Proposal 2.</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Vote on a non-binding advisory resolution regarding the frequency of the vote regarding executive compensation</w:t>
      </w:r>
    </w:p>
    <w:p>
      <w:pPr>
        <w:spacing w:after="0" w:line="222" w:lineRule="exact"/>
        <w:rPr>
          <w:sz w:val="20"/>
          <w:szCs w:val="20"/>
          <w:color w:val="auto"/>
        </w:rPr>
      </w:pPr>
    </w:p>
    <w:p>
      <w:pPr>
        <w:ind w:right="220" w:firstLine="640"/>
        <w:spacing w:after="0" w:line="254" w:lineRule="auto"/>
        <w:rPr>
          <w:sz w:val="20"/>
          <w:szCs w:val="20"/>
          <w:color w:val="auto"/>
        </w:rPr>
      </w:pPr>
      <w:r>
        <w:rPr>
          <w:rFonts w:ascii="Times New Roman" w:cs="Times New Roman" w:eastAsia="Times New Roman" w:hAnsi="Times New Roman"/>
          <w:sz w:val="18"/>
          <w:szCs w:val="18"/>
          <w:color w:val="auto"/>
        </w:rPr>
        <w:t>Stockholders will be asked to vote on whether to advise us to include in our proxy statement a non-binding, advisory vote on executive compensation every year, two years or three years. You may vote “One Year,” “Two Years,” “Three Years” or “ABSTAIN.” If a quorum is present, the outcome of this vote will be determined by a plurality of the votes cast, which means that, while the outcome of this vote is not binding on us, we will take under advisement the choice (every year, two years or three years) that receives the most votes. Abstentions and broker non-votes have no effect on Proposal 3.</w:t>
      </w:r>
    </w:p>
    <w:p>
      <w:pPr>
        <w:spacing w:after="0" w:line="184" w:lineRule="exact"/>
        <w:rPr>
          <w:sz w:val="20"/>
          <w:szCs w:val="20"/>
          <w:color w:val="auto"/>
        </w:rPr>
      </w:pPr>
    </w:p>
    <w:p>
      <w:pPr>
        <w:ind w:right="140" w:firstLine="640"/>
        <w:spacing w:after="0" w:line="279" w:lineRule="auto"/>
        <w:rPr>
          <w:sz w:val="20"/>
          <w:szCs w:val="20"/>
          <w:color w:val="auto"/>
        </w:rPr>
      </w:pPr>
      <w:r>
        <w:rPr>
          <w:rFonts w:ascii="Times New Roman" w:cs="Times New Roman" w:eastAsia="Times New Roman" w:hAnsi="Times New Roman"/>
          <w:sz w:val="18"/>
          <w:szCs w:val="18"/>
          <w:i w:val="1"/>
          <w:iCs w:val="1"/>
          <w:color w:val="auto"/>
        </w:rPr>
        <w:t>Adoption of amendments to the Protalix BioTherapeutics, Inc. 2006 Stock Incentive Plan, as amended, to increase the number of authorized shares of common stock reserved for issuance under the plan and to amend certain other terms of the plan</w:t>
      </w:r>
    </w:p>
    <w:p>
      <w:pPr>
        <w:spacing w:after="0" w:line="161"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You may vote “FOR,” “AGAINST” or “ABSTAIN” on the adoption of an amendment to the Protalix BioTherapeutics, Inc. 2006 Stock Incentive Plan, as amended, to increase the number of authorized shares of common stock reserved for issuance under the plan. If a quorum is present, adoption of the amendment requires that the number of votes cast at the meeting in favor of adoption exceeds the number of votes cast opposing adoption. Abstentions and broker non-votes will have no effect on Proposal 4.</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Amendment to Certificate of Incorporation, as amended, to increase the number of authorized shares of common stock</w:t>
      </w:r>
    </w:p>
    <w:p>
      <w:pPr>
        <w:spacing w:after="0" w:line="222"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7"/>
          <w:szCs w:val="17"/>
          <w:color w:val="auto"/>
        </w:rPr>
        <w:t>You may vote “FOR,” “AGAINST” or “ABSTAIN” on the proposal to amend our Certificate of Incorporation, as amended, to increase the number of shares of our common stock authorized for issuance from 144,000,000 to 185,000,000. The affirmative vote of a majority of the shares of our common stock outstanding and entitled to vote at the meeting is required to approve the amendment to our Certificate of Incorporation, as amended, to increase the number of authorized shares of common stock from 144,000,000 to 185,000,000. Abstentions will have the same effect as an “against” vote on Proposal 5.</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Ratification of the selection of Kesselman &amp; Kesselman as our independent auditor</w:t>
      </w:r>
    </w:p>
    <w:p>
      <w:pPr>
        <w:spacing w:after="0" w:line="222"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You may vote “FOR,” “AGAINST” or “ABSTAIN” on the ratification of the selection of Kesselman &amp; Kesselman to serve as our principal independent registered public accounting firm for the fiscal year ending December 31, 2023. Ratification of the appointment of our independent registered public accounting firm requires the affirmative vote of the majority of shares present in person or represented by proxy at the meeting and entitled to vote on the. Abstentions will have no effect on Proposal 6.</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How Are My Votes Cast When I Sign And Return A Proxy Card?</w:t>
      </w:r>
    </w:p>
    <w:p>
      <w:pPr>
        <w:spacing w:after="0" w:line="224" w:lineRule="exact"/>
        <w:rPr>
          <w:sz w:val="20"/>
          <w:szCs w:val="20"/>
          <w:color w:val="auto"/>
        </w:rPr>
      </w:pPr>
    </w:p>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When you sign the proxy card or submit your proxy by telephone or over the Internet, you appoint Dror Bashan, our President and Chief Executive Officer, and Eyal Rubin, our Sr. Vice President and Chief Financial Officer, as your representatives at the meeting. Either Dror Bashan or Eyal Rubin will vote your shares at the meeting as you have instructed them on the proxy card. Each such person may appoint a substitute for himself.</w:t>
      </w:r>
    </w:p>
    <w:p>
      <w:pPr>
        <w:spacing w:after="0" w:line="176" w:lineRule="exact"/>
        <w:rPr>
          <w:sz w:val="20"/>
          <w:szCs w:val="20"/>
          <w:color w:val="auto"/>
        </w:rPr>
      </w:pPr>
    </w:p>
    <w:p>
      <w:pPr>
        <w:jc w:val="both"/>
        <w:ind w:right="100" w:firstLine="640"/>
        <w:spacing w:after="0" w:line="262" w:lineRule="auto"/>
        <w:rPr>
          <w:sz w:val="20"/>
          <w:szCs w:val="20"/>
          <w:color w:val="auto"/>
        </w:rPr>
      </w:pPr>
      <w:r>
        <w:rPr>
          <w:rFonts w:ascii="Times New Roman" w:cs="Times New Roman" w:eastAsia="Times New Roman" w:hAnsi="Times New Roman"/>
          <w:sz w:val="18"/>
          <w:szCs w:val="18"/>
          <w:color w:val="auto"/>
        </w:rPr>
        <w:t>Even if you plan to attend the meeting, it is a good idea to complete, sign and return your proxy card or submit your proxy by telephone or over the Internet in advance of the meeting in case your plans change. This way, your shares will be voted by you whether or not you actually attend the meeting. We recommend arriving early to the meeting as there may be delays at the entrance to the meeting 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224" w:lineRule="exact"/>
        <w:rPr>
          <w:sz w:val="20"/>
          <w:szCs w:val="20"/>
          <w:color w:val="auto"/>
        </w:rPr>
      </w:pPr>
    </w:p>
    <w:p>
      <w:pPr>
        <w:ind w:right="480" w:firstLine="640"/>
        <w:spacing w:after="0" w:line="277" w:lineRule="auto"/>
        <w:rPr>
          <w:sz w:val="20"/>
          <w:szCs w:val="20"/>
          <w:color w:val="auto"/>
        </w:rPr>
      </w:pPr>
      <w:r>
        <w:rPr>
          <w:rFonts w:ascii="Times New Roman" w:cs="Times New Roman" w:eastAsia="Times New Roman" w:hAnsi="Times New Roman"/>
          <w:sz w:val="18"/>
          <w:szCs w:val="18"/>
          <w:color w:val="auto"/>
        </w:rPr>
        <w:t>If you give us your proxy, you may revoke it at any time before it is voted at the meeting. There will be no double counting of votes. You may revoke your proxy in any one of the following ways:</w:t>
      </w:r>
    </w:p>
    <w:p>
      <w:pPr>
        <w:spacing w:after="0" w:line="163" w:lineRule="exact"/>
        <w:rPr>
          <w:sz w:val="20"/>
          <w:szCs w:val="20"/>
          <w:color w:val="auto"/>
        </w:rPr>
      </w:pPr>
    </w:p>
    <w:p>
      <w:pPr>
        <w:ind w:left="1280" w:right="80" w:hanging="633"/>
        <w:spacing w:after="0" w:line="277"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or by granting a new proxy card or new voting instruction bearing a later date (which automatically revokes the earlier instructions);</w:t>
      </w:r>
    </w:p>
    <w:p>
      <w:pPr>
        <w:spacing w:after="0" w:line="162" w:lineRule="exact"/>
        <w:rPr>
          <w:rFonts w:ascii="Times New Roman" w:cs="Times New Roman" w:eastAsia="Times New Roman" w:hAnsi="Times New Roman"/>
          <w:sz w:val="18"/>
          <w:szCs w:val="18"/>
          <w:color w:val="auto"/>
        </w:rPr>
      </w:pPr>
    </w:p>
    <w:p>
      <w:pPr>
        <w:ind w:left="1280" w:right="120" w:hanging="633"/>
        <w:spacing w:after="0" w:line="277"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re-voting by Internet or by telephone as instructed above (only your latest Internet or telephone vote will be counted);</w:t>
      </w:r>
    </w:p>
    <w:p>
      <w:pPr>
        <w:spacing w:after="0" w:line="16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Corporate Secretary, Eyal Rubin, in writing before the meeting that you have revoked your proxy; or</w:t>
      </w:r>
    </w:p>
    <w:p>
      <w:pPr>
        <w:spacing w:after="0" w:line="219" w:lineRule="exact"/>
        <w:rPr>
          <w:rFonts w:ascii="Times New Roman" w:cs="Times New Roman" w:eastAsia="Times New Roman" w:hAnsi="Times New Roman"/>
          <w:sz w:val="18"/>
          <w:szCs w:val="18"/>
          <w:color w:val="auto"/>
        </w:rPr>
      </w:pPr>
    </w:p>
    <w:p>
      <w:pPr>
        <w:ind w:left="1280" w:right="720" w:hanging="633"/>
        <w:spacing w:after="0" w:line="277"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meeting in person and voting in person. Attending the meeting in person will not in and of itself revoke a previously submitted proxy unless you specifically request 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My Broker Vote My Shares For Me?</w:t>
      </w:r>
    </w:p>
    <w:p>
      <w:pPr>
        <w:spacing w:after="0" w:line="224"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A broker “non-vote” occurs when a broker or nominee holding shares for a beneficial owner does not vote on a particular matter because the matter is not routine and such broker or nominee does not have the discretionary voting authority to vote the shares for which it is the holder of record with respect to a particular matter at the meeting and such broker or nominee has not received instructions from the beneficial owner. Broker “non-votes,” and shares as to which proxy authority has been withheld with respect to any matter, are generally not deemed to be entitled to vote for purposes of determining whether stockholders’ approval of that matter has been obtained. Pursuant to New York Stock Exchange (“NYSE”) Rule 452, the uncontested election of directors (Proposal No. 1), the approval of a non-binding advisory resolution on executive compensation (Proposal No. 2), the vote on a non-binding advisory resolution regarding the frequency of the vote regarding executive compensation (Proposal No. 3) and the adoption of amendments to the Protalix BioTherapeutics, Inc. 2006 Stock Incentive Plan which increase the number of shares of common stock authorized for issuance under the plan and amend certain other terms of the plan (Proposal No. 4) are non-routine matters and, therefore, may not be voted upon by brokers without instructions from beneficial owners. Consequently, proxies submitted by brokers for shares beneficially owned by other persons may not, in the absence of specific instructions from such beneficial owners, vote the shares in favor of or withhold votes from such proposals at the brokers’ discretion. The amendment to our Certificate of Incorporation, as amended, to increase the number of authorized shares of common stock (Proposal No. 5) and the ratification of the selection of Kesselman &amp; Kesselman to serve as our principal independent registered public accounting firm for the fiscal year ending December 31, 2023 (Proposal No. 6) are routine matters. </w:t>
      </w:r>
      <w:r>
        <w:rPr>
          <w:rFonts w:ascii="Times New Roman" w:cs="Times New Roman" w:eastAsia="Times New Roman" w:hAnsi="Times New Roman"/>
          <w:sz w:val="18"/>
          <w:szCs w:val="18"/>
          <w:b w:val="1"/>
          <w:bCs w:val="1"/>
          <w:color w:val="auto"/>
        </w:rPr>
        <w:t>Please complete your proxy and return it as instructed so your vote can be counted.</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If I Receive More Than One Proxy Card?</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You may receive more than one proxy card or voting instruction form if you hold shares of our common stock in more than one account, which may be in registered form or held in street name. Please vote in the manner described under “How Do I Vote?” for each account to ensure that all of your shares are voted.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Vote For Some Of The Matters Listed On My Proxy Card?</w:t>
      </w:r>
    </w:p>
    <w:p>
      <w:pPr>
        <w:spacing w:after="0" w:line="222"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 xml:space="preserve">If you return your proxy card without indicating your vote, your shares will be voted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nominees listed on the card;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approval, on an advisory basis, of the executive compensation;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approval, on an advisory basis, of every one year as the frequency that our stockholders will have a non-binding, advisory vote on our executive compensation;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adoption of amendments to the Protalix BioTherapeutics, Inc. 2006 Stock Incentive Plan which increase the number of shares of common stock authorized for issuance under the plan and amend certain other terms of the plan;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amendment to our Certificate of Incorporation, as amended, to increase the number of authorized shares of common stock; and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ratification of the appointment of Kesselman &amp; Kesselman.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Return My Proxy Card And Do Not Attend The Annual Meeting?</w:t>
      </w:r>
    </w:p>
    <w:p>
      <w:pPr>
        <w:spacing w:after="0" w:line="224"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voted if you do not return your proxy card by mail or vote at the meeting as described above under “How Do I Vote?”.</w:t>
      </w:r>
    </w:p>
    <w:p>
      <w:pPr>
        <w:spacing w:after="0" w:line="163"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If your shares are held in street name and you do not provide voting instructions to the bank, broker or other nominee that holds your shares as described above under “How Do I Vote?,” the bank, broker or other nominee has the authority to vote your shares on certain routine matters scheduled to come before the meeting even if it does not receive instructions from you. We encourage you to provide voting instructions. This ensures your shares will be voted at the meeting in the manner you desire.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Yes. Only the inspector of elections and our employees who have been assigned the responsibility for overseeing the legal aspects of the meeting and our proxy solicitors will have access to your proxy card. The inspector of elections will tabulate and certify the vote. Any comments written on the proxy card will remain confidential unless you ask that your name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224"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officers, directors and employees may solicit proxies in person or by telephone, fax or email. We will pay these officers,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have engaged Alliance Advisors LLC to assist us in soliciting proxies for the meeting. We will pay Alliance Advisors a base fee of $10,000, plus reasonable out-of-pocket expenses, plus an additional fee based upon the number of contacts with stockholders made and work performed. We estimate the total amount payable to Alliance Advisors will be approximately $100,000.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224"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We do not know of any other matters that will be considered at the meeting. If any other matters arise at the meeting at or by the direction of the Board of Directors, the proxies will be voted at the discretion of the proxy 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Postponed Or Adjourned?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Your proxy will still be valid and may be voted at the postponed or adjourned meeting. You will still be able to change or revoke your proxy until it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voted.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Do I Need A Ticket To Attend The Annual Meeting?</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Yes, you will need an admission ticket or proof of ownership of common stock to enter the meeting. If you are a stockholder of record, your admission ticket is the bottom half of the proxy card sent to you. If you plan to attend the meeting, please so indicate when you vote and bring the ticket with you to the meeting. If your shares are held in the name of a bank, broker or other holder of record, your admission ticket is the left side of your voting information form. If you do not bring your admission ticket, you will need proof of ownership to be admitted to the meeting. A recent brokerage statement or letter from a bank or broker is an example of proof of ownership. If you arrive at the meeting without an admission ticket, we will admit you only if we are able to verify that you are a stockholder of our Company. We recommend arriving early to the meeting as there may be delays at the entrance to the meeting venue.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information, as of April 30, 2023, regarding beneficial ownership of our common stock:</w:t>
      </w:r>
    </w:p>
    <w:p>
      <w:pPr>
        <w:spacing w:after="0" w:line="220" w:lineRule="exact"/>
        <w:rPr>
          <w:sz w:val="20"/>
          <w:szCs w:val="20"/>
          <w:color w:val="auto"/>
        </w:rPr>
      </w:pPr>
    </w:p>
    <w:p>
      <w:pPr>
        <w:ind w:left="1360" w:hanging="713"/>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own beneficially more than 5% of our common stock;</w:t>
      </w:r>
    </w:p>
    <w:p>
      <w:pPr>
        <w:spacing w:after="0" w:line="219"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219"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19"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collectively.</w:t>
      </w:r>
    </w:p>
    <w:p>
      <w:pPr>
        <w:spacing w:after="0" w:line="220" w:lineRule="exact"/>
        <w:rPr>
          <w:sz w:val="20"/>
          <w:szCs w:val="20"/>
          <w:color w:val="auto"/>
        </w:rPr>
      </w:pPr>
    </w:p>
    <w:p>
      <w:pPr>
        <w:ind w:right="220" w:firstLine="640"/>
        <w:spacing w:after="0" w:line="269" w:lineRule="auto"/>
        <w:rPr>
          <w:sz w:val="20"/>
          <w:szCs w:val="20"/>
          <w:color w:val="auto"/>
        </w:rPr>
      </w:pPr>
      <w:r>
        <w:rPr>
          <w:rFonts w:ascii="Times New Roman" w:cs="Times New Roman" w:eastAsia="Times New Roman" w:hAnsi="Times New Roman"/>
          <w:sz w:val="17"/>
          <w:szCs w:val="17"/>
          <w:color w:val="auto"/>
        </w:rPr>
        <w:t>Unless otherwise noted, we believe that all persons named in the table have sole voting and investment power with respect to all shares of our common stock beneficially owned by each of them. For purposes of this table, a person is deemed to be the beneficial owner of securities that can be acquired by such person within 60 days from April 30, 2023 upon exercise of options, warrants and convertible securities. Each beneficial owner’s percentage ownership is determined by assuming that options, warrants and convertible securities that are held by such person (but not those held by any other person) and that are exercisable or convertible within 60 days from such date have been exercised. The information set forth below is based upon information obtained from the beneficial owners, upon information in our possession regarding their respective holdings and upon information filed by the holders with the SEC. The percentages of beneficial ownership are based on 65,414,917 shares of our common stock outstanding as of April 30, 2023.</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address for all directors and officers is c/o Protalix BioTherapeutics, Inc., 2 Snunit Street, Science Park, P.O. Box 455, Carmiel 2161401, Israel.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Amount and Nature of</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r>
      <w:tr>
        <w:trPr>
          <w:trHeight w:val="249"/>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Beneficial Ownership</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Class (%)</w:t>
            </w:r>
          </w:p>
        </w:tc>
      </w:tr>
      <w:tr>
        <w:trPr>
          <w:trHeight w:val="207"/>
        </w:trPr>
        <w:tc>
          <w:tcPr>
            <w:tcW w:w="7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Zeev Bronfeld</w:t>
            </w:r>
            <w:r>
              <w:rPr>
                <w:rFonts w:ascii="Times New Roman" w:cs="Times New Roman" w:eastAsia="Times New Roman" w:hAnsi="Times New Roman"/>
                <w:sz w:val="29"/>
                <w:szCs w:val="29"/>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646,033</w:t>
            </w: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Dror Bashan</w:t>
            </w:r>
            <w:r>
              <w:rPr>
                <w:rFonts w:ascii="Times New Roman" w:cs="Times New Roman" w:eastAsia="Times New Roman" w:hAnsi="Times New Roman"/>
                <w:sz w:val="29"/>
                <w:szCs w:val="29"/>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1,444,083</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Amos Bar Shalev</w:t>
            </w:r>
            <w:r>
              <w:rPr>
                <w:rFonts w:ascii="Times New Roman" w:cs="Times New Roman" w:eastAsia="Times New Roman" w:hAnsi="Times New Roman"/>
                <w:sz w:val="29"/>
                <w:szCs w:val="29"/>
                <w:color w:val="auto"/>
                <w:vertAlign w:val="superscript"/>
              </w:rPr>
              <w:t>(3)</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42,043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Shmuel “Muli” Ben Zvi, Ph.D.</w:t>
            </w:r>
            <w:r>
              <w:rPr>
                <w:rFonts w:ascii="Times New Roman" w:cs="Times New Roman" w:eastAsia="Times New Roman" w:hAnsi="Times New Roman"/>
                <w:sz w:val="29"/>
                <w:szCs w:val="29"/>
                <w:color w:val="auto"/>
                <w:vertAlign w:val="superscript"/>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Pol F. Boudes, M.D.</w:t>
            </w:r>
            <w:r>
              <w:rPr>
                <w:rFonts w:ascii="Times New Roman" w:cs="Times New Roman" w:eastAsia="Times New Roman" w:hAnsi="Times New Roman"/>
                <w:sz w:val="29"/>
                <w:szCs w:val="29"/>
                <w:color w:val="auto"/>
                <w:vertAlign w:val="superscript"/>
              </w:rPr>
              <w:t>(5)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41,915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Gwen A. Melincoff</w:t>
            </w:r>
            <w:r>
              <w:rPr>
                <w:rFonts w:ascii="Times New Roman" w:cs="Times New Roman" w:eastAsia="Times New Roman" w:hAnsi="Times New Roman"/>
                <w:sz w:val="29"/>
                <w:szCs w:val="29"/>
                <w:color w:val="auto"/>
                <w:vertAlign w:val="superscript"/>
              </w:rPr>
              <w:t>(6)</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Aharon Schwartz, Ph.D.</w:t>
            </w:r>
            <w:r>
              <w:rPr>
                <w:rFonts w:ascii="Times New Roman" w:cs="Times New Roman" w:eastAsia="Times New Roman" w:hAnsi="Times New Roman"/>
                <w:sz w:val="29"/>
                <w:szCs w:val="29"/>
                <w:color w:val="auto"/>
                <w:vertAlign w:val="superscript"/>
              </w:rPr>
              <w:t>(7)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215,875</w:t>
            </w: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Yaron Naos</w:t>
            </w:r>
            <w:r>
              <w:rPr>
                <w:rFonts w:ascii="Times New Roman" w:cs="Times New Roman" w:eastAsia="Times New Roman" w:hAnsi="Times New Roman"/>
                <w:sz w:val="29"/>
                <w:szCs w:val="29"/>
                <w:color w:val="auto"/>
                <w:vertAlign w:val="superscript"/>
              </w:rPr>
              <w:t>(8)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233,031</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Eyal Rubin</w:t>
            </w:r>
            <w:r>
              <w:rPr>
                <w:rFonts w:ascii="Times New Roman" w:cs="Times New Roman" w:eastAsia="Times New Roman" w:hAnsi="Times New Roman"/>
                <w:sz w:val="29"/>
                <w:szCs w:val="29"/>
                <w:color w:val="auto"/>
                <w:vertAlign w:val="superscript"/>
              </w:rPr>
              <w:t>(9)</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508,722</w:t>
            </w: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Yael Hayon, Ph.D.</w:t>
            </w:r>
            <w:r>
              <w:rPr>
                <w:rFonts w:ascii="Times New Roman" w:cs="Times New Roman" w:eastAsia="Times New Roman" w:hAnsi="Times New Roman"/>
                <w:sz w:val="29"/>
                <w:szCs w:val="29"/>
                <w:color w:val="auto"/>
                <w:vertAlign w:val="superscript"/>
              </w:rPr>
              <w:t>(10)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136,092</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All executive officers and directors as a group (10 persons)</w:t>
            </w:r>
            <w:r>
              <w:rPr>
                <w:rFonts w:ascii="Times New Roman" w:cs="Times New Roman" w:eastAsia="Times New Roman" w:hAnsi="Times New Roman"/>
                <w:sz w:val="29"/>
                <w:szCs w:val="29"/>
                <w:color w:val="auto"/>
                <w:vertAlign w:val="superscript"/>
              </w:rPr>
              <w:t>(11)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3,319,044</w:t>
            </w: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13"/>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4"/>
        </w:trPr>
        <w:tc>
          <w:tcPr>
            <w:tcW w:w="77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Alfred Akirov</w:t>
            </w:r>
            <w:r>
              <w:rPr>
                <w:rFonts w:ascii="Times New Roman" w:cs="Times New Roman" w:eastAsia="Times New Roman" w:hAnsi="Times New Roman"/>
                <w:sz w:val="29"/>
                <w:szCs w:val="29"/>
                <w:color w:val="auto"/>
                <w:vertAlign w:val="superscript"/>
              </w:rPr>
              <w:t>(12)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4,515,686</w:t>
            </w:r>
          </w:p>
        </w:tc>
        <w:tc>
          <w:tcPr>
            <w:tcW w:w="220" w:type="dxa"/>
            <w:vAlign w:val="bottom"/>
          </w:tcPr>
          <w:p>
            <w:pPr>
              <w:spacing w:after="0"/>
              <w:rPr>
                <w:sz w:val="22"/>
                <w:szCs w:val="22"/>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54"/>
        </w:trPr>
        <w:tc>
          <w:tcPr>
            <w:tcW w:w="77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Highbridge Capital Management LLC</w:t>
            </w:r>
            <w:r>
              <w:rPr>
                <w:rFonts w:ascii="Times New Roman" w:cs="Times New Roman" w:eastAsia="Times New Roman" w:hAnsi="Times New Roman"/>
                <w:sz w:val="29"/>
                <w:szCs w:val="29"/>
                <w:color w:val="auto"/>
                <w:vertAlign w:val="superscript"/>
              </w:rPr>
              <w:t>(13)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7,260,249</w:t>
            </w: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r>
      <w:tr>
        <w:trPr>
          <w:trHeight w:val="39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HIR Investments Ltd.</w:t>
            </w:r>
            <w:r>
              <w:rPr>
                <w:rFonts w:ascii="Times New Roman" w:cs="Times New Roman" w:eastAsia="Times New Roman" w:hAnsi="Times New Roman"/>
                <w:sz w:val="29"/>
                <w:szCs w:val="29"/>
                <w:color w:val="auto"/>
                <w:vertAlign w:val="superscript"/>
              </w:rPr>
              <w:t>(14)</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4,411,305</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0" w:lineRule="exact"/>
        <w:rPr>
          <w:sz w:val="20"/>
          <w:szCs w:val="20"/>
          <w:color w:val="auto"/>
        </w:rPr>
      </w:pPr>
    </w:p>
    <w:p>
      <w:pPr>
        <w:ind w:right="60" w:firstLine="7"/>
        <w:spacing w:after="0" w:line="257" w:lineRule="auto"/>
        <w:tabs>
          <w:tab w:leader="none" w:pos="7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216,247 outstanding shares of our common stock held by EBC Holdings Ltd., an investment company wholly-owned by Mr. Bronfeld, 216,036 shares of our common stock issuable upon exercise of an outstanding warrant held by Mr. Bronfeld and 213,750 shares of our common stock issuable upon exercise of outstanding options within 60 days of April 30, 2023. Does not include 126,250 shares of our common stock underlying options that will not vest within 60 days of April 30, 2023.</w:t>
      </w:r>
    </w:p>
    <w:p>
      <w:pPr>
        <w:spacing w:after="0" w:line="180" w:lineRule="exact"/>
        <w:rPr>
          <w:rFonts w:ascii="Times New Roman" w:cs="Times New Roman" w:eastAsia="Times New Roman" w:hAnsi="Times New Roman"/>
          <w:sz w:val="18"/>
          <w:szCs w:val="18"/>
          <w:color w:val="auto"/>
        </w:rPr>
      </w:pPr>
    </w:p>
    <w:p>
      <w:pPr>
        <w:ind w:right="60" w:firstLine="7"/>
        <w:spacing w:after="0" w:line="257" w:lineRule="auto"/>
        <w:tabs>
          <w:tab w:leader="none" w:pos="7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68,000 outstanding shares of our common stock, 139,978 outstanding restricted shares of our common stock that are subject to forfeiture within 60 days of April 30, 2023, 945,480 outstanding restricted shares of our common stock that are not subject to forfeiture as of April 30, 2023 and 290,625 shares of our common stock issuable upon exercise of outstanding options within 60 days of April 30, 2023. Does not include 619,375 shares of our common stock underlying options that will not vest within 60 days of April 30, 2023.</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right="300" w:firstLine="7"/>
        <w:spacing w:after="0" w:line="262"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168 outstanding shares of our common stock and 41,875 shares of our common stock issuable upon exercise of outstanding options within 60 days of April 30, 2023. Does not include 48,125 shares of our common stock underlying options that will not vest within 60 days of April 30, 2023.</w:t>
      </w:r>
    </w:p>
    <w:p>
      <w:pPr>
        <w:spacing w:after="0" w:line="176" w:lineRule="exact"/>
        <w:rPr>
          <w:rFonts w:ascii="Times New Roman" w:cs="Times New Roman" w:eastAsia="Times New Roman" w:hAnsi="Times New Roman"/>
          <w:sz w:val="18"/>
          <w:szCs w:val="18"/>
          <w:color w:val="auto"/>
        </w:rPr>
      </w:pPr>
    </w:p>
    <w:p>
      <w:pPr>
        <w:ind w:right="260" w:firstLine="7"/>
        <w:spacing w:after="0" w:line="277"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9,375 shares of our common stock issuable upon exercise of outstanding options within 60 days of April 30, 2023. Does not include 40,625 shares of our common stock underlying options that will not vest within 60 days of April 30, 2023.</w:t>
      </w:r>
    </w:p>
    <w:p>
      <w:pPr>
        <w:spacing w:after="0" w:line="162" w:lineRule="exact"/>
        <w:rPr>
          <w:rFonts w:ascii="Times New Roman" w:cs="Times New Roman" w:eastAsia="Times New Roman" w:hAnsi="Times New Roman"/>
          <w:sz w:val="18"/>
          <w:szCs w:val="18"/>
          <w:color w:val="auto"/>
        </w:rPr>
      </w:pPr>
    </w:p>
    <w:p>
      <w:pPr>
        <w:jc w:val="both"/>
        <w:ind w:right="380" w:firstLine="7"/>
        <w:spacing w:after="0" w:line="262"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 outstanding shares of our common stock and 41,875 shares of our common stock issuable upon exercise of outstanding options within 60 days of April 30, 2023. Does not include 48,125 shares of our common stock underlying options that will not vest within 60 days of April 30, 2023.</w:t>
      </w:r>
    </w:p>
    <w:p>
      <w:pPr>
        <w:spacing w:after="0" w:line="176" w:lineRule="exact"/>
        <w:rPr>
          <w:rFonts w:ascii="Times New Roman" w:cs="Times New Roman" w:eastAsia="Times New Roman" w:hAnsi="Times New Roman"/>
          <w:sz w:val="18"/>
          <w:szCs w:val="18"/>
          <w:color w:val="auto"/>
        </w:rPr>
      </w:pPr>
    </w:p>
    <w:p>
      <w:pPr>
        <w:ind w:right="160" w:firstLine="7"/>
        <w:spacing w:after="0" w:line="277"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41,875 shares of our common stock issuable upon exercise of outstanding options within 60 days of April 30, 2023. Does not include 48,125 shares of our common stock underlying options that will not vest within 60 days of April 30, 2023.</w:t>
      </w:r>
    </w:p>
    <w:p>
      <w:pPr>
        <w:spacing w:after="0" w:line="162" w:lineRule="exact"/>
        <w:rPr>
          <w:rFonts w:ascii="Times New Roman" w:cs="Times New Roman" w:eastAsia="Times New Roman" w:hAnsi="Times New Roman"/>
          <w:sz w:val="18"/>
          <w:szCs w:val="18"/>
          <w:color w:val="auto"/>
        </w:rPr>
      </w:pPr>
    </w:p>
    <w:p>
      <w:pPr>
        <w:jc w:val="both"/>
        <w:ind w:right="560" w:firstLine="7"/>
        <w:spacing w:after="0" w:line="262"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174,000 outstanding shares of our common stock and 41,875 shares of our common stock issuable upon exercise of outstanding options within 60 days of April 30, 2023. Does not include 48,125 shares of our common stock underlying options that will not vest within 60 days of April 30, 2023.</w:t>
      </w:r>
    </w:p>
    <w:p>
      <w:pPr>
        <w:spacing w:after="0" w:line="176" w:lineRule="exact"/>
        <w:rPr>
          <w:rFonts w:ascii="Times New Roman" w:cs="Times New Roman" w:eastAsia="Times New Roman" w:hAnsi="Times New Roman"/>
          <w:sz w:val="18"/>
          <w:szCs w:val="18"/>
          <w:color w:val="auto"/>
        </w:rPr>
      </w:pPr>
    </w:p>
    <w:p>
      <w:pPr>
        <w:ind w:right="540" w:firstLine="7"/>
        <w:spacing w:after="0" w:line="284" w:lineRule="auto"/>
        <w:tabs>
          <w:tab w:leader="none" w:pos="74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12,955 outstanding shares of our common stock, 7,000 outstanding restricted shares of our common stock that are not subject to forfeiture within 60 days of April 30, 2023, and 213,076 shares of our common stock issuable upon exercise of outstanding options within 60 days of April 30, 2023. Does not include 314,580 shares of our common stock underlying options that will not vest within 60 days of April 30, 2023.</w:t>
      </w:r>
    </w:p>
    <w:p>
      <w:pPr>
        <w:spacing w:after="0" w:line="159" w:lineRule="exact"/>
        <w:rPr>
          <w:rFonts w:ascii="Times New Roman" w:cs="Times New Roman" w:eastAsia="Times New Roman" w:hAnsi="Times New Roman"/>
          <w:sz w:val="17"/>
          <w:szCs w:val="17"/>
          <w:color w:val="auto"/>
        </w:rPr>
      </w:pPr>
    </w:p>
    <w:p>
      <w:pPr>
        <w:ind w:right="260" w:firstLine="7"/>
        <w:spacing w:after="0" w:line="257"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68,217 outstanding restricted shares of our common stock that are subject to forfeiture within 60 days of April 30, 2023, 299,880 outstanding restricted shares of our common stock that are not subject to forfeiture as of April 30, 2023 and 140,625 shares of our common stock issuable upon exercise of outstanding options within 60 days of April 30, 2023. Does not include 289,375 shares of our common stock underlying options that will not vest within 60 days of April 30, 2023.</w:t>
      </w:r>
    </w:p>
    <w:p>
      <w:pPr>
        <w:spacing w:after="0" w:line="180" w:lineRule="exact"/>
        <w:rPr>
          <w:rFonts w:ascii="Times New Roman" w:cs="Times New Roman" w:eastAsia="Times New Roman" w:hAnsi="Times New Roman"/>
          <w:sz w:val="18"/>
          <w:szCs w:val="18"/>
          <w:color w:val="auto"/>
        </w:rPr>
      </w:pPr>
    </w:p>
    <w:p>
      <w:pPr>
        <w:ind w:right="80" w:firstLine="7"/>
        <w:spacing w:after="0" w:line="277"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136,092 shares of our common stock issuable upon exercise of outstanding options within 60 days of April 30, 2023. Does not include 243,679 shares of our common stock underlying options that will not vest within 60 days of April 30, 2023.</w:t>
      </w:r>
    </w:p>
    <w:p>
      <w:pPr>
        <w:spacing w:after="0" w:line="162" w:lineRule="exact"/>
        <w:rPr>
          <w:rFonts w:ascii="Times New Roman" w:cs="Times New Roman" w:eastAsia="Times New Roman" w:hAnsi="Times New Roman"/>
          <w:sz w:val="18"/>
          <w:szCs w:val="18"/>
          <w:color w:val="auto"/>
        </w:rPr>
      </w:pPr>
    </w:p>
    <w:p>
      <w:pPr>
        <w:ind w:right="260" w:firstLine="7"/>
        <w:spacing w:after="0" w:line="254" w:lineRule="auto"/>
        <w:tabs>
          <w:tab w:leader="none" w:pos="7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471,410 outstanding shares of our common stock, 215,195 outstanding restricted shares of our common stock that are subject to forfeiture within 60 days of April 30, 2023, 1,245,360 outstanding restricted shares of our common stock that are not subject to forfeiture as of April 30, 2023, 216,036 shares of our common stock issuable upon exercise of an outstanding warrant and 1,171,043 shares of our common stock issuable upon exercise of outstanding options within 60 days of April 30, 2023. Does not include 1,826,384 shares of our common stock underlying options that will not vest within 60 days of April 30, 2023.</w:t>
      </w:r>
    </w:p>
    <w:p>
      <w:pPr>
        <w:spacing w:after="0" w:line="185" w:lineRule="exact"/>
        <w:rPr>
          <w:rFonts w:ascii="Times New Roman" w:cs="Times New Roman" w:eastAsia="Times New Roman" w:hAnsi="Times New Roman"/>
          <w:sz w:val="18"/>
          <w:szCs w:val="18"/>
          <w:color w:val="auto"/>
        </w:rPr>
      </w:pPr>
    </w:p>
    <w:p>
      <w:pPr>
        <w:ind w:firstLine="7"/>
        <w:spacing w:after="0" w:line="252"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by Alfred Akirov. Consists of 2,503,614 outstanding shares of our common stock and 2,012,072 shares of our common stock issuable upon exercise of outstanding warrants within 60 days of April 30, 2023, in the aggregate, held by Alrov Properties &amp; Lodgings Ltd., or Alrov Properties, Technorov Holdings (1993) Ltd., or Technorov, and Alrov Holdings Technologies Ltd., or Alrov Technologies. Mr. Akirov is the majority shareholder, and Chairman of the Board of each of Alrov Properties, which is listed on the Tel Aviv Stock Exchange, and the subsidiaries of Alrov Properties, Technorov and Alrov Technologies, and, accordingly, in the normal course of business has the power to direct the voting and disposition decisions of such entities, all subject to the Israeli law provision in regards to a public company. Mr. Akirov’s principal business office is at The Alrov Tower, 46 Rothschild Boulevard, Tel Aviv 66883, Israel.</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80" w:firstLine="7"/>
        <w:spacing w:after="0" w:line="265" w:lineRule="auto"/>
        <w:tabs>
          <w:tab w:leader="none" w:pos="60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13F-HR filed on February 12, 2023 for December 31, 2022 by Highbridge Capital Management LLC, or Highbridge and other information provided by Highbridge. Consists of 7,260,249 shares of our common stock issuable upon conversion of convertible notes and exercise of outstanding warrants within 60 days of April 30, 2023, held by Highbridge Tactical Credit Master Fund, L.P., or the Highbridge Fund. Highbridge, as the trading manager of the Highbridge Fund, and the Highbridge Fund may each be deemed to be the beneficial owner of such shares. The convertible notes and the warrants are subject to blocker provisions pursuant to which the holders thereof cannot convert the notes or exercise the warrants to the extent that the reporting persons would beneficially own, after any such exercise, more than 9.99% of the outstanding shares of our common stock. The disclosed holdings do not include all of the shares underlying all of the notes and the warrants due to the blocker provisions. The principal business office of Highbridge is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 West 57th Street, 32nd Floor, New York, New York 10019.</w:t>
      </w:r>
    </w:p>
    <w:p>
      <w:pPr>
        <w:spacing w:after="0" w:line="200" w:lineRule="exact"/>
        <w:rPr>
          <w:rFonts w:ascii="Times New Roman" w:cs="Times New Roman" w:eastAsia="Times New Roman" w:hAnsi="Times New Roman"/>
          <w:sz w:val="17"/>
          <w:szCs w:val="17"/>
          <w:color w:val="auto"/>
        </w:rPr>
      </w:pPr>
    </w:p>
    <w:p>
      <w:pPr>
        <w:ind w:right="80" w:firstLine="7"/>
        <w:spacing w:after="0" w:line="254" w:lineRule="auto"/>
        <w:tabs>
          <w:tab w:leader="none" w:pos="6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2,362,783 outstanding shares of our common stock and 2,012,072 shares of our common stock issuable upon exercise of outstanding warrants within 60 days of April 30, 2023, in the aggregate, held by HIR Investments Ltd., or HIR, and 36,450 outstanding shares of our common stock held directly or indirectly by Chinar Shah. Mr. Shah has the power to direct the voting and disposition decisions of, and thus may be deemed to have beneficial ownership (as determined under Section 13(d) of the Securities Exchange Act of 1934 (the “Exchange Act”)) of, all such shares and warrants. The principal business office of HIR is Flat No. 303, Al-Shamal Building, Al-Khor Street, Goldsuq, Deira, Dubai, UAE.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4"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holders of more than 10% of our common stock to file with the SEC reports regarding their ownership and changes in ownership of our equity securities. We believe that all Section 16 filings requirements were met by our officers and directors during 2022. In making this statement, we have relied solely upon examination of the copies of Forms 3, 4 and 5, and written representations of our former and current officers and directors.</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4" w:lineRule="exact"/>
        <w:rPr>
          <w:sz w:val="20"/>
          <w:szCs w:val="20"/>
          <w:color w:val="auto"/>
        </w:rPr>
      </w:pPr>
    </w:p>
    <w:p>
      <w:pPr>
        <w:ind w:right="520" w:firstLine="640"/>
        <w:spacing w:after="0" w:line="277" w:lineRule="auto"/>
        <w:rPr>
          <w:sz w:val="20"/>
          <w:szCs w:val="20"/>
          <w:color w:val="auto"/>
        </w:rPr>
      </w:pPr>
      <w:r>
        <w:rPr>
          <w:rFonts w:ascii="Times New Roman" w:cs="Times New Roman" w:eastAsia="Times New Roman" w:hAnsi="Times New Roman"/>
          <w:sz w:val="18"/>
          <w:szCs w:val="18"/>
          <w:color w:val="auto"/>
        </w:rPr>
        <w:t>At the meeting, our stockholders will be asked to elect seven directors for a one-year term expiring at the next meeting of stockholders. Each director will hold office until his or her successor has been elected and qualified or until the director’s earlier resignation or removal.</w:t>
      </w:r>
    </w:p>
    <w:p>
      <w:pPr>
        <w:spacing w:after="0" w:line="163"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Our Board of Directors recommends that the persons named below be elected as directors of our Company and it is intended that the accompanying proxy will be voted for their election as directors, unless the proxy contains contrary instructions. Shares of common stock represented by all proxies received by the Board of Directors and not so marked as to withhold authority to vote for any individual nominee or for all nominees will be voted (unless one or more nominees are unable to serve) for the election of the nominees named below. The Board of Directors knows of no reason why any such nominee should be unable or unwilling to serve, but if such should be the case, proxies will be voted for the election of some other person or the size of the Board of Directors will be fixed at a lower number.</w:t>
      </w:r>
    </w:p>
    <w:p>
      <w:pPr>
        <w:spacing w:after="0" w:line="185" w:lineRule="exact"/>
        <w:rPr>
          <w:sz w:val="20"/>
          <w:szCs w:val="20"/>
          <w:color w:val="auto"/>
        </w:rPr>
      </w:pPr>
    </w:p>
    <w:p>
      <w:pPr>
        <w:ind w:right="520" w:firstLine="640"/>
        <w:spacing w:after="0" w:line="277" w:lineRule="auto"/>
        <w:rPr>
          <w:sz w:val="20"/>
          <w:szCs w:val="20"/>
          <w:color w:val="auto"/>
        </w:rPr>
      </w:pPr>
      <w:r>
        <w:rPr>
          <w:rFonts w:ascii="Times New Roman" w:cs="Times New Roman" w:eastAsia="Times New Roman" w:hAnsi="Times New Roman"/>
          <w:sz w:val="18"/>
          <w:szCs w:val="18"/>
          <w:color w:val="auto"/>
        </w:rPr>
        <w:t>Each of the nominees currently serves as a member of our Board of Directors. The directors are elected by a plurality of the votes cast by the stockholders present or represented by proxy and entitled to vote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4" w:lineRule="exact"/>
        <w:rPr>
          <w:sz w:val="20"/>
          <w:szCs w:val="20"/>
          <w:color w:val="auto"/>
        </w:rPr>
      </w:pPr>
    </w:p>
    <w:p>
      <w:pPr>
        <w:ind w:right="60" w:firstLine="640"/>
        <w:spacing w:after="0" w:line="262" w:lineRule="auto"/>
        <w:rPr>
          <w:sz w:val="20"/>
          <w:szCs w:val="20"/>
          <w:color w:val="auto"/>
        </w:rPr>
      </w:pPr>
      <w:r>
        <w:rPr>
          <w:rFonts w:ascii="Times New Roman" w:cs="Times New Roman" w:eastAsia="Times New Roman" w:hAnsi="Times New Roman"/>
          <w:sz w:val="18"/>
          <w:szCs w:val="18"/>
          <w:color w:val="auto"/>
        </w:rPr>
        <w:t>The names of the nominees for election to the Board of Directors and certain information about such nominees are set forth below. For information concerning the number of shares of common stock beneficially owned by each nominee, see “Security Ownership of Certain Beneficial Owners and Management” above.</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36"/>
        </w:trPr>
        <w:tc>
          <w:tcPr>
            <w:tcW w:w="3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438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20" w:type="dxa"/>
            <w:vAlign w:val="bottom"/>
          </w:tcPr>
          <w:p>
            <w:pPr>
              <w:spacing w:after="0"/>
              <w:rPr>
                <w:sz w:val="17"/>
                <w:szCs w:val="17"/>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Zeev Bronfeld</w:t>
            </w:r>
          </w:p>
        </w:tc>
        <w:tc>
          <w:tcPr>
            <w:tcW w:w="2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0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3"/>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Dror Bashan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13"/>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Amos Bar Shalev</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Shmuel “Muli” Ben Zvi, Ph.D.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Gwen A. Melincoff</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3"/>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Aharon Schwartz, Ph.D.</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4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1"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Zeev Bronfeld. </w:t>
      </w:r>
      <w:r>
        <w:rPr>
          <w:rFonts w:ascii="Times New Roman" w:cs="Times New Roman" w:eastAsia="Times New Roman" w:hAnsi="Times New Roman"/>
          <w:sz w:val="18"/>
          <w:szCs w:val="18"/>
          <w:color w:val="auto"/>
        </w:rPr>
        <w:t>Mr. Bronfeld has served as the Chairman of our Board of Directors since August 2019. He has served as a director of Protalix Ltd.,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wholly-owned subsidiary and sole operating unit, since 1996 and as our director since December 2006. Mr. Bronfeld brings to us vast experience in management and value building of biotechnology companies. He is an experienced businessman who is involved in a number of biotechnology companies. He was a co-founder of Bio-cell Ltd., a former Israeli publicly-traded holding company that specialized in biotechnology companies and served as its Chief Executive Officer from 1986 through 2015. Mr. Bronfeld currently serves as a director of The Trendlines Group (SGX:42T), a company listed on the Singapore Exchange. Mr. Bronfeld is also a director of a number of privately-held companies, most of which are involved in the life sciences industry, such as Contipi Medical Ltd. From April 2017 through November 2022 Mr. Bronfeld served as a director of Electreon Wireless Ltd. (TASE:ELWS) (formerly, Biomedix Incubator Ltd.), from August 2010 through April 2021, he served as a director of Entera Bio Ltd. (NASDAQ: ENTX), and from November 2009 through February 2021, he served as a director of D.N.A. Biomedical Solutions Ltd. (TASE:DNA) and from January 2008 through January 2017, he served as a director of Macrocure Ltd., a Nasdaq-listed company that merged into Leap Therapeutics, Inc. (NASDAQ:LPTX). Mr. Bronfeld received a B.A. in Economics from the Hebrew University in 1975. We believe Mr. Bronfeld’s qualifications to serve on our Board of Directors include his years of experience in the management of private and public Israeli companies, including life science companies.</w:t>
      </w:r>
    </w:p>
    <w:p>
      <w:pPr>
        <w:spacing w:after="0" w:line="188" w:lineRule="exact"/>
        <w:rPr>
          <w:sz w:val="20"/>
          <w:szCs w:val="20"/>
          <w:color w:val="auto"/>
        </w:rPr>
      </w:pPr>
    </w:p>
    <w:p>
      <w:pPr>
        <w:ind w:right="160" w:firstLine="6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Dror Bashan. </w:t>
      </w:r>
      <w:r>
        <w:rPr>
          <w:rFonts w:ascii="Times New Roman" w:cs="Times New Roman" w:eastAsia="Times New Roman" w:hAnsi="Times New Roman"/>
          <w:sz w:val="17"/>
          <w:szCs w:val="17"/>
          <w:color w:val="auto"/>
        </w:rPr>
        <w:t>Mr. Bashan has served as our President and Chief Executive Officer and as our director since June 2019. He has over 20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the pharmaceutical industry with roles ranging from business development, marketing, sales and finance providing him with both cross regional and cross discipline experience and a deep knowledge of the global pharmaceutical and health industries. From 1998 through 2018, he served in a number of senior positions at Teva Pharmaceutical Industries Ltd (“Teva”). (NYSE:TEVA; TASE:TEVA). Most recently, he served as Teva’s Senior Vice President, Global Business Development, and was involved in strategic alliances, cross-company strategic projects and the acquisition and divestiture of assets. Mr. Bashan holds a BA in Economics and Business Management from the Tel Aviv University and an MBA from the Tel Aviv University.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4" w:name="page15"/>
    <w:bookmarkEnd w:id="14"/>
    <w:p>
      <w:pPr>
        <w:ind w:right="20" w:firstLine="6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Amos Bar Shalev. </w:t>
      </w:r>
      <w:r>
        <w:rPr>
          <w:rFonts w:ascii="Times New Roman" w:cs="Times New Roman" w:eastAsia="Times New Roman" w:hAnsi="Times New Roman"/>
          <w:sz w:val="17"/>
          <w:szCs w:val="17"/>
          <w:color w:val="auto"/>
        </w:rPr>
        <w:t>Mr. Bar Shalev has served as our director since July 2008. Previously, Mr. Bar Shalev served as a director of Protalix Ltd.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2005 through January 2008, and as our director from 2006 through January 2008. Mr. Bar Shalev brings to us extensive experience in managing technology companies. Currently, Mr. Bar Shalev serves on the Board of Directors of the following privately-held Israeli companies: Aposense Ltd. and Sirvir Ltd. From 2004 through 2012, Mr. Bar Shalev served as a director of Technorov Holdings (1993) Ltd. and managed its portfolio. From 1997 through 2004, he was a Managing Director of TDA Capital Partners, a management company of the TGF (Templeton Tadiran) Fund. From 2004 through 2007, he was the President of Win Buyer Ltd. He has served on the Board of Directors of a number of Israeli publicly traded and privately-held Israeli companies including, among others, Steam CC Ltd., Velox Ltd., NESS Ltd. (acquired by BioNess Inc.), Idanit (acquired by Scitex Corporation Ltd.), Objet Geometrix (merged with Stratasys, Inc. (NASDAQ:SSYS)), Verisity, Scitex Vision (acquired by Hewlett Packard), Golden Wings Investment Company Ltd., the venture capital fund of the Israeli Air Force Veterans Business Club, Win Buyer Ltd. and Sun Light Ltd. He received his B.Sc. in Electrical Engineering from the Technion, Israel in 1978 and M.B.A. from the Tel Aviv University in 1981. He holds the highest award from the Israeli Air Force for technological achievements. We believe Mr. Bar Shalev’s qualifications to serve on our Board of Directors include his years of experience in the management of Israeli businesses.</w:t>
      </w:r>
    </w:p>
    <w:p>
      <w:pPr>
        <w:spacing w:after="0" w:line="170"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b w:val="1"/>
          <w:bCs w:val="1"/>
          <w:color w:val="231F20"/>
        </w:rPr>
        <w:t xml:space="preserve">Shmuel “Muli” Ben Zvi, Ph.D. </w:t>
      </w:r>
      <w:r>
        <w:rPr>
          <w:rFonts w:ascii="Times New Roman" w:cs="Times New Roman" w:eastAsia="Times New Roman" w:hAnsi="Times New Roman"/>
          <w:sz w:val="18"/>
          <w:szCs w:val="18"/>
          <w:color w:val="000000"/>
        </w:rPr>
        <w:t>Dr. Ben Zvi joined our Board of Directors on June 30, 2022. He currently serves on the Board of Directors of Bank</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000000"/>
        </w:rPr>
        <w:t>Leumi, and serves on the credit, technology and strategy committees thereof. He also serves on the Board of Directors of Sol-Gel Technologies Ltd. (Nasdaq:SLGL), where he is a member of the audit and compensation committees, and on the Board of Directors of Vascular Biogenics Ltd. (Nasdaq:VBLT), where he also serves on the audit and compensation committees. From 2004 to 2014, Dr. Ben Zvi served in a number of managerial positions at Teva Pharmaceuticals Industries Ltd., the last two being Vice President, Strategy and Vice President, Finance. From 2000 to 2004, Dr. Ben Zvi was the financial advisor to the chief of general staff of the Israel Defense Forces and head of the Defense Ministry budget department. Dr. Ben Zvi holds a B.A. and an M.A., both Cum Laude, and a Ph.D. in economics, all from Tel-Aviv University, Israel. He also participated in the Harvard Business School Advanced Management Program (AMP) and in National Security &amp; Political Science programs at the National Security College, Israel and Haifa University, Israel. Dr. Ben Zvi performed post-doctoral studies in Economics at the Massachusetts Institute of Technology. We believe Dr. Ben Zvi’s qualifications to serve on our Board of Directors include his years of experience in the management of public Israeli companies, including life science companies, and in particular his experience in financial and investment matters and participation on audit committees.</w:t>
      </w:r>
    </w:p>
    <w:p>
      <w:pPr>
        <w:spacing w:after="0" w:line="190" w:lineRule="exact"/>
        <w:rPr>
          <w:sz w:val="20"/>
          <w:szCs w:val="20"/>
          <w:color w:val="auto"/>
        </w:rPr>
      </w:pPr>
    </w:p>
    <w:p>
      <w:pPr>
        <w:ind w:right="180" w:firstLine="6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Pol F. Boudes, M.D. </w:t>
      </w:r>
      <w:r>
        <w:rPr>
          <w:rFonts w:ascii="Times New Roman" w:cs="Times New Roman" w:eastAsia="Times New Roman" w:hAnsi="Times New Roman"/>
          <w:sz w:val="17"/>
          <w:szCs w:val="17"/>
          <w:color w:val="auto"/>
        </w:rPr>
        <w:t>Dr. Boudes joined our Board of Directors in January 2020. He is a senior physician and chief medical officer with more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25 years of experience in research and development, with a special emphasis on orphan drugs and translational medicine. In March 2020, Dr. Boudes was appointed Chief Medical Officer of Galectin Therapeutics Inc. (NASDAQ:GALT). He also serves as a research and development consultant. From</w:t>
      </w:r>
    </w:p>
    <w:p>
      <w:pPr>
        <w:spacing w:after="0" w:line="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April 2014 through October 2019, he served as the Chief Medical Officer of CymaBay Therapeutics, Inc. (Nasdaq:CBAY) where he led the development of treatments for rare liver diseases. Dr. Boudes was also Chief Medical Officer at Amicus Therapeutics Inc. (Nasdaq:FOLD) from 2009 to 2013 where he was</w:t>
      </w:r>
    </w:p>
    <w:p>
      <w:pPr>
        <w:ind w:right="160"/>
        <w:spacing w:after="0" w:line="228" w:lineRule="auto"/>
        <w:rPr>
          <w:sz w:val="20"/>
          <w:szCs w:val="20"/>
          <w:color w:val="auto"/>
        </w:rPr>
      </w:pPr>
      <w:r>
        <w:rPr>
          <w:rFonts w:ascii="Times New Roman" w:cs="Times New Roman" w:eastAsia="Times New Roman" w:hAnsi="Times New Roman"/>
          <w:sz w:val="18"/>
          <w:szCs w:val="18"/>
          <w:color w:val="auto"/>
        </w:rPr>
        <w:t>instrumental in the development of migalastat (Galafold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for the treatment of Fabry disease, as well as treatments for Pompe disease and Gaucher disease. He has served in various roles at Berlex Laboratories (acquired by Bayer HealthCare Pharmaceuticals), Wyeth-Ayerst Research, Hoffmann-La Roche and Pasteur-Merieux Serums &amp; Vaccines. Dr. Boudes holds an M.D. from the University of Aix-Marseilles, France and has specialized in Endocrinology and Metabolic Diseases, Internal Medicine, and Geriatric diseases. We believe Dr. Boudes’ qualifications to serve on our Board of Directors include his vast experience and knowledge of the research and development of pharmaceuticals.</w:t>
      </w:r>
    </w:p>
    <w:p>
      <w:pPr>
        <w:spacing w:after="0" w:line="195" w:lineRule="exact"/>
        <w:rPr>
          <w:sz w:val="20"/>
          <w:szCs w:val="20"/>
          <w:color w:val="auto"/>
        </w:rPr>
      </w:pPr>
    </w:p>
    <w:p>
      <w:pPr>
        <w:ind w:right="60" w:firstLine="64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Gwen A. Melincoff. </w:t>
      </w:r>
      <w:r>
        <w:rPr>
          <w:rFonts w:ascii="Times New Roman" w:cs="Times New Roman" w:eastAsia="Times New Roman" w:hAnsi="Times New Roman"/>
          <w:sz w:val="17"/>
          <w:szCs w:val="17"/>
          <w:color w:val="auto"/>
        </w:rPr>
        <w:t>Ms. Melincoff joined our Board of Directors in January 2020. She is a seasoned business development and venture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professional with over 25 years of deal-making and management experience in the biotechnology and pharmaceutical industries. Her experience has spanned public and private company boards, venture financing, business development, licensing, mergers and acquisitions, research operations, marketing, product management and project management. Ms. Melincoff currently serves on the Board of Directors of Gain Therapeutics, Inc. (NASDAQ:GANX), Soleno Therapeutics, Inc. (NASDAQ:SOLN) and Collegium Pharmaceutical, Inc. (NASDAQ:COLL). She also serves in an advisory capacity at a number of pharmaceutical companies. From April 2017 through June 2020, she served on the Board of Directors of Photocure ASA, from January 2017 through January 2019, she served on the Board of Directors of Kamada Ltd. (NASDAQ:KMDA, TASE:KMDA), and from June 2014 through November 2016, she served on the Board of Directors of Tobira Therapeutics Inc. (acquired by Allergan plc). From August 2014 through September 2016, Ms. Melincoff served as Vice President of Business Development at BTG International Inc. Prior to that, she was Senior Vice President of Corporate Development at Shire Plc. Additionally, she led the Shire Strategic Investment Group, the venture capital arm of Shire Plc. Ms. Melincoff was Vice President of Business Development at Adolor Corporation and held executive positions at Eastman Kodak for over ten years in a number of their health care companies. She holds a B.S. in Biology from The George Washington University and an M.S. in Management and Health Care Administration from Pennsylvania State University.</w:t>
      </w:r>
    </w:p>
    <w:p>
      <w:pPr>
        <w:spacing w:after="0" w:line="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Ms. Melincoff has also attained the designation of Certified Licensing Professional (CLP™). Ms. Melincoff was named to the “Top Women in Biotech 2013” by Fierce Biotech and to the Powerlist 100 of Corporate Venture Capital in 2012 and 2013. We believe Ms. Melincoff’s qualifications to serve on our Board of Directors include her years of experience at pharmaceutical companies, particularly with respect to business development.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right="20"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Aharon Schwartz, Ph.D. </w:t>
      </w:r>
      <w:r>
        <w:rPr>
          <w:rFonts w:ascii="Times New Roman" w:cs="Times New Roman" w:eastAsia="Times New Roman" w:hAnsi="Times New Roman"/>
          <w:sz w:val="18"/>
          <w:szCs w:val="18"/>
          <w:color w:val="auto"/>
        </w:rPr>
        <w:t>Dr. Schwartz has served as our director since November 2014. He retired from Teva in 2011 where he served in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positions from 1975 through 2011, the most recent being Vice President, Head of Teva Innovative Ventures from 2008. Dr. Schwartz is currently chairman of the Board of Directors of BiolineRx Ltd. (NASDAQ:BLRX, TASE:BLRX) and a member of the Board of Directors of Barcode Ltd. He also serves as the Head of the Advisory Board of Oncohost Ltd. and works as an independent consultant. From May 2015 through March 2020, he served as a member of the Board of Directors of Foamix Pharmaceuticals Ltd. (Nasdaq: FOMX), which was acquired by Menlo Therapeutics Inc. (Nasdaq: MNLO), and from January 2013 through November 2017, he served as a member of the Board of Directors of Alcobra Ltd., which is now called Arcturus Therapeutics Ltd. Dr. Schwartz received his Ph.D. in organic chemistry in 1978 from the Weizmann Institute of Science, his M.Sc. in organic chemistry from the Technion and a B.Sc. in chemistry and physics from the Hebrew University of Jerusalem. Dr. Schwartz received a second Ph.D. in 2014 from the Hebrew University of Jerusalem in the history and philosophy of science. We believe Dr. Schwartz’s qualifications to serve on our Board of Directors include his years of experience at life science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election or re-election of all director nominees named in this “Proposal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Independent Directors</w:t>
      </w:r>
    </w:p>
    <w:p>
      <w:pPr>
        <w:spacing w:after="0" w:line="224"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In compliance with the listing requirements of the NYSE American, we have a comprehensive plan of corporate governance for the purpose of defining responsibilities, setting high standards of professional and personal conduct and assuring compliance with such responsibilities and standards. We currently regularly monitor developments in the area of corporate governance to ensure we are in compliance with the standards and regulations required by the NYSE American. A summary of our corporate governance measures follows.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We believe a majority of the members of our Board of Directors are independent from management. When making determinations from time to time regarding independence, the Board of Directors will reference the listing standards adopted by the NYSE American as well as the independence standards set forth in the Sarbanes-Oxley Act of 2002, or the SOX, and the rules and regulations promulgated by the SEC under that Act, as well as other factors which could assist our Board of Directors and its committees in determining that a director will have no material relationship with us that could compromise that director’s independence.</w:t>
      </w:r>
    </w:p>
    <w:p>
      <w:pPr>
        <w:spacing w:after="0" w:line="186" w:lineRule="exact"/>
        <w:rPr>
          <w:sz w:val="20"/>
          <w:szCs w:val="20"/>
          <w:color w:val="auto"/>
        </w:rPr>
      </w:pPr>
    </w:p>
    <w:p>
      <w:pPr>
        <w:ind w:right="880" w:firstLine="640"/>
        <w:spacing w:after="0" w:line="277" w:lineRule="auto"/>
        <w:rPr>
          <w:sz w:val="20"/>
          <w:szCs w:val="20"/>
          <w:color w:val="auto"/>
        </w:rPr>
      </w:pPr>
      <w:r>
        <w:rPr>
          <w:rFonts w:ascii="Times New Roman" w:cs="Times New Roman" w:eastAsia="Times New Roman" w:hAnsi="Times New Roman"/>
          <w:sz w:val="18"/>
          <w:szCs w:val="18"/>
          <w:color w:val="auto"/>
        </w:rPr>
        <w:t>Our Board of Directors has determined that Mr. Bronfeld, Mr. Bar Shalev, Dr. Ben Zvi, Dr. Boudes, Ms. Melincoff and Dr. Schwartz are “independent” pursuant to the rules of the NYSE American.</w:t>
      </w:r>
    </w:p>
    <w:p>
      <w:pPr>
        <w:spacing w:after="0" w:line="163" w:lineRule="exact"/>
        <w:rPr>
          <w:sz w:val="20"/>
          <w:szCs w:val="20"/>
          <w:color w:val="auto"/>
        </w:rPr>
      </w:pPr>
    </w:p>
    <w:p>
      <w:pPr>
        <w:ind w:right="460" w:firstLine="640"/>
        <w:spacing w:after="0" w:line="277" w:lineRule="auto"/>
        <w:rPr>
          <w:sz w:val="20"/>
          <w:szCs w:val="20"/>
          <w:color w:val="auto"/>
        </w:rPr>
      </w:pPr>
      <w:r>
        <w:rPr>
          <w:rFonts w:ascii="Times New Roman" w:cs="Times New Roman" w:eastAsia="Times New Roman" w:hAnsi="Times New Roman"/>
          <w:sz w:val="17"/>
          <w:szCs w:val="17"/>
          <w:color w:val="auto"/>
        </w:rPr>
        <w:t>The position of Chairman of the Board is not held by our chief executive officer at this time. The Board of Directors does not have a policy mandating the separation of these functions. We believe it is in our best interest that Mr. Bronfeld serve as the chairman of our Board of Directors. This decision was based on Mr. Bronfeld’s experience in the healthcare industry in Israel and globally and his years of experience serving on the Board of Directors of public and private companies. Our non-management directors hold formal meetings, separate from management, at least twice per year.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24" w:lineRule="exact"/>
        <w:rPr>
          <w:sz w:val="20"/>
          <w:szCs w:val="20"/>
          <w:color w:val="auto"/>
        </w:rPr>
      </w:pPr>
    </w:p>
    <w:p>
      <w:pPr>
        <w:ind w:right="80" w:firstLine="640"/>
        <w:spacing w:after="0" w:line="250" w:lineRule="auto"/>
        <w:rPr>
          <w:sz w:val="20"/>
          <w:szCs w:val="20"/>
          <w:color w:val="auto"/>
        </w:rPr>
      </w:pPr>
      <w:r>
        <w:rPr>
          <w:rFonts w:ascii="Times New Roman" w:cs="Times New Roman" w:eastAsia="Times New Roman" w:hAnsi="Times New Roman"/>
          <w:sz w:val="18"/>
          <w:szCs w:val="18"/>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the Company, including operational, financial, legal and regulatory, and strategic and reputational risks. While the full Board of Directors has the ultimate oversight responsibility for the risk management process, various committees of the Board of Directors also have responsibility for risk management. For example, financial risks, including internal controls, are overseen by the Audit and Finance Committee and risks that may be implicated by our executive compensation programs are overseen by the Compensation Committee. Upon identification of a risk, the assigned committee or our full Board of Directors discuss or review risk management and risk mitigation strategies. Additional review or reporting on enterprise risks is conducted as needed or as requested by our Board of Directors or a committee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4"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Our Board of Directors has an Audit and Finance Committee, Compensation Committee and Nominating Committee. The membership of each committee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20" w:type="dxa"/>
            <w:vAlign w:val="bottom"/>
          </w:tcPr>
          <w:p>
            <w:pPr>
              <w:spacing w:after="0"/>
              <w:rPr>
                <w:sz w:val="20"/>
                <w:szCs w:val="20"/>
                <w:color w:val="auto"/>
              </w:rPr>
            </w:pPr>
          </w:p>
        </w:tc>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Membership</w:t>
            </w:r>
          </w:p>
        </w:tc>
      </w:tr>
      <w:tr>
        <w:trPr>
          <w:trHeight w:val="188"/>
        </w:trPr>
        <w:tc>
          <w:tcPr>
            <w:tcW w:w="3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Audit and Finance Committee</w:t>
            </w:r>
          </w:p>
        </w:tc>
        <w:tc>
          <w:tcPr>
            <w:tcW w:w="220" w:type="dxa"/>
            <w:vAlign w:val="bottom"/>
            <w:tcBorders>
              <w:top w:val="single" w:sz="8" w:color="CCEEFF"/>
            </w:tcBorders>
            <w:shd w:val="clear" w:color="auto" w:fill="CCEEFF"/>
          </w:tcPr>
          <w:p>
            <w:pPr>
              <w:spacing w:after="0"/>
              <w:rPr>
                <w:sz w:val="16"/>
                <w:szCs w:val="16"/>
                <w:color w:val="auto"/>
              </w:rPr>
            </w:pPr>
          </w:p>
        </w:tc>
        <w:tc>
          <w:tcPr>
            <w:tcW w:w="31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Shmuel “Muli” Ben Zvi, Ph.D.</w:t>
            </w:r>
          </w:p>
        </w:tc>
        <w:tc>
          <w:tcPr>
            <w:tcW w:w="220" w:type="dxa"/>
            <w:vAlign w:val="bottom"/>
            <w:tcBorders>
              <w:top w:val="single" w:sz="8" w:color="CCEEFF"/>
            </w:tcBorders>
            <w:shd w:val="clear" w:color="auto" w:fill="CCEEFF"/>
          </w:tcPr>
          <w:p>
            <w:pPr>
              <w:spacing w:after="0"/>
              <w:rPr>
                <w:sz w:val="16"/>
                <w:szCs w:val="16"/>
                <w:color w:val="auto"/>
              </w:rPr>
            </w:pPr>
          </w:p>
        </w:tc>
        <w:tc>
          <w:tcPr>
            <w:tcW w:w="448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Shmuel “Muli” Ben Zvi, Ph.D., Amos Bar Shalev</w:t>
            </w:r>
          </w:p>
        </w:tc>
      </w:tr>
      <w:tr>
        <w:trPr>
          <w:trHeight w:val="232"/>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 Aharon Schwartz, Ph.D.</w:t>
            </w:r>
          </w:p>
        </w:tc>
      </w:tr>
      <w:tr>
        <w:trPr>
          <w:trHeight w:val="195"/>
        </w:trPr>
        <w:tc>
          <w:tcPr>
            <w:tcW w:w="3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Compensation Committee</w:t>
            </w:r>
          </w:p>
        </w:tc>
        <w:tc>
          <w:tcPr>
            <w:tcW w:w="3600" w:type="dxa"/>
            <w:vAlign w:val="bottom"/>
            <w:gridSpan w:val="3"/>
          </w:tcPr>
          <w:p>
            <w:pPr>
              <w:ind w:left="220"/>
              <w:spacing w:after="0" w:line="195" w:lineRule="exact"/>
              <w:rPr>
                <w:sz w:val="20"/>
                <w:szCs w:val="20"/>
                <w:color w:val="auto"/>
              </w:rPr>
            </w:pPr>
            <w:r>
              <w:rPr>
                <w:rFonts w:ascii="Times New Roman" w:cs="Times New Roman" w:eastAsia="Times New Roman" w:hAnsi="Times New Roman"/>
                <w:sz w:val="18"/>
                <w:szCs w:val="18"/>
                <w:color w:val="auto"/>
              </w:rPr>
              <w:t>Amos Bar Shalev</w:t>
            </w:r>
          </w:p>
        </w:tc>
        <w:tc>
          <w:tcPr>
            <w:tcW w:w="44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Amos Bar Shalev, Shmuel “Muli” Ben Zvi, Ph.D.</w:t>
            </w:r>
          </w:p>
        </w:tc>
      </w:tr>
      <w:tr>
        <w:trPr>
          <w:trHeight w:val="232"/>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Aharon Schwartz, Ph.D.</w:t>
            </w: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Committee</w:t>
            </w:r>
          </w:p>
        </w:tc>
        <w:tc>
          <w:tcPr>
            <w:tcW w:w="3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Amos Bar Shalev</w:t>
            </w: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Amos Bar Shalev, Zeev Bronfeld and Aharon Schwartz, Ph.D.</w:t>
            </w:r>
          </w:p>
        </w:tc>
      </w:tr>
    </w:tbl>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functions of each committee are as follows: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and Finance Committee</w:t>
      </w:r>
    </w:p>
    <w:p>
      <w:pPr>
        <w:spacing w:after="0" w:line="222"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7"/>
          <w:szCs w:val="17"/>
          <w:color w:val="auto"/>
        </w:rPr>
        <w:t>Our Board of Directors has determined that Dr. Ben Zvi, Mr. Bar Shalev and Dr. Schwartz are “independent” for purposes of membership on the Audit and Finance Committee pursuant to Section 803B(2) of the NYSE American Company Guide and Section 10A(m)(3) of the Exchange Act. We require that all Audit and Finance Committee members possess the required level of financial literacy and at least one member of the Audit and Finance Committee meet the current standard of requisite financial management expertise as required by the NYSE American and applicable rules and regulations of the SEC.</w:t>
      </w:r>
    </w:p>
    <w:p>
      <w:pPr>
        <w:spacing w:after="0" w:line="165" w:lineRule="exact"/>
        <w:rPr>
          <w:sz w:val="20"/>
          <w:szCs w:val="20"/>
          <w:color w:val="auto"/>
        </w:rPr>
      </w:pPr>
    </w:p>
    <w:p>
      <w:pPr>
        <w:ind w:right="380" w:firstLine="640"/>
        <w:spacing w:after="0" w:line="277" w:lineRule="auto"/>
        <w:rPr>
          <w:sz w:val="20"/>
          <w:szCs w:val="20"/>
          <w:color w:val="auto"/>
        </w:rPr>
      </w:pPr>
      <w:r>
        <w:rPr>
          <w:rFonts w:ascii="Times New Roman" w:cs="Times New Roman" w:eastAsia="Times New Roman" w:hAnsi="Times New Roman"/>
          <w:sz w:val="18"/>
          <w:szCs w:val="18"/>
          <w:color w:val="auto"/>
        </w:rPr>
        <w:t>Our Audit and Finance Committee operates under a formal charter that governs its duties and conduct. A current copy of the Audit and Finance Committee Charter is available on our website at http://www.protalix.com.</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members of the Audit and Finance Committee are independent from our executive officers and management.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independent registered public accounting firm reports directly to the Audit and Finance Committee.</w:t>
      </w:r>
    </w:p>
    <w:p>
      <w:pPr>
        <w:spacing w:after="0" w:line="220"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Our Audit and Finance Committee meets with management and representatives of our registered public accounting firm prior to the filing of officers’ certifications with the SEC to receive information concerning, among other things, effectiveness of the design or operation of our internal controls over financial reporting, as required by Section 404 of SOX.</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400" w:firstLine="640"/>
        <w:spacing w:after="0" w:line="307" w:lineRule="auto"/>
        <w:rPr>
          <w:sz w:val="20"/>
          <w:szCs w:val="20"/>
          <w:color w:val="auto"/>
        </w:rPr>
      </w:pPr>
      <w:r>
        <w:rPr>
          <w:rFonts w:ascii="Times New Roman" w:cs="Times New Roman" w:eastAsia="Times New Roman" w:hAnsi="Times New Roman"/>
          <w:sz w:val="17"/>
          <w:szCs w:val="17"/>
          <w:color w:val="auto"/>
        </w:rPr>
        <w:t>Our Audit and Finance Committee has adopted a Policy for Reporting Questionable Accounting and Auditing Practices and Policy Prohibiting Retaliation against Reporting employees to enable confidential and anonymous reporting of improper activities to the Audit and Finance Committee.</w:t>
      </w:r>
    </w:p>
    <w:p>
      <w:pPr>
        <w:spacing w:after="0" w:line="140" w:lineRule="exact"/>
        <w:rPr>
          <w:sz w:val="20"/>
          <w:szCs w:val="20"/>
          <w:color w:val="auto"/>
        </w:rPr>
      </w:pPr>
    </w:p>
    <w:p>
      <w:pPr>
        <w:ind w:right="60" w:firstLine="640"/>
        <w:spacing w:after="0" w:line="262" w:lineRule="auto"/>
        <w:rPr>
          <w:sz w:val="20"/>
          <w:szCs w:val="20"/>
          <w:color w:val="auto"/>
        </w:rPr>
      </w:pPr>
      <w:r>
        <w:rPr>
          <w:rFonts w:ascii="Times New Roman" w:cs="Times New Roman" w:eastAsia="Times New Roman" w:hAnsi="Times New Roman"/>
          <w:sz w:val="18"/>
          <w:szCs w:val="18"/>
          <w:color w:val="auto"/>
        </w:rPr>
        <w:t>Dr. Ben Zvi, Mr. Bar Shalev and Dr. Schwartz each qualify as “audit committee financial experts” under the applicable rules of the SEC. In making the determination as to these individuals’ status as audit committee financial experts, our Board of Directors determined they have accounting and related financial management expertise within the meaning of the aforementioned rules, as well as the listing standards of the NYSE American.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2"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Mr. Bar Shalev, Dr. Ben Zvi, and Dr. Schwartz are “independent” for purposes of membership on the Compensation Committee pursuant to Section 805(c) of the NYSE American Company Guide. The Compensation Committee reviews and approves the compensation of executive officers and key employees and administers our stock incentive plan. A current copy of the Compensation Committee Charter is available on our website at http://www.protalix.com.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222"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The Nominating Committee is responsible for assisting our Board of Directors in selecting nominees for election to the Board of Directors and monitoring the composition of the Board of Directors. A current copy of the Nominating Committee Charter is available on our website at http://www.protalix.com. Although our Board of Directors does not have a formal policy requiring the Nominating Committee to consider the diversity of directors in its nomination process, in considering potential new directors, the Nominating Committee will review individuals from various disciplines and backgrounds, and consider the following qualifications: broad experience in business, finance or administration; familiarity with national business matters; familiarity with our industry; independence; and prominence and reputation. The committee seeks nominees with a broad diversity of experience, professions, education, skills and backgrounds with a view to having a Board of Directors that represents a diversity of views, experiences, and backgrounds. After making such a review, the Nominating Committee submits the nomination to the full Board of Directors for approval.</w:t>
      </w:r>
    </w:p>
    <w:p>
      <w:pPr>
        <w:spacing w:after="0" w:line="190" w:lineRule="exact"/>
        <w:rPr>
          <w:sz w:val="20"/>
          <w:szCs w:val="20"/>
          <w:color w:val="auto"/>
        </w:rPr>
      </w:pPr>
    </w:p>
    <w:p>
      <w:pPr>
        <w:ind w:right="20" w:firstLine="640"/>
        <w:spacing w:after="0" w:line="249" w:lineRule="auto"/>
        <w:rPr>
          <w:sz w:val="20"/>
          <w:szCs w:val="20"/>
          <w:color w:val="auto"/>
        </w:rPr>
      </w:pPr>
      <w:r>
        <w:rPr>
          <w:rFonts w:ascii="Times New Roman" w:cs="Times New Roman" w:eastAsia="Times New Roman" w:hAnsi="Times New Roman"/>
          <w:sz w:val="18"/>
          <w:szCs w:val="18"/>
          <w:color w:val="auto"/>
        </w:rPr>
        <w:t>The Nominating Committee will consider any nominees submitted by stockholders of record at the time of any such nomination in compliance with applicable rules of the SEC and our By-Laws. The Nominating Committee will determine whether any stockholder nominee meets the qualifications for candidacy described above and in the Nominating Committee Charter. Stockholders’ nominations for election at the 2024 Annual Meeting of Stockholders must be submitted in writing to Eyal Rubin, Corporate Secretary, not less than 45 days nor more than 75 days prior to the date on which we first mailed this proxy statement. Such written notice must include the following information: (i) name, age, business address and residence address of the nominee; (ii) the principal occupation or employment of the nominee; (iii) the class and number of shares of our Company beneficially owned by the nominee; and (iv) any other information relating to the nominee that would be required to be disclosed in solicitations for proxies for elections of directors pursuant to Regulation 14A of the Exchange Act. The written notice must also include the following information with respect to each stockholder delivering such notice: (i) the name and record address of such stockholder; and (ii) the class and number of shares of our Company beneficially owned by the stockholder. Lastly, the written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 Stockholders can mail any such recommendations, including the criteria outlined above, to Eyal Rubin, Corporate Secretary, Protalix BioTherapeutics, Inc., 2 University Plaza, Suite 100, Hackensack, NJ 07601.</w:t>
      </w:r>
    </w:p>
    <w:p>
      <w:pPr>
        <w:spacing w:after="0" w:line="197" w:lineRule="exact"/>
        <w:rPr>
          <w:sz w:val="20"/>
          <w:szCs w:val="20"/>
          <w:color w:val="auto"/>
        </w:rPr>
      </w:pPr>
    </w:p>
    <w:p>
      <w:pPr>
        <w:ind w:right="40" w:firstLine="640"/>
        <w:spacing w:after="0" w:line="251" w:lineRule="auto"/>
        <w:rPr>
          <w:sz w:val="20"/>
          <w:szCs w:val="20"/>
          <w:color w:val="auto"/>
        </w:rPr>
      </w:pPr>
      <w:r>
        <w:rPr>
          <w:rFonts w:ascii="Times New Roman" w:cs="Times New Roman" w:eastAsia="Times New Roman" w:hAnsi="Times New Roman"/>
          <w:sz w:val="18"/>
          <w:szCs w:val="18"/>
          <w:color w:val="auto"/>
        </w:rPr>
        <w:t>Under the rules of the NYSE American, a director of our Company will only qualify as an “independent director” if, among other things, in the opinion of our Board of Directors, that person does not have a material relationship that would interfere with the exercise of independent judgment in carrying out the responsibilities of a director. The Board of Directors has determined that none of the non-employee directors has a relationship that would interfere with the exercise of independent judgment in carrying out the responsibilities of a director and that each of the non-employee directors is an “independent director” as defined under rules of the NYSE American. In addition, the Board of Directors has determined that all members of the Audit and Finance Committee meet the independence requirements set forth in Section 803B(2) of the NYSE American Company Guide and Section 10A(m)(3) of the Exchange Act, and that all members of the Compensation Committee meet the independence requirements set forth in Rule 805(c) of the NYSE American Listed Company Guide.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224"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7"/>
          <w:szCs w:val="17"/>
          <w:color w:val="auto"/>
        </w:rPr>
        <w:t>Stockholders who wish to communicate with the Board of Directors may do so by mailing any such communications to Eyal Rubin, Corporate Secretary, Protalix BioTherapeutics, Inc., 2 University Plaza, Suite 100, Hackensack, NJ 07601. All communications are distributed to the Board of Directors, as appropriate, depending upon the facts and circumstances outlined in the communications received. For example, if any complaints regarding accounting and/or auditing matters are received, they may be forwarded by our Corporate Secretary to the Audit and Finance Committee for review.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Governing Director Attendance at Annual Meetings of Stockholders</w:t>
      </w:r>
    </w:p>
    <w:p>
      <w:pPr>
        <w:spacing w:after="0" w:line="224" w:lineRule="exact"/>
        <w:rPr>
          <w:sz w:val="20"/>
          <w:szCs w:val="20"/>
          <w:color w:val="auto"/>
        </w:rPr>
      </w:pPr>
    </w:p>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We have no formal policy regarding attendance by our directors at annual stockholders meetings, although we encourage such attendance and anticipate most of our directors will attend these meetings. Mr. Bashan, Mr. Bronfeld, Mr. Bar Shalev and Ms. Melincoff participated in our 2022 annual meeting of stockholders.</w:t>
      </w:r>
    </w:p>
    <w:p>
      <w:pPr>
        <w:spacing w:after="0" w:line="176"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there were seven meetings of our Board of Directors, four meetings of the Audit and Finance Committee, three meetings of the Compensation Committee and one meeting of the Nominating Committee. Our non-management directors hold meetings separate from management at least twice per year. All of our current directors that served on our Board of Directors during the year ended December 31, 2022 attended at least 75% of the aggregate number of meetings of the Board of Directors and the committees of the Board of Directors on which they served.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compensation of our non-employee directors during fiscal year 2022.</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Paid in Cash ($)</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Award(s) ($)</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Zeev Bronfeld</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94,022</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94,022</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Amos Bar Shalev</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80" w:type="dxa"/>
            <w:vAlign w:val="bottom"/>
          </w:tcPr>
          <w:p>
            <w:pPr>
              <w:spacing w:after="0"/>
              <w:rPr>
                <w:sz w:val="18"/>
                <w:szCs w:val="18"/>
                <w:color w:val="auto"/>
              </w:rPr>
            </w:pPr>
          </w:p>
        </w:tc>
      </w:tr>
      <w:tr>
        <w:trPr>
          <w:trHeight w:val="213"/>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Shmuel “Muli” Ben Zvi, Ph.D.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80" w:type="dxa"/>
            <w:vAlign w:val="bottom"/>
            <w:shd w:val="clear" w:color="auto" w:fill="CCEEFF"/>
          </w:tcPr>
          <w:p>
            <w:pPr>
              <w:spacing w:after="0"/>
              <w:rPr>
                <w:sz w:val="18"/>
                <w:szCs w:val="18"/>
                <w:color w:val="auto"/>
              </w:rPr>
            </w:pPr>
          </w:p>
        </w:tc>
      </w:tr>
      <w:tr>
        <w:trPr>
          <w:trHeight w:val="21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80" w:type="dxa"/>
            <w:vAlign w:val="bottom"/>
          </w:tcPr>
          <w:p>
            <w:pPr>
              <w:spacing w:after="0"/>
              <w:rPr>
                <w:sz w:val="18"/>
                <w:szCs w:val="18"/>
                <w:color w:val="auto"/>
              </w:rPr>
            </w:pPr>
          </w:p>
        </w:tc>
      </w:tr>
      <w:tr>
        <w:trPr>
          <w:trHeight w:val="213"/>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Gwen A. Melincoff</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80" w:type="dxa"/>
            <w:vAlign w:val="bottom"/>
            <w:shd w:val="clear" w:color="auto" w:fill="CCEEFF"/>
          </w:tcPr>
          <w:p>
            <w:pPr>
              <w:spacing w:after="0"/>
              <w:rPr>
                <w:sz w:val="18"/>
                <w:szCs w:val="18"/>
                <w:color w:val="auto"/>
              </w:rPr>
            </w:pPr>
          </w:p>
        </w:tc>
      </w:tr>
      <w:tr>
        <w:trPr>
          <w:trHeight w:val="2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Aharon Schwartz, Ph.D.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61,464</w:t>
            </w:r>
          </w:p>
        </w:tc>
        <w:tc>
          <w:tcPr>
            <w:tcW w:w="80" w:type="dxa"/>
            <w:vAlign w:val="bottom"/>
          </w:tcPr>
          <w:p>
            <w:pPr>
              <w:spacing w:after="0"/>
              <w:rPr>
                <w:sz w:val="20"/>
                <w:szCs w:val="20"/>
                <w:color w:val="auto"/>
              </w:rPr>
            </w:pPr>
          </w:p>
        </w:tc>
      </w:tr>
    </w:tbl>
    <w:p>
      <w:pPr>
        <w:spacing w:after="0" w:line="176"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The Board of Directors approved a new compensation program for our non-employee directors, commencing as of January 1, 2020. Directors are entitled to a cash payment equal to $40,000 per year, payable quarterly, and were granted options to purchase 40,000 shares of our common stock. The options vest quarterly in 16 equal increments over a four-year period. We granted to the Chairman of the Board an option to purchase 240,000 shares of our common stock, which option vests quarterly in 16 equal increments over a four-year period. As part of the compensation program, Zeev Bronfeld, the Chairman of the Board of Directors, is not entitled to cash compensation. His compensation is limited to equity compensation. Additional options grants were made to directors in 2022. Our directors each were awarded options to purchase 50,000 shares of common stock in 2022, except with respect to Mr. Bronfeld who was awarded an option to purchase 100,000 shares of common stock in 2022.</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4"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7"/>
          <w:szCs w:val="17"/>
          <w:color w:val="auto"/>
        </w:rPr>
        <w:t>No member of our Compensation Committee or any executive officer of the Company or of Protalix Ltd. has a relationship that would constitute an interlocking relationship with executive officers or directors of another entity. No Compensation Committee member is or was an officer or employee of ours or of Protalix Ltd. or had any relationship that constituted a related party transaction. Further, none of our executive officers serves on the Board of Directors or compensation committee of any entity that has one or more executive officers serving as a member of our Board of Directors or Compensation Committee.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jc w:val="both"/>
        <w:ind w:right="200" w:firstLine="640"/>
        <w:spacing w:after="0" w:line="262" w:lineRule="auto"/>
        <w:rPr>
          <w:sz w:val="20"/>
          <w:szCs w:val="20"/>
          <w:color w:val="auto"/>
        </w:rPr>
      </w:pPr>
      <w:r>
        <w:rPr>
          <w:rFonts w:ascii="Times New Roman" w:cs="Times New Roman" w:eastAsia="Times New Roman" w:hAnsi="Times New Roman"/>
          <w:sz w:val="18"/>
          <w:szCs w:val="18"/>
          <w:color w:val="auto"/>
        </w:rPr>
        <w:t>Our Code of Business Conduct and Ethics includes provisions ranging from restrictions on gifts to conflicts of interest. All of our employees and directors are bound by this Code of Business Conduct and Ethics. Violations of our Code of Business Conduct and Ethics may be reported to the Audit and Finance Committee.</w:t>
      </w:r>
    </w:p>
    <w:p>
      <w:pPr>
        <w:spacing w:after="0" w:line="176"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The Code of Business Conduct and Ethics includes provisions applicable to all of our employees, including senior financial officers and members of our Board of Directors and is posted on our website (www.protalix.com). We intend to post amendments to or waivers from any such Code of Business Conduct and Ethics.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Prohibition on Short-term, Speculative Transactions</w:t>
      </w:r>
    </w:p>
    <w:p>
      <w:pPr>
        <w:spacing w:after="0" w:line="224" w:lineRule="exact"/>
        <w:rPr>
          <w:sz w:val="20"/>
          <w:szCs w:val="20"/>
          <w:color w:val="auto"/>
        </w:rPr>
      </w:pPr>
    </w:p>
    <w:p>
      <w:pPr>
        <w:ind w:right="100" w:firstLine="640"/>
        <w:spacing w:after="0" w:line="251" w:lineRule="auto"/>
        <w:rPr>
          <w:sz w:val="20"/>
          <w:szCs w:val="20"/>
          <w:color w:val="auto"/>
        </w:rPr>
      </w:pPr>
      <w:r>
        <w:rPr>
          <w:rFonts w:ascii="Times New Roman" w:cs="Times New Roman" w:eastAsia="Times New Roman" w:hAnsi="Times New Roman"/>
          <w:sz w:val="18"/>
          <w:szCs w:val="18"/>
          <w:color w:val="auto"/>
        </w:rPr>
        <w:t>Our Insider Trading and Blackout Policy includes restrictions regarding the timing and types of transactions in our securities by our directors, officers, including our Named Executive officers, and other employees. Our directors, officers and certain other designated other employees are prohibited from trading during blackout periods (during the period from and including the close of business on the seventh day prior to the end of the third month of each quarter and ends on the opening of the second business day following our filing with the SEC of the Company’s quarterly or annual financial reports or earlier public release of quarterly or annual financial information) and without the clearance of our Compliance Officer. In addition, the policy provides that none of our directors, officers or other employees may engage in the following transactions: (i) purchasing our securities on margin; (ii) pledging our securities; (iii) short sales; (d) buying or selling puts or calls in connection with our securities; and (v) engaging in derivative transactions relating to our securities (e.g., exchange traded options, etc.).</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27"/>
        </w:trPr>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Our 2022 executive officers, their ages and positions, and other information are as follows:</w:t>
            </w:r>
          </w:p>
        </w:tc>
      </w:tr>
      <w:tr>
        <w:trPr>
          <w:trHeight w:val="440"/>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220" w:type="dxa"/>
            <w:vAlign w:val="bottom"/>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Dror Bashan</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56</w:t>
            </w: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95"/>
        </w:trPr>
        <w:tc>
          <w:tcPr>
            <w:tcW w:w="2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76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8"/>
                <w:szCs w:val="18"/>
                <w:color w:val="auto"/>
              </w:rPr>
              <w:t>Sr. Vice President, Chief Financial Officer, Treasurer and</w:t>
            </w:r>
          </w:p>
        </w:tc>
      </w:tr>
      <w:tr>
        <w:trPr>
          <w:trHeight w:val="232"/>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Eyal Rubin</w:t>
            </w:r>
          </w:p>
        </w:tc>
        <w:tc>
          <w:tcPr>
            <w:tcW w:w="102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47</w:t>
            </w:r>
          </w:p>
        </w:tc>
        <w:tc>
          <w:tcPr>
            <w:tcW w:w="700" w:type="dxa"/>
            <w:vAlign w:val="bottom"/>
          </w:tcPr>
          <w:p>
            <w:pPr>
              <w:spacing w:after="0"/>
              <w:rPr>
                <w:sz w:val="20"/>
                <w:szCs w:val="20"/>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Secretary</w:t>
            </w:r>
          </w:p>
        </w:tc>
      </w:tr>
      <w:tr>
        <w:trPr>
          <w:trHeight w:val="213"/>
        </w:trPr>
        <w:tc>
          <w:tcPr>
            <w:tcW w:w="2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Yaron Naos</w:t>
            </w:r>
          </w:p>
        </w:tc>
        <w:tc>
          <w:tcPr>
            <w:tcW w:w="102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8"/>
                <w:szCs w:val="18"/>
                <w:color w:val="auto"/>
                <w:w w:val="99"/>
              </w:rPr>
              <w:t>59</w:t>
            </w:r>
          </w:p>
        </w:tc>
        <w:tc>
          <w:tcPr>
            <w:tcW w:w="70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Sr. Vice President, Operations</w:t>
            </w:r>
          </w:p>
        </w:tc>
      </w:tr>
      <w:tr>
        <w:trPr>
          <w:trHeight w:val="232"/>
        </w:trPr>
        <w:tc>
          <w:tcPr>
            <w:tcW w:w="22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Yael Hayon, Ph.D.</w:t>
            </w:r>
          </w:p>
        </w:tc>
        <w:tc>
          <w:tcPr>
            <w:tcW w:w="1020" w:type="dxa"/>
            <w:vAlign w:val="bottom"/>
          </w:tcPr>
          <w:p>
            <w:pPr>
              <w:jc w:val="center"/>
              <w:ind w:left="591"/>
              <w:spacing w:after="0"/>
              <w:rPr>
                <w:sz w:val="20"/>
                <w:szCs w:val="20"/>
                <w:color w:val="auto"/>
              </w:rPr>
            </w:pPr>
            <w:r>
              <w:rPr>
                <w:rFonts w:ascii="Times New Roman" w:cs="Times New Roman" w:eastAsia="Times New Roman" w:hAnsi="Times New Roman"/>
                <w:sz w:val="18"/>
                <w:szCs w:val="18"/>
                <w:color w:val="auto"/>
                <w:w w:val="99"/>
              </w:rPr>
              <w:t>40</w:t>
            </w:r>
          </w:p>
        </w:tc>
        <w:tc>
          <w:tcPr>
            <w:tcW w:w="700" w:type="dxa"/>
            <w:vAlign w:val="bottom"/>
          </w:tcPr>
          <w:p>
            <w:pPr>
              <w:spacing w:after="0"/>
              <w:rPr>
                <w:sz w:val="20"/>
                <w:szCs w:val="20"/>
                <w:color w:val="auto"/>
              </w:rPr>
            </w:pPr>
          </w:p>
        </w:tc>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Vice President, Research and Development</w:t>
            </w:r>
          </w:p>
        </w:tc>
      </w:tr>
    </w:tbl>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biographical information for Mr. Bashan is set forth above under “Proposal 1: Election of Directors.”</w:t>
      </w:r>
    </w:p>
    <w:p>
      <w:pPr>
        <w:spacing w:after="0" w:line="216"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Eyal Rubin. </w:t>
      </w:r>
      <w:r>
        <w:rPr>
          <w:rFonts w:ascii="Times New Roman" w:cs="Times New Roman" w:eastAsia="Times New Roman" w:hAnsi="Times New Roman"/>
          <w:sz w:val="18"/>
          <w:szCs w:val="18"/>
          <w:color w:val="auto"/>
        </w:rPr>
        <w:t>Mr. Rubin has served as our Senior Vice President and Chief Financial Officer since September 2019. He brings more than 20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and capital markets experience, an extensive background in financial planning and operations, management and strategy and a deep knowledge of the biotechnology and pharmaceutical industries. Prior to joining Protalix, he served as Executive Vice President and Chief Financial Officer of BrainStorm Cell Therapeutics Inc. (NASDAQ:BCLI), a publicly traded biotechnology company, where he was responsible for all corporate finance, accounting and investor relations activities. Prior to his role at BrainStorm, Mr. Rubin served at Teva (NYSE:TEVA; TASE:TEVA) in several roles, most recently as Vice President, Head of Corporate Treasury. In this role, Mr. Rubin was responsible for Teva’s cash operations and cash management, as well as Teva’s equity and debt capital markets transactions. Mr. Rubin holds a BA in Financing and IT Systems from the College of Management, Israel, where he graduated Summa Cum Laude with a specialization in Financing and IT Systems, and an MBA from Bar-Ilan University, Israel, where he graduated Summa Cum Laude with a specialization in Finance.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20"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Yaron Naos. </w:t>
      </w:r>
      <w:r>
        <w:rPr>
          <w:rFonts w:ascii="Times New Roman" w:cs="Times New Roman" w:eastAsia="Times New Roman" w:hAnsi="Times New Roman"/>
          <w:sz w:val="18"/>
          <w:szCs w:val="18"/>
          <w:color w:val="auto"/>
        </w:rPr>
        <w:t>Mr. Naos joined Protalix in 2004, originally as a Senior Director for Operations and later as Vice President for Production, and became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Senior Vice President, Operations in 2018. Mr. Naos has a wealth of hands-on experience and knowledge in the field of pharmaceutical development. Prior to joining Protalix, he served for a decade as R&amp;D Product Manager at Dexxon Pharmaceutical Co., one of Israel’s largest pharmaceutical companies, where he was responsible for technology transfer from R&amp;D to production, and in charge of R&amp;D activities that led to the commercialization of many products. Later, Mr. Naos was plant manager of Medibrands Pharmaceutical Company, as well as logistics manager of Mediline for period of four years, where he was responsible for all operational activities, from procurement to distribution. Mr. Naos holds a B.Sc. in Food Engineering and Biotechnology from the Technion-Israel Technology Institute and an MBA from Haifa University.</w:t>
      </w:r>
    </w:p>
    <w:p>
      <w:pPr>
        <w:spacing w:after="0" w:line="180" w:lineRule="exact"/>
        <w:rPr>
          <w:sz w:val="20"/>
          <w:szCs w:val="20"/>
          <w:color w:val="auto"/>
        </w:rPr>
      </w:pPr>
    </w:p>
    <w:p>
      <w:pPr>
        <w:ind w:right="80" w:firstLine="6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Yael Hayon, Ph.D. </w:t>
      </w:r>
      <w:r>
        <w:rPr>
          <w:rFonts w:ascii="Times New Roman" w:cs="Times New Roman" w:eastAsia="Times New Roman" w:hAnsi="Times New Roman"/>
          <w:sz w:val="18"/>
          <w:szCs w:val="18"/>
          <w:color w:val="auto"/>
        </w:rPr>
        <w:t>Dr. Hayon joined Protalix in 2020. She brings to Protalix over a decade of experience in pharmaceutical research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both in the scientific operations and the administrative functions. She most recently served as Vice President of Clinical Affairs of Syqe Medical Ltd., Tel-Aviv, where she, among other things, established the clinical and medical global strategy, and was responsible for providing strategic input on the regulatory development plan. Prior to her role at Syqe Medical, Dr. Hayon served as the Head of R&amp;D Israeli Site of LogicBio Therapeutics, Inc. (acquired by Alexion, AstraZeneca Rare Disease), Cambridge, Massachusetts, where she managed LogicBio’s Israeli-based Research and Development facility and was involved in strategic decision-making. From 2014 through 2016 she served as the R&amp;D Manager, Stem Cell Medicine Ltd.,</w:t>
      </w:r>
    </w:p>
    <w:p>
      <w:pPr>
        <w:spacing w:after="0" w:line="5"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color w:val="auto"/>
        </w:rPr>
        <w:t>Jerusalem, Israel. Dr. Hayon holds a Ph.D. in Neurobiology/Hematology, and an M.Sc. in Neurobiology, both from the Hebrew University Faculty of Medicine, Jerusalem, Israel.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are no family relationships among directors or executive officers of our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17"/>
          <w:szCs w:val="17"/>
          <w:color w:val="auto"/>
        </w:rPr>
        <w:t>The primary goals of the Compensation Committee of our Board of Directors with respect to executive compensation are to attract and retain the most talented and dedicated executives possible, to tie annual and long-term cash and stock incentives to achievement of specified performance objectives, and to align executives’ incentives with stockholder value creation. To achieve these goals, the Compensation Committee implements and maintains compensation plans that tie a portion of executives’ overall compensation to key strategic goals such as developments in our clinical path, the establishment of key strategic collaborations, the build-up of our pipeline and the strengthening of our financial position. The Compensation Committee evaluates individual executive performance with a goal of setting compensation at levels the committee believes are comparable with executives in other companies of similar size and stage of development operating in the biotechnology industry while taking into account our relative performance and our own strategic goals.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Executive compensation consists of following elements:</w:t>
      </w:r>
    </w:p>
    <w:p>
      <w:pPr>
        <w:spacing w:after="0" w:line="216" w:lineRule="exact"/>
        <w:rPr>
          <w:sz w:val="20"/>
          <w:szCs w:val="20"/>
          <w:color w:val="auto"/>
        </w:rPr>
      </w:pPr>
    </w:p>
    <w:p>
      <w:pPr>
        <w:ind w:right="120" w:firstLine="6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Base salaries for our executive officers are established based on the scope of their responsibilities taking into account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compensation paid by other companies for similar positions. Generally, we believe that executive base salaries should be targeted near the median of the range of salaries for executives in similar positions with similar responsibilities at comparable companies. The Compensation Committee convenes from time to time to evaluate present and future executive compensation, which evaluation generally includes an evaluation of the peer group considered in analyzing executive compensation. The Compensation Committee intends to continue reviewing and revising the peer group periodically to ensure that it continues to reflect companies similar to the Company in size and development stage. The Compensation Committee also reviews executive compensation reports and an analysis of publicly-traded biotechnology companies prepared by third party experts from a well-known consulting firm for additional data and other information regarding executive compensation for comparative purposes.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firstLine="640"/>
        <w:spacing w:after="0" w:line="262" w:lineRule="auto"/>
        <w:rPr>
          <w:sz w:val="20"/>
          <w:szCs w:val="20"/>
          <w:color w:val="auto"/>
        </w:rPr>
      </w:pPr>
      <w:r>
        <w:rPr>
          <w:rFonts w:ascii="Times New Roman" w:cs="Times New Roman" w:eastAsia="Times New Roman" w:hAnsi="Times New Roman"/>
          <w:sz w:val="18"/>
          <w:szCs w:val="18"/>
          <w:color w:val="auto"/>
        </w:rPr>
        <w:t>Base salaries are usually reviewed annually, and adjusted from time to time to realign salaries with market levels after taking into account individual responsibilities, performance and experience. The base salaries of each of our President and Chief Executive Officer, our Senior Vice President and Chief Financial Officer our Senior Vice President, Operations, who we refer to collectively as the “Named Executive Officers,” are discussed herein.</w:t>
      </w:r>
    </w:p>
    <w:p>
      <w:pPr>
        <w:spacing w:after="0" w:line="172"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Compensation Committee has the authority to award discretionary annual bonuses to our executive officers. The discretionary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bonus awards were intended to compensate officers for achieving financial, clinical, regulatory and operational goals and for achieving individual annual performance objectives. For any given year, the compensation objectives vary, but relate generally to strategic factors such as developments in our clinical path, the execution of a license agreement for the commercialization of product candidates, the establishment of key strategic collaborations, the build-up of our pipeline and financial factors such as capital raising. Bonuses are awarded generally based on corporate performance, with adjustments made within a range for individual performance, at the discretion of the Compensation Committee. The Compensation Committee determines, on a discretionary basis, the size of the entire bonus pool and the amount of the actual award to each Named Executive Officer.</w:t>
      </w:r>
    </w:p>
    <w:p>
      <w:pPr>
        <w:spacing w:after="0" w:line="184"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The Compensation Committee selects, in its discretion, the executive officers of the Company or our subsidiary who are eligible to receive bonuses for any given year. Any bonus granted by the Compensation Committee will generally be paid upon the achievement of a specific milestone, subject to certain terms and conditions. The Compensation Committee has not fixed a minimum or maximum award for any executive officer’s annual discretionary bonus. Each of our executive officers is eligible for a discretionary annual bonus under his or her employment agreement.</w:t>
      </w:r>
    </w:p>
    <w:p>
      <w:pPr>
        <w:spacing w:after="0" w:line="181"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2022, the Compensation Committee determined that Mr. Bashan and Mr. Rubin were both entitled to annual bonuses for fiscal years ended December 31, 2021 and 2020, which had not yet been awarded. Performance milestones underlying such bonuses were as follows:</w:t>
      </w:r>
    </w:p>
    <w:p>
      <w:pPr>
        <w:spacing w:after="0" w:line="176" w:lineRule="exact"/>
        <w:rPr>
          <w:sz w:val="20"/>
          <w:szCs w:val="20"/>
          <w:color w:val="auto"/>
        </w:rPr>
      </w:pPr>
    </w:p>
    <w:p>
      <w:pPr>
        <w:ind w:left="520" w:hanging="41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(50%, in the aggregate)</w:t>
      </w:r>
    </w:p>
    <w:p>
      <w:pPr>
        <w:spacing w:after="0" w:line="25"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situation improvement (30%)</w:t>
      </w:r>
    </w:p>
    <w:p>
      <w:pPr>
        <w:spacing w:after="0" w:line="6"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going forward for 1.5 years minimum (20%)</w:t>
      </w:r>
    </w:p>
    <w:p>
      <w:pPr>
        <w:spacing w:after="0" w:line="6" w:lineRule="exact"/>
        <w:rPr>
          <w:rFonts w:ascii="Times New Roman" w:cs="Times New Roman" w:eastAsia="Times New Roman" w:hAnsi="Times New Roman"/>
          <w:sz w:val="18"/>
          <w:szCs w:val="18"/>
          <w:color w:val="auto"/>
        </w:rPr>
      </w:pPr>
    </w:p>
    <w:p>
      <w:pPr>
        <w:ind w:left="520" w:hanging="41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 Sales to Pfizer Inc. and Brazil (15%, in the aggregate)</w:t>
      </w:r>
    </w:p>
    <w:p>
      <w:pPr>
        <w:spacing w:after="0" w:line="6"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transfer price and contract extension with Pfizer Inc. (10%)</w:t>
      </w:r>
    </w:p>
    <w:p>
      <w:pPr>
        <w:spacing w:after="0" w:line="6"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Brazil (5%)</w:t>
      </w:r>
    </w:p>
    <w:p>
      <w:pPr>
        <w:spacing w:after="0" w:line="6" w:lineRule="exact"/>
        <w:rPr>
          <w:rFonts w:ascii="Times New Roman" w:cs="Times New Roman" w:eastAsia="Times New Roman" w:hAnsi="Times New Roman"/>
          <w:sz w:val="18"/>
          <w:szCs w:val="18"/>
          <w:color w:val="auto"/>
        </w:rPr>
      </w:pPr>
    </w:p>
    <w:p>
      <w:pPr>
        <w:ind w:left="520" w:hanging="41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(25%, in the aggregate)</w:t>
      </w:r>
    </w:p>
    <w:p>
      <w:pPr>
        <w:spacing w:after="0" w:line="6"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Fabry (15%)</w:t>
      </w:r>
    </w:p>
    <w:p>
      <w:pPr>
        <w:spacing w:after="0" w:line="6" w:lineRule="exact"/>
        <w:rPr>
          <w:rFonts w:ascii="Times New Roman" w:cs="Times New Roman" w:eastAsia="Times New Roman" w:hAnsi="Times New Roman"/>
          <w:sz w:val="18"/>
          <w:szCs w:val="18"/>
          <w:color w:val="auto"/>
        </w:rPr>
      </w:pPr>
    </w:p>
    <w:p>
      <w:pPr>
        <w:ind w:left="900" w:hanging="79"/>
        <w:spacing w:after="0"/>
        <w:tabs>
          <w:tab w:leader="none" w:pos="9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Finalization of the clinical development program</w:t>
      </w:r>
    </w:p>
    <w:p>
      <w:pPr>
        <w:spacing w:after="0" w:line="6" w:lineRule="exact"/>
        <w:rPr>
          <w:rFonts w:ascii="Times New Roman" w:cs="Times New Roman" w:eastAsia="Times New Roman" w:hAnsi="Times New Roman"/>
          <w:sz w:val="18"/>
          <w:szCs w:val="18"/>
          <w:color w:val="auto"/>
        </w:rPr>
      </w:pPr>
    </w:p>
    <w:p>
      <w:pPr>
        <w:ind w:left="900" w:hanging="79"/>
        <w:spacing w:after="0"/>
        <w:tabs>
          <w:tab w:leader="none" w:pos="9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for regulatory submissions (both in the United States and in the European Union)</w:t>
      </w:r>
    </w:p>
    <w:p>
      <w:pPr>
        <w:spacing w:after="0" w:line="6" w:lineRule="exact"/>
        <w:rPr>
          <w:rFonts w:ascii="Times New Roman" w:cs="Times New Roman" w:eastAsia="Times New Roman" w:hAnsi="Times New Roman"/>
          <w:sz w:val="18"/>
          <w:szCs w:val="18"/>
          <w:color w:val="auto"/>
        </w:rPr>
      </w:pPr>
    </w:p>
    <w:p>
      <w:pPr>
        <w:ind w:left="520" w:hanging="86"/>
        <w:spacing w:after="0"/>
        <w:tabs>
          <w:tab w:leader="none" w:pos="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pipeline (10%)</w:t>
      </w:r>
    </w:p>
    <w:p>
      <w:pPr>
        <w:spacing w:after="0" w:line="6" w:lineRule="exact"/>
        <w:rPr>
          <w:rFonts w:ascii="Times New Roman" w:cs="Times New Roman" w:eastAsia="Times New Roman" w:hAnsi="Times New Roman"/>
          <w:sz w:val="18"/>
          <w:szCs w:val="18"/>
          <w:color w:val="auto"/>
        </w:rPr>
      </w:pPr>
    </w:p>
    <w:p>
      <w:pPr>
        <w:ind w:left="900" w:hanging="79"/>
        <w:spacing w:after="0"/>
        <w:tabs>
          <w:tab w:leader="none" w:pos="9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existing programs</w:t>
      </w:r>
    </w:p>
    <w:p>
      <w:pPr>
        <w:spacing w:after="0" w:line="6" w:lineRule="exact"/>
        <w:rPr>
          <w:rFonts w:ascii="Times New Roman" w:cs="Times New Roman" w:eastAsia="Times New Roman" w:hAnsi="Times New Roman"/>
          <w:sz w:val="18"/>
          <w:szCs w:val="18"/>
          <w:color w:val="auto"/>
        </w:rPr>
      </w:pPr>
    </w:p>
    <w:p>
      <w:pPr>
        <w:ind w:left="900" w:hanging="79"/>
        <w:spacing w:after="0"/>
        <w:tabs>
          <w:tab w:leader="none" w:pos="9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Programs</w:t>
      </w:r>
    </w:p>
    <w:p>
      <w:pPr>
        <w:spacing w:after="0" w:line="6" w:lineRule="exact"/>
        <w:rPr>
          <w:rFonts w:ascii="Times New Roman" w:cs="Times New Roman" w:eastAsia="Times New Roman" w:hAnsi="Times New Roman"/>
          <w:sz w:val="18"/>
          <w:szCs w:val="18"/>
          <w:color w:val="auto"/>
        </w:rPr>
      </w:pPr>
    </w:p>
    <w:p>
      <w:pPr>
        <w:ind w:left="440" w:hanging="337"/>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Strengthening Corporate viability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-1893570</wp:posOffset>
            </wp:positionV>
            <wp:extent cx="7134225"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-1622425</wp:posOffset>
            </wp:positionV>
            <wp:extent cx="7134225"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-1351280</wp:posOffset>
            </wp:positionV>
            <wp:extent cx="7134225"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-1080135</wp:posOffset>
            </wp:positionV>
            <wp:extent cx="7134225"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-808990</wp:posOffset>
            </wp:positionV>
            <wp:extent cx="713422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-537845</wp:posOffset>
            </wp:positionV>
            <wp:extent cx="713422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-266700</wp:posOffset>
            </wp:positionV>
            <wp:extent cx="713422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181" w:lineRule="exact"/>
        <w:rPr>
          <w:sz w:val="20"/>
          <w:szCs w:val="20"/>
          <w:color w:val="auto"/>
        </w:rPr>
      </w:pPr>
    </w:p>
    <w:p>
      <w:pPr>
        <w:ind w:right="200" w:firstLine="640"/>
        <w:spacing w:after="0" w:line="254" w:lineRule="auto"/>
        <w:rPr>
          <w:sz w:val="20"/>
          <w:szCs w:val="20"/>
          <w:color w:val="auto"/>
        </w:rPr>
      </w:pPr>
      <w:r>
        <w:rPr>
          <w:rFonts w:ascii="Times New Roman" w:cs="Times New Roman" w:eastAsia="Times New Roman" w:hAnsi="Times New Roman"/>
          <w:sz w:val="18"/>
          <w:szCs w:val="18"/>
          <w:color w:val="auto"/>
        </w:rPr>
        <w:t>The Compensation Committee determined that both Mr. Bashan and Mr. Rubin had achieved 100% of the performance milestones and awarded a cash bonus equal to 10 months’ salary to Mr. Rubin to cover fiscal years ended December 31, 2021 and 2020. The Compensation Committee awarded a bonus equal to 18 months’ salary to Mr. Bashan to cover fiscal years ended December 31, 2021 and 2020. Given our cash position at the time, Mr. Bashan agreed to accept his bonus in shares of our common stock in lieu of cash. Mr. Naos was awarded a cash bonus commensurate with other company Vice Presidents.</w:t>
      </w:r>
    </w:p>
    <w:p>
      <w:pPr>
        <w:spacing w:after="0" w:line="182" w:lineRule="exact"/>
        <w:rPr>
          <w:sz w:val="20"/>
          <w:szCs w:val="20"/>
          <w:color w:val="auto"/>
        </w:rPr>
      </w:pPr>
    </w:p>
    <w:p>
      <w:pPr>
        <w:ind w:right="100" w:firstLine="6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Options and Share-Based Compensation. </w:t>
      </w:r>
      <w:r>
        <w:rPr>
          <w:rFonts w:ascii="Times New Roman" w:cs="Times New Roman" w:eastAsia="Times New Roman" w:hAnsi="Times New Roman"/>
          <w:sz w:val="18"/>
          <w:szCs w:val="18"/>
          <w:color w:val="auto"/>
        </w:rPr>
        <w:t>Our Amended and Restated 2006 Stock Incentive Plan authorizes us to grant options to purchase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restricted stock and other securities to our employees, directors and consultants. Our Compensation Committee is the administrator of the stock incentive plan. Stock option or other grants are generally made at the commencement of employment and following a significant change in job responsibilities or to meet other special retention or performance objectives. The Compensation Committee reviews and approves stock option and other awards to executive officers based upon a review of competitive compensation data, its assessment of individual performance, a review of each executive’s existing long-term incentives, and retention considerations. The exercise price of stock options granted under our Amended and Restated 2006 Stock Incentive Plan, as amended, must be equal to at least 100% of the fair market value of our common stock on the date of grant; however, in certain circumstances, grants may be made at a lower price to Israeli grantees who are residents of the State of Israel.</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2" w:name="page23"/>
    <w:bookmarkEnd w:id="22"/>
    <w:p>
      <w:pPr>
        <w:ind w:right="40" w:firstLine="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and Change in Control Benefits. </w:t>
      </w:r>
      <w:r>
        <w:rPr>
          <w:rFonts w:ascii="Times New Roman" w:cs="Times New Roman" w:eastAsia="Times New Roman" w:hAnsi="Times New Roman"/>
          <w:sz w:val="18"/>
          <w:szCs w:val="18"/>
          <w:color w:val="auto"/>
        </w:rPr>
        <w:t>The Compensation Committee granted the following payments that would be payable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change of control: $1.0 million to the President and Chief Executive Officer and $400,000 to each of the other executive Vice Presidents. Such payments are subject to certain terms and conditions. In addition to the foregoing, pursuant to the employment agreements entered into with each of our executive officers, the executive officer is entitled to be insured by Protalix Ltd. under a Manager’s Policy in lieu of severance. The intention of such Manager’s Policies is to provide the Israel-based officers with severance protection of one month’s salary for each year of employment. In addition, the stock options and restricted stock granted to each of our Named Executive Officers provide that all of such instruments are subject to accelerated vesting immediately upon a change in control of the Company.</w:t>
      </w:r>
    </w:p>
    <w:p>
      <w:pPr>
        <w:spacing w:after="0" w:line="180" w:lineRule="exact"/>
        <w:rPr>
          <w:sz w:val="20"/>
          <w:szCs w:val="20"/>
          <w:color w:val="auto"/>
        </w:rPr>
      </w:pPr>
    </w:p>
    <w:p>
      <w:pPr>
        <w:ind w:right="40" w:firstLine="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Compensation. </w:t>
      </w:r>
      <w:r>
        <w:rPr>
          <w:rFonts w:ascii="Times New Roman" w:cs="Times New Roman" w:eastAsia="Times New Roman" w:hAnsi="Times New Roman"/>
          <w:sz w:val="18"/>
          <w:szCs w:val="18"/>
          <w:color w:val="auto"/>
        </w:rPr>
        <w:t>Consistent with our compensation philosophy, we intend to continue to maintain our current benefits for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however, the Compensation Committee in its discretion may revise, amend, or add to the officer’s executive benefits if it deems it advisable. As an additional benefit to all of our Israel-based Named Executive Officers and for most of our employees, we contribute to certain funds amounts equaling a total of approximately 15% of their respective gross salaries for certain pension and other savings plans for the benefit of the Named Executive Officers and other employees. In addition, in accordance with customary practice in Israel, our Israel-based executives’ agreements require us to contribute towards their vocational studies, and to provide annual recreational allowances, a company car and a company phone. We believe these benefits are currently equivalent with median competitive levels for comparable companies.</w:t>
      </w:r>
    </w:p>
    <w:p>
      <w:pPr>
        <w:spacing w:after="0" w:line="180" w:lineRule="exact"/>
        <w:rPr>
          <w:sz w:val="20"/>
          <w:szCs w:val="20"/>
          <w:color w:val="auto"/>
        </w:rPr>
      </w:pPr>
    </w:p>
    <w:p>
      <w:pPr>
        <w:ind w:right="440"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Compensation. </w:t>
      </w:r>
      <w:r>
        <w:rPr>
          <w:rFonts w:ascii="Times New Roman" w:cs="Times New Roman" w:eastAsia="Times New Roman" w:hAnsi="Times New Roman"/>
          <w:sz w:val="18"/>
          <w:szCs w:val="18"/>
          <w:color w:val="auto"/>
        </w:rPr>
        <w:t>We refer to the “Summary Compensation Table” set forth below for information regarding the compensation earned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fiscal year ended December 31, 2022 by our Named Executive Officers.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7"/>
          <w:szCs w:val="17"/>
          <w:color w:val="auto"/>
        </w:rPr>
        <w:t>The following table sets forth a summary for the fiscal years ended December 31, 2022 and 2021, respectively, of the cash and non-cash compensation awarded, paid or accrued by us or Protalix Ltd. to our Named Executive Officers. There were no restricted stock awards, long-term incentive plan payouts or other compensation paid during fiscal years December 31, 2022 and 2021 by us or Protalix Ltd. to the Named Executive Officers, except as set forth below. All of the Named Executive Officers are employees of our subsidiary, Protalix Ltd. All currency amounts are expressed in U.S.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9"/>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220" w:type="dxa"/>
            <w:vAlign w:val="bottom"/>
          </w:tcPr>
          <w:p>
            <w:pPr>
              <w:spacing w:after="0"/>
              <w:rPr>
                <w:sz w:val="21"/>
                <w:szCs w:val="21"/>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07"/>
        </w:trPr>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Dror Bashan</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817,576</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177,564</w:t>
            </w: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373,817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585,224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116,287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1,157,699</w:t>
            </w:r>
          </w:p>
        </w:tc>
      </w:tr>
      <w:tr>
        <w:trPr>
          <w:trHeight w:val="21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Rubin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312,515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397,678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168,667</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75,889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1,058,281</w:t>
            </w:r>
          </w:p>
        </w:tc>
      </w:tr>
      <w:tr>
        <w:trPr>
          <w:trHeight w:val="193"/>
        </w:trPr>
        <w:tc>
          <w:tcPr>
            <w:tcW w:w="3480" w:type="dxa"/>
            <w:vAlign w:val="bottom"/>
            <w:gridSpan w:val="2"/>
          </w:tcPr>
          <w:p>
            <w:pPr>
              <w:ind w:left="160"/>
              <w:spacing w:after="0" w:line="193" w:lineRule="exact"/>
              <w:rPr>
                <w:sz w:val="20"/>
                <w:szCs w:val="20"/>
                <w:color w:val="auto"/>
              </w:rPr>
            </w:pPr>
            <w:r>
              <w:rPr>
                <w:rFonts w:ascii="Times New Roman" w:cs="Times New Roman" w:eastAsia="Times New Roman" w:hAnsi="Times New Roman"/>
                <w:sz w:val="18"/>
                <w:szCs w:val="18"/>
                <w:i w:val="1"/>
                <w:iCs w:val="1"/>
                <w:color w:val="auto"/>
              </w:rPr>
              <w:t>Senior Vice President, Chief Financial</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325,101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385,201</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21,062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105,460</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836,824</w:t>
            </w:r>
          </w:p>
        </w:tc>
      </w:tr>
      <w:tr>
        <w:trPr>
          <w:trHeight w:val="21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Yaron Naos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239,201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81,176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89,578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533,265</w:t>
            </w:r>
          </w:p>
        </w:tc>
      </w:tr>
      <w:tr>
        <w:trPr>
          <w:trHeight w:val="234"/>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246,716</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127,291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131,280</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505,287</w:t>
            </w:r>
          </w:p>
        </w:tc>
      </w:tr>
    </w:tbl>
    <w:p>
      <w:pPr>
        <w:spacing w:after="0" w:line="174" w:lineRule="exact"/>
        <w:rPr>
          <w:sz w:val="20"/>
          <w:szCs w:val="20"/>
          <w:color w:val="auto"/>
        </w:rPr>
      </w:pPr>
    </w:p>
    <w:p>
      <w:pPr>
        <w:ind w:right="340" w:firstLine="7"/>
        <w:spacing w:after="0" w:line="257" w:lineRule="auto"/>
        <w:tabs>
          <w:tab w:leader="none" w:pos="7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grant date fair value of the option awards as computed in accordance with ASC 718, not including any estimates of forfeitures related to service-based vesting conditions. See Note 9(c) “Stock based compensation,” of Notes to Consolidated Financial Statements in our Annual Report on Form 10-K for the year ended December 31, 2022 for a discussion of assumptions we made in determining the grant date fair value of our option awards for the fiscal year ended December 31, 2022.</w:t>
      </w:r>
    </w:p>
    <w:p>
      <w:pPr>
        <w:spacing w:after="0" w:line="180" w:lineRule="exact"/>
        <w:rPr>
          <w:rFonts w:ascii="Times New Roman" w:cs="Times New Roman" w:eastAsia="Times New Roman" w:hAnsi="Times New Roman"/>
          <w:sz w:val="18"/>
          <w:szCs w:val="18"/>
          <w:color w:val="auto"/>
        </w:rPr>
      </w:pPr>
    </w:p>
    <w:p>
      <w:pPr>
        <w:ind w:left="740" w:hanging="733"/>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employer contributions to pension and/or insurance plans and other miscellaneous payments.</w:t>
      </w:r>
    </w:p>
    <w:p>
      <w:pPr>
        <w:spacing w:after="0" w:line="220"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On February 25, 2022, we granted, with the approval of the Compensation Committee, 637,531 shares of restricted common stock to Mr. Bashan and 121,951 shares of restricted common stock to Mr. Rubin.</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00" w:firstLine="640"/>
        <w:spacing w:after="0" w:line="271" w:lineRule="auto"/>
        <w:rPr>
          <w:sz w:val="20"/>
          <w:szCs w:val="20"/>
          <w:color w:val="auto"/>
        </w:rPr>
      </w:pPr>
      <w:r>
        <w:rPr>
          <w:rFonts w:ascii="Times New Roman" w:cs="Times New Roman" w:eastAsia="Times New Roman" w:hAnsi="Times New Roman"/>
          <w:sz w:val="17"/>
          <w:szCs w:val="17"/>
          <w:color w:val="auto"/>
        </w:rPr>
        <w:t>On September 7, 2022, we granted, with the approval of the Compensation Committee, 10-year options to purchase 3,280,000 shares of Common Stock, in the aggregate, to certain of our officers, directors and other employees under the Plan. The options have an exercise price equal to $1.03 per share and vest over a four-year period in 16 equal quarterly increments. Vesting of the options granted to executive officers and directors is subject to automatic acceleration in full upon a Corporate Transaction or a Change in Control, as those terms are defined in the Plan, and are subject to certain other terms and conditions. Of such grant, an option to purchase 750,000 shares of common stock were awarded to Mr. Bashan, an option to purchase 350,000 shares of common stock were awarded to Mr. Rubin and an option to purchase 340,000 shares of common stock were awarded to Mr. Naos.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Named Executive Officers concerning outstanding equity awards as of December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1660" w:type="dxa"/>
            <w:vAlign w:val="bottom"/>
            <w:tcBorders>
              <w:top w:val="single" w:sz="8" w:color="auto"/>
            </w:tcBorders>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1340" w:type="dxa"/>
            <w:vAlign w:val="bottom"/>
            <w:tcBorders>
              <w:top w:val="single" w:sz="8" w:color="auto"/>
            </w:tcBorders>
          </w:tcPr>
          <w:p>
            <w:pPr>
              <w:jc w:val="center"/>
              <w:ind w:left="11"/>
              <w:spacing w:after="0" w:line="184" w:lineRule="exact"/>
              <w:rPr>
                <w:sz w:val="20"/>
                <w:szCs w:val="20"/>
                <w:color w:val="auto"/>
              </w:rPr>
            </w:pPr>
            <w:r>
              <w:rPr>
                <w:rFonts w:ascii="Times New Roman" w:cs="Times New Roman" w:eastAsia="Times New Roman" w:hAnsi="Times New Roman"/>
                <w:sz w:val="18"/>
                <w:szCs w:val="18"/>
                <w:b w:val="1"/>
                <w:bCs w:val="1"/>
                <w:color w:val="auto"/>
              </w:rPr>
              <w:t>Market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Securities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Securities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of shares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stock</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0" w:type="dxa"/>
            <w:vAlign w:val="bottom"/>
          </w:tcPr>
          <w:p>
            <w:pPr>
              <w:spacing w:after="0"/>
              <w:rPr>
                <w:sz w:val="1"/>
                <w:szCs w:val="1"/>
                <w:color w:val="auto"/>
              </w:rPr>
            </w:pPr>
          </w:p>
        </w:tc>
      </w:tr>
      <w:tr>
        <w:trPr>
          <w:trHeight w:val="227"/>
        </w:trPr>
        <w:tc>
          <w:tcPr>
            <w:tcW w:w="1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 Expiration</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236"/>
        </w:trPr>
        <w:tc>
          <w:tcPr>
            <w:tcW w:w="1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Exercisable (#)</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8"/>
              </w:rPr>
              <w:t>Unexercisable (#)</w:t>
            </w: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9"/>
              </w:rPr>
              <w:t>not vested (#)</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not vested ($)</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Dror Bashan</w:t>
            </w:r>
          </w:p>
        </w:tc>
        <w:tc>
          <w:tcPr>
            <w:tcW w:w="100" w:type="dxa"/>
            <w:vAlign w:val="bottom"/>
            <w:shd w:val="clear" w:color="auto" w:fill="CCEEFF"/>
          </w:tcPr>
          <w:p>
            <w:pPr>
              <w:spacing w:after="0"/>
              <w:rPr>
                <w:sz w:val="17"/>
                <w:szCs w:val="17"/>
                <w:color w:val="auto"/>
              </w:rPr>
            </w:pPr>
          </w:p>
        </w:tc>
        <w:tc>
          <w:tcPr>
            <w:tcW w:w="1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20,000</w:t>
            </w:r>
          </w:p>
        </w:tc>
        <w:tc>
          <w:tcPr>
            <w:tcW w:w="15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500" w:type="dxa"/>
            <w:vAlign w:val="bottom"/>
            <w:vMerge w:val="restart"/>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6/30/2029</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195,969</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46,875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703,125</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9/7/2032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Eyal Rubin</w:t>
            </w:r>
          </w:p>
        </w:tc>
        <w:tc>
          <w:tcPr>
            <w:tcW w:w="1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65,000</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500" w:type="dxa"/>
            <w:vAlign w:val="bottom"/>
            <w:vMerge w:val="restart"/>
          </w:tcPr>
          <w:p>
            <w:pPr>
              <w:jc w:val="center"/>
              <w:ind w:left="11"/>
              <w:spacing w:after="0"/>
              <w:rPr>
                <w:sz w:val="20"/>
                <w:szCs w:val="20"/>
                <w:color w:val="auto"/>
              </w:rPr>
            </w:pPr>
            <w:r>
              <w:rPr>
                <w:rFonts w:ascii="Times New Roman" w:cs="Times New Roman" w:eastAsia="Times New Roman" w:hAnsi="Times New Roman"/>
                <w:sz w:val="18"/>
                <w:szCs w:val="18"/>
                <w:color w:val="auto"/>
                <w:w w:val="98"/>
              </w:rPr>
              <w:t>9/22/2029</w:t>
            </w:r>
          </w:p>
        </w:tc>
        <w:tc>
          <w:tcPr>
            <w:tcW w:w="2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95,502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130,838</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540" w:type="dxa"/>
            <w:vAlign w:val="bottom"/>
          </w:tcPr>
          <w:p>
            <w:pPr>
              <w:spacing w:after="0"/>
              <w:rPr>
                <w:sz w:val="20"/>
                <w:szCs w:val="20"/>
                <w:color w:val="auto"/>
              </w:rPr>
            </w:pP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21,875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328,125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9/7/2032</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Yaron Naos</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3/23/2025</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5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9/13/2028</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53,662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5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8/11/2030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318,750</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9/7/2032</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Value of Initial</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Summary</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Fixed $100</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Summary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Compensation</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 Based</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8"/>
                <w:szCs w:val="18"/>
                <w:color w:val="auto"/>
              </w:rPr>
            </w:pPr>
          </w:p>
        </w:tc>
        <w:tc>
          <w:tcPr>
            <w:tcW w:w="150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color w:val="auto"/>
                <w:w w:val="99"/>
              </w:rPr>
              <w:t>Compensation</w:t>
            </w: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Table Total for</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Actually Paid to</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On Total</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Table Total for</w:t>
            </w:r>
          </w:p>
        </w:tc>
        <w:tc>
          <w:tcPr>
            <w:tcW w:w="100" w:type="dxa"/>
            <w:vAlign w:val="bottom"/>
          </w:tcPr>
          <w:p>
            <w:pPr>
              <w:spacing w:after="0"/>
              <w:rPr>
                <w:sz w:val="18"/>
                <w:szCs w:val="18"/>
                <w:color w:val="auto"/>
              </w:rPr>
            </w:pPr>
          </w:p>
        </w:tc>
        <w:tc>
          <w:tcPr>
            <w:tcW w:w="150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8"/>
              </w:rPr>
              <w:t>Actually paid to</w:t>
            </w: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Non-CEO NEOs</w:t>
            </w: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Non-CEO NEOs</w:t>
            </w: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Stockholder</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2"/>
        </w:trPr>
        <w:tc>
          <w:tcPr>
            <w:tcW w:w="1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Mr. Bashan (1)</w:t>
            </w:r>
          </w:p>
        </w:tc>
        <w:tc>
          <w:tcPr>
            <w:tcW w:w="100" w:type="dxa"/>
            <w:vAlign w:val="bottom"/>
          </w:tcPr>
          <w:p>
            <w:pPr>
              <w:spacing w:after="0"/>
              <w:rPr>
                <w:sz w:val="20"/>
                <w:szCs w:val="20"/>
                <w:color w:val="auto"/>
              </w:rPr>
            </w:pPr>
          </w:p>
        </w:tc>
        <w:tc>
          <w:tcPr>
            <w:tcW w:w="1500" w:type="dxa"/>
            <w:vAlign w:val="bottom"/>
            <w:gridSpan w:val="2"/>
          </w:tcPr>
          <w:p>
            <w:pPr>
              <w:jc w:val="center"/>
              <w:ind w:right="262"/>
              <w:spacing w:after="0"/>
              <w:rPr>
                <w:sz w:val="20"/>
                <w:szCs w:val="20"/>
                <w:color w:val="auto"/>
              </w:rPr>
            </w:pPr>
            <w:r>
              <w:rPr>
                <w:rFonts w:ascii="Times New Roman" w:cs="Times New Roman" w:eastAsia="Times New Roman" w:hAnsi="Times New Roman"/>
                <w:sz w:val="18"/>
                <w:szCs w:val="18"/>
                <w:color w:val="auto"/>
                <w:w w:val="98"/>
              </w:rPr>
              <w:t>Mr. Bashan (2)</w:t>
            </w:r>
          </w:p>
        </w:tc>
        <w:tc>
          <w:tcPr>
            <w:tcW w:w="120" w:type="dxa"/>
            <w:vAlign w:val="bottom"/>
          </w:tcPr>
          <w:p>
            <w:pPr>
              <w:spacing w:after="0"/>
              <w:rPr>
                <w:sz w:val="20"/>
                <w:szCs w:val="20"/>
                <w:color w:val="auto"/>
              </w:rPr>
            </w:pPr>
          </w:p>
        </w:tc>
        <w:tc>
          <w:tcPr>
            <w:tcW w:w="12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5"/>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Return (5)</w:t>
            </w:r>
          </w:p>
        </w:tc>
        <w:tc>
          <w:tcPr>
            <w:tcW w:w="80" w:type="dxa"/>
            <w:vAlign w:val="bottom"/>
          </w:tcPr>
          <w:p>
            <w:pPr>
              <w:spacing w:after="0"/>
              <w:rPr>
                <w:sz w:val="20"/>
                <w:szCs w:val="20"/>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w w:val="99"/>
              </w:rPr>
              <w:t>Net Income (6)</w:t>
            </w:r>
          </w:p>
        </w:tc>
      </w:tr>
      <w:tr>
        <w:trPr>
          <w:trHeight w:val="220"/>
        </w:trPr>
        <w:tc>
          <w:tcPr>
            <w:tcW w:w="1700" w:type="dxa"/>
            <w:vAlign w:val="bottom"/>
            <w:tcBorders>
              <w:top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1,468,295</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1,992,166</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795,773</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1,078,986</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4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8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7"/>
        </w:trPr>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1,157,698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(220,717</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671,056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0" w:firstLine="7"/>
        <w:spacing w:after="0" w:line="277" w:lineRule="auto"/>
        <w:tabs>
          <w:tab w:leader="none" w:pos="7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reported in the “Total” column of the Summary Compensation Table for our President and Chief Executive Officer, Mr. Bashan.</w:t>
      </w:r>
    </w:p>
    <w:p>
      <w:pPr>
        <w:spacing w:after="0" w:line="162" w:lineRule="exact"/>
        <w:rPr>
          <w:rFonts w:ascii="Times New Roman" w:cs="Times New Roman" w:eastAsia="Times New Roman" w:hAnsi="Times New Roman"/>
          <w:sz w:val="18"/>
          <w:szCs w:val="18"/>
          <w:color w:val="auto"/>
        </w:rPr>
      </w:pPr>
    </w:p>
    <w:p>
      <w:pPr>
        <w:ind w:right="260" w:firstLine="7"/>
        <w:spacing w:after="0" w:line="262" w:lineRule="auto"/>
        <w:tabs>
          <w:tab w:leader="none" w:pos="7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“compensation actually paid,” as computed in accordance with SEC rules, for Mr. Bashan. The dollar amounts do not reflect the actual amount of compensation earned by or paid during the applicable year. In accordance with SEC rules, the following adjustments were made to total compensation to determine the compensation actually paid:</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Less: Summary</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Summary</w:t>
            </w:r>
          </w:p>
        </w:tc>
        <w:tc>
          <w:tcPr>
            <w:tcW w:w="22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9"/>
              </w:rPr>
              <w:t>Equals:</w:t>
            </w:r>
          </w:p>
        </w:tc>
      </w:tr>
      <w:tr>
        <w:trPr>
          <w:trHeight w:val="213"/>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Compensation</w:t>
            </w:r>
          </w:p>
        </w:tc>
        <w:tc>
          <w:tcPr>
            <w:tcW w:w="22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Table Reported</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w w:val="98"/>
              </w:rPr>
              <w:t>Compensation</w:t>
            </w:r>
          </w:p>
        </w:tc>
      </w:tr>
      <w:tr>
        <w:trPr>
          <w:trHeight w:val="213"/>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Table Total for</w:t>
            </w:r>
          </w:p>
        </w:tc>
        <w:tc>
          <w:tcPr>
            <w:tcW w:w="220" w:type="dxa"/>
            <w:vAlign w:val="bottom"/>
          </w:tcPr>
          <w:p>
            <w:pPr>
              <w:spacing w:after="0"/>
              <w:rPr>
                <w:sz w:val="18"/>
                <w:szCs w:val="18"/>
                <w:color w:val="auto"/>
              </w:rPr>
            </w:pPr>
          </w:p>
        </w:tc>
        <w:tc>
          <w:tcPr>
            <w:tcW w:w="17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Value of Equity</w:t>
            </w:r>
          </w:p>
        </w:tc>
        <w:tc>
          <w:tcPr>
            <w:tcW w:w="140" w:type="dxa"/>
            <w:vAlign w:val="bottom"/>
          </w:tcPr>
          <w:p>
            <w:pPr>
              <w:spacing w:after="0"/>
              <w:rPr>
                <w:sz w:val="18"/>
                <w:szCs w:val="18"/>
                <w:color w:val="auto"/>
              </w:rPr>
            </w:pPr>
          </w:p>
        </w:tc>
        <w:tc>
          <w:tcPr>
            <w:tcW w:w="180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8"/>
              </w:rPr>
              <w:t>Plus: Equity Award</w:t>
            </w:r>
          </w:p>
        </w:tc>
        <w:tc>
          <w:tcPr>
            <w:tcW w:w="140" w:type="dxa"/>
            <w:vAlign w:val="bottom"/>
          </w:tcPr>
          <w:p>
            <w:pPr>
              <w:spacing w:after="0"/>
              <w:rPr>
                <w:sz w:val="18"/>
                <w:szCs w:val="18"/>
                <w:color w:val="auto"/>
              </w:rPr>
            </w:pPr>
          </w:p>
        </w:tc>
        <w:tc>
          <w:tcPr>
            <w:tcW w:w="17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w w:val="97"/>
              </w:rPr>
              <w:t>Actually paid to Mr.</w:t>
            </w:r>
          </w:p>
        </w:tc>
      </w:tr>
      <w:tr>
        <w:trPr>
          <w:trHeight w:val="232"/>
        </w:trPr>
        <w:tc>
          <w:tcPr>
            <w:tcW w:w="200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Mr. Bashan</w:t>
            </w:r>
          </w:p>
        </w:tc>
        <w:tc>
          <w:tcPr>
            <w:tcW w:w="220" w:type="dxa"/>
            <w:vAlign w:val="bottom"/>
          </w:tcPr>
          <w:p>
            <w:pPr>
              <w:spacing w:after="0"/>
              <w:rPr>
                <w:sz w:val="20"/>
                <w:szCs w:val="20"/>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Awards (a)</w:t>
            </w:r>
          </w:p>
        </w:tc>
        <w:tc>
          <w:tcPr>
            <w:tcW w:w="140" w:type="dxa"/>
            <w:vAlign w:val="bottom"/>
          </w:tcPr>
          <w:p>
            <w:pPr>
              <w:spacing w:after="0"/>
              <w:rPr>
                <w:sz w:val="20"/>
                <w:szCs w:val="20"/>
                <w:color w:val="auto"/>
              </w:rPr>
            </w:pPr>
          </w:p>
        </w:tc>
        <w:tc>
          <w:tcPr>
            <w:tcW w:w="180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9"/>
              </w:rPr>
              <w:t>Adjustments (b)</w:t>
            </w:r>
          </w:p>
        </w:tc>
        <w:tc>
          <w:tcPr>
            <w:tcW w:w="140" w:type="dxa"/>
            <w:vAlign w:val="bottom"/>
          </w:tcPr>
          <w:p>
            <w:pPr>
              <w:spacing w:after="0"/>
              <w:rPr>
                <w:sz w:val="20"/>
                <w:szCs w:val="20"/>
                <w:color w:val="auto"/>
              </w:rPr>
            </w:pPr>
          </w:p>
        </w:tc>
        <w:tc>
          <w:tcPr>
            <w:tcW w:w="17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w w:val="98"/>
              </w:rPr>
              <w:t>Bashan</w:t>
            </w:r>
          </w:p>
        </w:tc>
      </w:tr>
      <w:tr>
        <w:trPr>
          <w:trHeight w:val="220"/>
        </w:trPr>
        <w:tc>
          <w:tcPr>
            <w:tcW w:w="2000" w:type="dxa"/>
            <w:vAlign w:val="bottom"/>
            <w:tcBorders>
              <w:top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1,468,295</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995,140</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1,519,011</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1,992,166</w:t>
            </w:r>
          </w:p>
        </w:tc>
        <w:tc>
          <w:tcPr>
            <w:tcW w:w="80" w:type="dxa"/>
            <w:vAlign w:val="bottom"/>
            <w:tcBorders>
              <w:top w:val="single" w:sz="8" w:color="CCEEFF"/>
            </w:tcBorders>
            <w:shd w:val="clear" w:color="auto" w:fill="CCEEFF"/>
          </w:tcPr>
          <w:p>
            <w:pPr>
              <w:spacing w:after="0"/>
              <w:rPr>
                <w:sz w:val="19"/>
                <w:szCs w:val="19"/>
                <w:color w:val="auto"/>
              </w:rPr>
            </w:pPr>
          </w:p>
        </w:tc>
      </w:tr>
      <w:tr>
        <w:trPr>
          <w:trHeight w:val="207"/>
        </w:trPr>
        <w:tc>
          <w:tcPr>
            <w:tcW w:w="200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7"/>
                <w:szCs w:val="17"/>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1,157,698</w:t>
            </w:r>
          </w:p>
        </w:tc>
        <w:tc>
          <w:tcPr>
            <w:tcW w:w="220" w:type="dxa"/>
            <w:vAlign w:val="bottom"/>
          </w:tcPr>
          <w:p>
            <w:pPr>
              <w:spacing w:after="0"/>
              <w:rPr>
                <w:sz w:val="17"/>
                <w:szCs w:val="17"/>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667,595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(710,820</w:t>
            </w:r>
          </w:p>
        </w:tc>
        <w:tc>
          <w:tcPr>
            <w:tcW w:w="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(220,717</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640" w:right="240" w:firstLine="7"/>
        <w:spacing w:after="0" w:line="277" w:lineRule="auto"/>
        <w:tabs>
          <w:tab w:leader="none" w:pos="1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grant-date fair value of equity awards as reported in the “Stock Awards” and “Option Awards” columns in the Summary Compensation Table for the applicable year.</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left="640" w:right="220" w:firstLine="7"/>
        <w:spacing w:after="0" w:line="262" w:lineRule="auto"/>
        <w:tabs>
          <w:tab w:leader="none" w:pos="13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were as set forth in the table below. The valuation assumptions used to calculate fair values did not materially differ from those disclosed at the time of grant. The amounts deducted or added in calculating the equity award adjustments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at the End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Value of</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the Prior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Dividend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142"/>
              <w:spacing w:after="0"/>
              <w:rPr>
                <w:sz w:val="20"/>
                <w:szCs w:val="20"/>
                <w:color w:val="auto"/>
              </w:rPr>
            </w:pPr>
            <w:r>
              <w:rPr>
                <w:rFonts w:ascii="Times New Roman" w:cs="Times New Roman" w:eastAsia="Times New Roman" w:hAnsi="Times New Roman"/>
                <w:sz w:val="18"/>
                <w:szCs w:val="18"/>
                <w:color w:val="auto"/>
                <w:w w:val="95"/>
              </w:rPr>
              <w:t>Year over Year</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Year End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Year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Equivalents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9"/>
              </w:rPr>
              <w:t>Change in fair</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Fair Value</w:t>
            </w: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Year over Year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Accrued or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2"/>
              </w:rPr>
              <w:t>Value of</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of Vested</w:t>
            </w: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Change in Fair</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5"/>
              </w:rPr>
              <w:t>Awards that</w:t>
            </w:r>
          </w:p>
        </w:tc>
        <w:tc>
          <w:tcPr>
            <w:tcW w:w="13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Earnings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Year End Fair</w:t>
            </w:r>
          </w:p>
        </w:tc>
        <w:tc>
          <w:tcPr>
            <w:tcW w:w="100" w:type="dxa"/>
            <w:vAlign w:val="bottom"/>
          </w:tcPr>
          <w:p>
            <w:pPr>
              <w:spacing w:after="0"/>
              <w:rPr>
                <w:sz w:val="18"/>
                <w:szCs w:val="18"/>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Equity</w:t>
            </w: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Value of 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Failed to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Paid on Stock</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 of Unvested</w:t>
            </w:r>
          </w:p>
        </w:tc>
        <w:tc>
          <w:tcPr>
            <w:tcW w:w="100" w:type="dxa"/>
            <w:vAlign w:val="bottom"/>
          </w:tcPr>
          <w:p>
            <w:pPr>
              <w:spacing w:after="0"/>
              <w:rPr>
                <w:sz w:val="18"/>
                <w:szCs w:val="18"/>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9"/>
              </w:rPr>
              <w:t>and Unvested</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Awards</w:t>
            </w: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Awards Granted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meet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Awards not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Equity Awards</w:t>
            </w:r>
          </w:p>
        </w:tc>
        <w:tc>
          <w:tcPr>
            <w:tcW w:w="1440" w:type="dxa"/>
            <w:vAlign w:val="bottom"/>
            <w:gridSpan w:val="3"/>
          </w:tcPr>
          <w:p>
            <w:pPr>
              <w:jc w:val="center"/>
              <w:ind w:right="142"/>
              <w:spacing w:after="0"/>
              <w:rPr>
                <w:sz w:val="20"/>
                <w:szCs w:val="20"/>
                <w:color w:val="auto"/>
              </w:rPr>
            </w:pPr>
            <w:r>
              <w:rPr>
                <w:rFonts w:ascii="Times New Roman" w:cs="Times New Roman" w:eastAsia="Times New Roman" w:hAnsi="Times New Roman"/>
                <w:sz w:val="18"/>
                <w:szCs w:val="18"/>
                <w:color w:val="auto"/>
                <w:w w:val="97"/>
              </w:rPr>
              <w:t>Equity Awards</w:t>
            </w:r>
          </w:p>
        </w:tc>
        <w:tc>
          <w:tcPr>
            <w:tcW w:w="14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Granted in</w:t>
            </w: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in Prior Years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Vesting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Otherwise</w:t>
            </w:r>
          </w:p>
        </w:tc>
        <w:tc>
          <w:tcPr>
            <w:tcW w:w="8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7"/>
              </w:rPr>
              <w:t>Total Equity</w:t>
            </w: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Granted in the</w:t>
            </w:r>
          </w:p>
        </w:tc>
        <w:tc>
          <w:tcPr>
            <w:tcW w:w="100" w:type="dxa"/>
            <w:vAlign w:val="bottom"/>
          </w:tcPr>
          <w:p>
            <w:pPr>
              <w:spacing w:after="0"/>
              <w:rPr>
                <w:sz w:val="18"/>
                <w:szCs w:val="18"/>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6"/>
              </w:rPr>
              <w:t>Granted in</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the Covered</w:t>
            </w: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that Vested in the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Conditions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Reflected in</w:t>
            </w:r>
          </w:p>
        </w:tc>
        <w:tc>
          <w:tcPr>
            <w:tcW w:w="8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7"/>
              </w:rPr>
              <w:t>Award</w:t>
            </w:r>
          </w:p>
        </w:tc>
      </w:tr>
      <w:tr>
        <w:trPr>
          <w:trHeight w:val="232"/>
        </w:trPr>
        <w:tc>
          <w:tcPr>
            <w:tcW w:w="17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Covered Year</w:t>
            </w:r>
          </w:p>
        </w:tc>
        <w:tc>
          <w:tcPr>
            <w:tcW w:w="100" w:type="dxa"/>
            <w:vAlign w:val="bottom"/>
          </w:tcPr>
          <w:p>
            <w:pPr>
              <w:spacing w:after="0"/>
              <w:rPr>
                <w:sz w:val="20"/>
                <w:szCs w:val="20"/>
                <w:color w:val="auto"/>
              </w:rPr>
            </w:pPr>
          </w:p>
        </w:tc>
        <w:tc>
          <w:tcPr>
            <w:tcW w:w="134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5"/>
              </w:rPr>
              <w:t>prior Years</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Year</w:t>
            </w:r>
          </w:p>
        </w:tc>
        <w:tc>
          <w:tcPr>
            <w:tcW w:w="1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Year</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4"/>
              </w:rPr>
              <w:t>in the Year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80" w:type="dxa"/>
            <w:vAlign w:val="bottom"/>
          </w:tcPr>
          <w:p>
            <w:pPr>
              <w:spacing w:after="0"/>
              <w:rPr>
                <w:sz w:val="20"/>
                <w:szCs w:val="20"/>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8"/>
              </w:rPr>
              <w:t>Adjustments</w:t>
            </w:r>
          </w:p>
        </w:tc>
      </w:tr>
      <w:tr>
        <w:trPr>
          <w:trHeight w:val="220"/>
        </w:trPr>
        <w:tc>
          <w:tcPr>
            <w:tcW w:w="1680" w:type="dxa"/>
            <w:vAlign w:val="bottom"/>
            <w:tcBorders>
              <w:top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717,652</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566,768</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123,927</w:t>
            </w: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1,519,011</w:t>
            </w:r>
          </w:p>
        </w:tc>
        <w:tc>
          <w:tcPr>
            <w:tcW w:w="80" w:type="dxa"/>
            <w:vAlign w:val="bottom"/>
            <w:tcBorders>
              <w:top w:val="single" w:sz="8" w:color="CCEEFF"/>
            </w:tcBorders>
            <w:shd w:val="clear" w:color="auto" w:fill="CCEEFF"/>
          </w:tcPr>
          <w:p>
            <w:pPr>
              <w:spacing w:after="0"/>
              <w:rPr>
                <w:sz w:val="19"/>
                <w:szCs w:val="19"/>
                <w:color w:val="auto"/>
              </w:rPr>
            </w:pPr>
          </w:p>
        </w:tc>
      </w:tr>
      <w:tr>
        <w:trPr>
          <w:trHeight w:val="207"/>
        </w:trPr>
        <w:tc>
          <w:tcPr>
            <w:tcW w:w="16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(981,931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271,111</w:t>
            </w:r>
          </w:p>
        </w:tc>
        <w:tc>
          <w:tcPr>
            <w:tcW w:w="220" w:type="dxa"/>
            <w:vAlign w:val="bottom"/>
          </w:tcPr>
          <w:p>
            <w:pPr>
              <w:spacing w:after="0"/>
              <w:rPr>
                <w:sz w:val="17"/>
                <w:szCs w:val="17"/>
                <w:color w:val="auto"/>
              </w:rPr>
            </w:pPr>
          </w:p>
        </w:tc>
        <w:tc>
          <w:tcPr>
            <w:tcW w:w="820" w:type="dxa"/>
            <w:vAlign w:val="bottom"/>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(710,820</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0" w:firstLine="7"/>
        <w:spacing w:after="0" w:line="262" w:lineRule="auto"/>
        <w:tabs>
          <w:tab w:leader="none" w:pos="7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of the amounts reported for our Named Executive Officers as a group (excluding our CEO) in the “Total” column of the Summary Compensation Table in each applicable year. The Named Executive Officers included for purposes of calculating the average amounts are Mr. Rubin and Mr. Naos.</w:t>
      </w:r>
    </w:p>
    <w:p>
      <w:pPr>
        <w:spacing w:after="0" w:line="176" w:lineRule="exact"/>
        <w:rPr>
          <w:rFonts w:ascii="Times New Roman" w:cs="Times New Roman" w:eastAsia="Times New Roman" w:hAnsi="Times New Roman"/>
          <w:sz w:val="18"/>
          <w:szCs w:val="18"/>
          <w:color w:val="auto"/>
        </w:rPr>
      </w:pPr>
    </w:p>
    <w:p>
      <w:pPr>
        <w:ind w:right="80" w:firstLine="7"/>
        <w:spacing w:after="0" w:line="257" w:lineRule="auto"/>
        <w:tabs>
          <w:tab w:leader="none" w:pos="7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“compensation actually paid” to the Named Executive Officers identified in footnote 3, as computed in accordance with SEC rules. The dollar amounts do not reflect the actual amount of compensation earned by or paid to the Named Executive Officers during the applicable year. In accordance with the SEC rules, the following adjustments were made to average total compensation for the Named Executive Officers or each year to determine the compensation actually paid: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Average Reported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Summary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Less: Summary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Equals: Average</w:t>
            </w:r>
          </w:p>
        </w:tc>
      </w:tr>
      <w:tr>
        <w:trPr>
          <w:trHeight w:val="213"/>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Compensation</w:t>
            </w: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6"/>
              </w:rPr>
              <w:t>Compensation Table 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6"/>
              </w:rPr>
              <w:t>Plus: 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Compensation</w:t>
            </w:r>
          </w:p>
        </w:tc>
      </w:tr>
      <w:tr>
        <w:trPr>
          <w:trHeight w:val="213"/>
        </w:trPr>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Table Total for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Reported Value of</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6"/>
              </w:rPr>
              <w:t>Equity Award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Actually Paid to</w:t>
            </w:r>
          </w:p>
        </w:tc>
      </w:tr>
      <w:tr>
        <w:trPr>
          <w:trHeight w:val="232"/>
        </w:trPr>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Year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Other NEOs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Equity Awards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42"/>
              <w:spacing w:after="0"/>
              <w:rPr>
                <w:sz w:val="20"/>
                <w:szCs w:val="20"/>
                <w:color w:val="auto"/>
              </w:rPr>
            </w:pPr>
            <w:r>
              <w:rPr>
                <w:rFonts w:ascii="Times New Roman" w:cs="Times New Roman" w:eastAsia="Times New Roman" w:hAnsi="Times New Roman"/>
                <w:sz w:val="18"/>
                <w:szCs w:val="18"/>
                <w:color w:val="auto"/>
                <w:w w:val="98"/>
              </w:rPr>
              <w:t>Adjustments (a)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Other NEOs</w:t>
            </w:r>
          </w:p>
        </w:tc>
      </w:tr>
      <w:tr>
        <w:trPr>
          <w:trHeight w:val="220"/>
        </w:trPr>
        <w:tc>
          <w:tcPr>
            <w:tcW w:w="1540" w:type="dxa"/>
            <w:vAlign w:val="bottom"/>
            <w:tcBorders>
              <w:top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795,773</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183,933</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467,146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1,078,986</w:t>
            </w:r>
          </w:p>
        </w:tc>
        <w:tc>
          <w:tcPr>
            <w:tcW w:w="80" w:type="dxa"/>
            <w:vAlign w:val="bottom"/>
            <w:tcBorders>
              <w:top w:val="single" w:sz="8" w:color="CCEEFF"/>
            </w:tcBorders>
            <w:shd w:val="clear" w:color="auto" w:fill="CCEEFF"/>
          </w:tcPr>
          <w:p>
            <w:pPr>
              <w:spacing w:after="0"/>
              <w:rPr>
                <w:sz w:val="19"/>
                <w:szCs w:val="19"/>
                <w:color w:val="auto"/>
              </w:rPr>
            </w:pPr>
          </w:p>
        </w:tc>
      </w:tr>
      <w:tr>
        <w:trPr>
          <w:trHeight w:val="207"/>
        </w:trPr>
        <w:tc>
          <w:tcPr>
            <w:tcW w:w="15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671,056</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266,777</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(303,270</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80" w:type="dxa"/>
            <w:vAlign w:val="bottom"/>
          </w:tcPr>
          <w:p>
            <w:pPr>
              <w:spacing w:after="0"/>
              <w:rPr>
                <w:sz w:val="17"/>
                <w:szCs w:val="17"/>
                <w:color w:val="auto"/>
              </w:rPr>
            </w:pPr>
          </w:p>
        </w:tc>
      </w:tr>
    </w:tbl>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amounts deducted or added in calculating the total average equity award adjustments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Year over</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Fair Value at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Average Value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5"/>
              </w:rPr>
              <w:t>Average Year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Year Average</w:t>
            </w:r>
          </w:p>
        </w:tc>
        <w:tc>
          <w:tcPr>
            <w:tcW w:w="8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the End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Dividend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5"/>
              </w:rPr>
              <w:t>Year over Year</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End Fair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Change in</w:t>
            </w:r>
          </w:p>
        </w:tc>
        <w:tc>
          <w:tcPr>
            <w:tcW w:w="8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the Prior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Equivalents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5"/>
              </w:rPr>
              <w:t>Average</w:t>
            </w:r>
          </w:p>
        </w:tc>
        <w:tc>
          <w:tcPr>
            <w:tcW w:w="1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Value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Fair Value of</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Year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or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Average Year End</w:t>
            </w: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9"/>
              </w:rPr>
              <w:t>Change in fair</w:t>
            </w:r>
          </w:p>
        </w:tc>
        <w:tc>
          <w:tcPr>
            <w:tcW w:w="22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Vested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Equity</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Earnings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Fair Value of</w:t>
            </w: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2"/>
              </w:rPr>
              <w:t>Value of</w:t>
            </w:r>
          </w:p>
        </w:tc>
        <w:tc>
          <w:tcPr>
            <w:tcW w:w="22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6"/>
              </w:rPr>
              <w:t>Awards</w:t>
            </w: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Awards that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 on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Unvested Equity</w:t>
            </w: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9"/>
              </w:rPr>
              <w:t>Outstanding and</w:t>
            </w:r>
          </w:p>
        </w:tc>
        <w:tc>
          <w:tcPr>
            <w:tcW w:w="220" w:type="dxa"/>
            <w:vAlign w:val="bottom"/>
          </w:tcPr>
          <w:p>
            <w:pPr>
              <w:spacing w:after="0"/>
              <w:rPr>
                <w:sz w:val="18"/>
                <w:szCs w:val="18"/>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Granted in</w:t>
            </w: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Failed to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Awards not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Awards Granted</w:t>
            </w:r>
          </w:p>
        </w:tc>
        <w:tc>
          <w:tcPr>
            <w:tcW w:w="2060" w:type="dxa"/>
            <w:vAlign w:val="bottom"/>
            <w:gridSpan w:val="4"/>
          </w:tcPr>
          <w:p>
            <w:pPr>
              <w:jc w:val="center"/>
              <w:ind w:right="191"/>
              <w:spacing w:after="0"/>
              <w:rPr>
                <w:sz w:val="20"/>
                <w:szCs w:val="20"/>
                <w:color w:val="auto"/>
              </w:rPr>
            </w:pPr>
            <w:r>
              <w:rPr>
                <w:rFonts w:ascii="Times New Roman" w:cs="Times New Roman" w:eastAsia="Times New Roman" w:hAnsi="Times New Roman"/>
                <w:sz w:val="18"/>
                <w:szCs w:val="18"/>
                <w:color w:val="auto"/>
                <w:w w:val="98"/>
              </w:rPr>
              <w:t>Unvested Equity Awards</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Granted in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Prior Years</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meet Vesting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Otherwise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6"/>
              </w:rPr>
              <w:t>Total Average</w:t>
            </w:r>
          </w:p>
        </w:tc>
      </w:tr>
      <w:tr>
        <w:trPr>
          <w:trHeight w:val="213"/>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 the Covered</w:t>
            </w:r>
          </w:p>
        </w:tc>
        <w:tc>
          <w:tcPr>
            <w:tcW w:w="200" w:type="dxa"/>
            <w:vAlign w:val="bottom"/>
          </w:tcPr>
          <w:p>
            <w:pPr>
              <w:spacing w:after="0"/>
              <w:rPr>
                <w:sz w:val="18"/>
                <w:szCs w:val="18"/>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8"/>
              </w:rPr>
              <w:t>Granted in prior</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the Covered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that Vested in</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Conditions 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Reflected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8"/>
              </w:rPr>
              <w:t>Equity Award</w:t>
            </w:r>
          </w:p>
        </w:tc>
      </w:tr>
      <w:tr>
        <w:trPr>
          <w:trHeight w:val="232"/>
        </w:trPr>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Year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1"/>
              </w:rPr>
              <w:t>Year</w:t>
            </w:r>
          </w:p>
        </w:tc>
        <w:tc>
          <w:tcPr>
            <w:tcW w:w="200" w:type="dxa"/>
            <w:vAlign w:val="bottom"/>
          </w:tcPr>
          <w:p>
            <w:pPr>
              <w:spacing w:after="0"/>
              <w:rPr>
                <w:sz w:val="20"/>
                <w:szCs w:val="20"/>
                <w:color w:val="auto"/>
              </w:rPr>
            </w:pPr>
          </w:p>
        </w:tc>
        <w:tc>
          <w:tcPr>
            <w:tcW w:w="1860" w:type="dxa"/>
            <w:vAlign w:val="bottom"/>
            <w:gridSpan w:val="3"/>
          </w:tcPr>
          <w:p>
            <w:pPr>
              <w:jc w:val="center"/>
              <w:ind w:right="391"/>
              <w:spacing w:after="0"/>
              <w:rPr>
                <w:sz w:val="20"/>
                <w:szCs w:val="20"/>
                <w:color w:val="auto"/>
              </w:rPr>
            </w:pPr>
            <w:r>
              <w:rPr>
                <w:rFonts w:ascii="Times New Roman" w:cs="Times New Roman" w:eastAsia="Times New Roman" w:hAnsi="Times New Roman"/>
                <w:sz w:val="18"/>
                <w:szCs w:val="18"/>
                <w:color w:val="auto"/>
                <w:w w:val="90"/>
              </w:rPr>
              <w:t>Years</w:t>
            </w:r>
          </w:p>
        </w:tc>
        <w:tc>
          <w:tcPr>
            <w:tcW w:w="22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1"/>
              </w:rPr>
              <w:t>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the Year</w:t>
            </w:r>
          </w:p>
        </w:tc>
        <w:tc>
          <w:tcPr>
            <w:tcW w:w="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the Year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Fair 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01"/>
              <w:spacing w:after="0"/>
              <w:rPr>
                <w:sz w:val="20"/>
                <w:szCs w:val="20"/>
                <w:color w:val="auto"/>
              </w:rPr>
            </w:pPr>
            <w:r>
              <w:rPr>
                <w:rFonts w:ascii="Times New Roman" w:cs="Times New Roman" w:eastAsia="Times New Roman" w:hAnsi="Times New Roman"/>
                <w:sz w:val="18"/>
                <w:szCs w:val="18"/>
                <w:color w:val="auto"/>
                <w:w w:val="98"/>
              </w:rPr>
              <w:t>Adjustments</w:t>
            </w:r>
          </w:p>
        </w:tc>
      </w:tr>
      <w:tr>
        <w:trPr>
          <w:trHeight w:val="220"/>
        </w:trPr>
        <w:tc>
          <w:tcPr>
            <w:tcW w:w="9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330,120</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67, 913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467,146</w:t>
            </w:r>
          </w:p>
        </w:tc>
        <w:tc>
          <w:tcPr>
            <w:tcW w:w="40" w:type="dxa"/>
            <w:vAlign w:val="bottom"/>
            <w:tcBorders>
              <w:top w:val="single" w:sz="8" w:color="CCEEFF"/>
            </w:tcBorders>
            <w:shd w:val="clear" w:color="auto" w:fill="CCEEFF"/>
          </w:tcPr>
          <w:p>
            <w:pPr>
              <w:spacing w:after="0"/>
              <w:rPr>
                <w:sz w:val="19"/>
                <w:szCs w:val="19"/>
                <w:color w:val="auto"/>
              </w:rPr>
            </w:pPr>
          </w:p>
        </w:tc>
      </w:tr>
      <w:tr>
        <w:trPr>
          <w:trHeight w:val="207"/>
        </w:trPr>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(352,159</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2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(303,270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firstLine="7"/>
        <w:spacing w:after="0" w:line="277" w:lineRule="auto"/>
        <w:tabs>
          <w:tab w:leader="none" w:pos="7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the value of a $100 investment in our common stock calculated by dividing the difference between our share price at the end of each year shown and the beginning of the measurement period by our share price at the beginning of the measurement period.</w:t>
      </w:r>
    </w:p>
    <w:p>
      <w:pPr>
        <w:spacing w:after="0" w:line="162" w:lineRule="exact"/>
        <w:rPr>
          <w:rFonts w:ascii="Times New Roman" w:cs="Times New Roman" w:eastAsia="Times New Roman" w:hAnsi="Times New Roman"/>
          <w:sz w:val="18"/>
          <w:szCs w:val="18"/>
          <w:color w:val="auto"/>
        </w:rPr>
      </w:pPr>
    </w:p>
    <w:p>
      <w:pPr>
        <w:ind w:right="520" w:firstLine="7"/>
        <w:spacing w:after="0" w:line="277" w:lineRule="auto"/>
        <w:tabs>
          <w:tab w:leader="none" w:pos="7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our Consolidated Statements of Income included in our Annual Report on Form 10-K for the applicable year.</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Company Total Shareholder Return (“TSR”) and Net Income (Loss)</w:t>
      </w:r>
    </w:p>
    <w:p>
      <w:pPr>
        <w:spacing w:after="0" w:line="224"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Compensation actually paid to Mr. Bashan during the year ended December 31, 2022 was approximately $2.0 million, an increase of approximately $2.2 million from approximately a negative $0.2 million for the same period of 2021. Average compensation actually paid to our Non-CEO Named Executive Officers during the year ended December 31, 2022 was approximately $1.1 million, an increase of approximately $1.0 million from approximately $0.1 million for the same period of 2021. For the year ended December 31, 2022, our TSR was $37.74, an increase of 65.0%, compared to TSR of $22.87 for the year ended December 31, 2021. Our net loss decreased from $27.6 million to $6.5 million over the same period.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135" w:gutter="0" w:footer="0" w:header="0"/>
        </w:sectPr>
      </w:pPr>
    </w:p>
    <w:bookmarkStart w:id="25" w:name="page26"/>
    <w:bookmarkEnd w:id="25"/>
    <w:p>
      <w:pPr>
        <w:ind w:right="40" w:firstLine="640"/>
        <w:spacing w:after="0" w:line="266" w:lineRule="auto"/>
        <w:rPr>
          <w:sz w:val="20"/>
          <w:szCs w:val="20"/>
          <w:color w:val="auto"/>
        </w:rPr>
      </w:pPr>
      <w:r>
        <w:rPr>
          <w:rFonts w:ascii="Times New Roman" w:cs="Times New Roman" w:eastAsia="Times New Roman" w:hAnsi="Times New Roman"/>
          <w:sz w:val="17"/>
          <w:szCs w:val="17"/>
          <w:color w:val="auto"/>
        </w:rPr>
        <w:t>Compensation actually paid to Mr. Bashan and to our Non-CEO Named Executive Officers as a group does not correspond to our TSR or our net income (loss) over the two years presented in the above tables. Over the periods covered in this analysis, our Company’s focus has been primarily focused on the clinical and regulatory development of PRX-102 and, accordingly, we do not use TSR or net income (loss) as a performance measure for the determination of executive compensation. In the year ended December 31, 2021, our Company elected not to pay any bonuses as compensation for the year ended December 31, 2020, despite obligations to do so. In the year ended December 31, 2022, given the clinical and regulatory advancement for PRX-102, our product under development for the proposed treatment of Fabry disease, and given the improvement in our liquidity position, we elected to award to Mr. Bashan and to our Non-CEO Named Executive Officers increased compensation, in part to compensate them for their efforts during 2020. Particularly for Mr. Bashan but also for the Non-CEO Named Executive Officers, the compensation paid in 2022 focused more on equity grants as our Company elected to preserve cash. As the fair market value of equity grants increases as the market price of our common stock increases, the calculation of compensation actually paid with respect to equity grants increases as well. If PRX-102 is approved by the relevant regulators for marketing in the United States and the European Union, we except that TSR and net income (loss) may become appropriate performance measures for compensation of our executive officers.</w:t>
      </w:r>
    </w:p>
    <w:p>
      <w:pPr>
        <w:spacing w:after="0" w:line="177" w:lineRule="exact"/>
        <w:rPr>
          <w:sz w:val="20"/>
          <w:szCs w:val="20"/>
          <w:color w:val="auto"/>
        </w:rPr>
      </w:pPr>
    </w:p>
    <w:p>
      <w:pPr>
        <w:ind w:right="60" w:firstLine="356"/>
        <w:spacing w:after="0" w:line="263"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of our filings under the Securities Act of 1933 (the “Securities Act”) or the Exchange Act, whether made before or after the date hereof and irrespective of any general incorporation language in any such filing, except to the extent we specifically incorporate such information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Change-in-Control/Corporate Transaction</w:t>
      </w:r>
    </w:p>
    <w:p>
      <w:pPr>
        <w:spacing w:after="0" w:line="224"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Each of our Named Executive Officers (while they remain employed by the Company) is entitled to be insured by Protalix Ltd. under a Manager’s Policy in lieu of severance upon termination. The intention of such Manager’s Policies is to provide our officers with severance protection of one month’s salary for each year of employment. The following payments would be payable in connection with a change of control of the Company: $1.0 million to the President and Chief Executive Officer and $400,000 to each of the other Named Executive Officers, subject to certain terms and conditions. In addition to the foregoing, the vesting periods of outstanding options held by our Named Executive Officers are accelerated upon a change of control. Had we experienced a change of control on December 31, 2022, the value of the acceleration of the vesting period of the options and shares held by Mr. Bashan would have been $507,540; the value of the acceleration of the vesting period of the options and shares held by Mr. Rubin would have been $242,401 and the value of the acceleration of the vesting period of the options held by Mr. Naos would have been $108,375.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Dror Bashan. </w:t>
      </w:r>
      <w:r>
        <w:rPr>
          <w:rFonts w:ascii="Times New Roman" w:cs="Times New Roman" w:eastAsia="Times New Roman" w:hAnsi="Times New Roman"/>
          <w:sz w:val="18"/>
          <w:szCs w:val="18"/>
          <w:color w:val="auto"/>
        </w:rPr>
        <w:t>Pursuant to Mr. Bashan’s employment agreement, his current monthly base salary is NIS 95,000 (approximately $27,000 and</w:t>
      </w:r>
    </w:p>
    <w:p>
      <w:pPr>
        <w:spacing w:after="0" w:line="2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Mr. Bashan is entitled to an annual discretionary bonus subject to the sole discretion of our Board of Directors, to be determined on the basis of agreed-upon annual objectives which shall include both measurable and strategic parameters. He is also entitled to a one-time bonus of $1.0 million upon the occurrence of certain change of control transactions. The monthly salary is subject to cost of living adjustments from time to time as may be required by law. Mr. Bashan was granted an option award upon his employment and he is entitled to additional equity awards from time to time on a discretionary basis. Mr. Bashan’s employment agreement is terminable by the Company on 180 days’ written notice for any reason. Mr. Bashan may terminate the agreement on 90 days’ written notice for any reason during its term. We may terminate Mr. Bashan’s employment agreement for cause without notice. Mr. Bashan is entitled to be insured by the Company under a Manager’s Policy in lieu of severance, Company contributions towards vocational studies, annual recreational allowances, a company car, a company laptop and a company phone. Mr. Bashan is entitled to 25 working days of vacation.</w:t>
      </w:r>
    </w:p>
    <w:p>
      <w:pPr>
        <w:spacing w:after="0" w:line="1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Eyal Rubin. </w:t>
      </w:r>
      <w:r>
        <w:rPr>
          <w:rFonts w:ascii="Times New Roman" w:cs="Times New Roman" w:eastAsia="Times New Roman" w:hAnsi="Times New Roman"/>
          <w:sz w:val="18"/>
          <w:szCs w:val="18"/>
          <w:color w:val="auto"/>
        </w:rPr>
        <w:t>Pursuant to Mr. Rubin’s employment agreement, his current monthly base salary is NIS 80,000 (approximately $22,700) and</w:t>
      </w:r>
    </w:p>
    <w:p>
      <w:pPr>
        <w:spacing w:after="0" w:line="2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Mr. Rubin is entitled to an annual discretionary bonus subject to the sole discretion of our Board of Directors, to be determined on the basis of agreed-upon annual objectives which shall include both measurable and strategic parameters. He is also entitled to a one-time bonus of $400,000 upon the occurrence of certain change of control transactions. The monthly salary is subject to cost of living adjustments from time to time as may be required by law. Mr. Rubin was granted an option award upon his employment and he is entitled to additional equity awards from time to time on a discretionary basis. In addition, contingent upon certain conditions, Mr. Rubin is entitled to a grant of restricted stock units with an aggregate value of $100,000, on an annual basis. Additional equity awards may be granted from time to time on a discretionary basis. Mr. Rubin’s employment agreement is terminable by the Company on 180 days’ written notice for any reason. Mr. Rubin may terminate the agreement on 90 days’ written notice for any reason. We may terminate the Mr. Rubin’s employment agreement for cause without notice. Mr. Rubin is entitled to be insured by the Company under a Manager’s Policy in lieu of severance, Company contributions towards vocational studies, annual recreational allowances, a company car, a company laptop and a company phone. Mr. Rubin is entitled to 25 working days of vacation.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60"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Yaron Naos. </w:t>
      </w:r>
      <w:r>
        <w:rPr>
          <w:rFonts w:ascii="Times New Roman" w:cs="Times New Roman" w:eastAsia="Times New Roman" w:hAnsi="Times New Roman"/>
          <w:sz w:val="18"/>
          <w:szCs w:val="18"/>
          <w:color w:val="auto"/>
        </w:rPr>
        <w:t>Mr. Naos’ current monthly base salary is NIS 65,550 (approximately $18,600) and he is entitled to an annual discretionary bonus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subject to the sole discretion of our Compensation Committee. The monthly salary is subject to cost of living adjustments from time to time as may be required by law. In addition, vesting of all of Mr. Naos’ options and restricted shares will be accelerated in full upon a Corporate Transaction or a Change in Control, as those terms are defined in our Plan. Mr. Naos’ employment is terminable by either party on 60 days’ written notice for any reason and we may terminate the agreement for cause without notice. Mr. Naos is entitled to be insured by the Company under a Manager’s Policy in lieu of severance, Company contributions towards vocational studies, annual recreational allowances, a company car, a company phone, a company laptop and a company phone. Mr. Naos is entitled to 29 working days of vacation.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2006 Stock Incentive Plan</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and our stockholders initially approved our Plan on December 14, 2006. Since its initial approval, our stockholders have approved amendments to the plan five times, the last time being on June 30, 2022. Of the 8,475,171 shares reserved for issuance under the Plan, as amended, as of December 31, 2022, there are outstanding options to purchase 5,519,315 shares of our common stock in the aggregate, subject to adjustment for a stock split or any future stock dividend or other similar change in our common stock or our capital structure. As of December 31, 2022, options to acquire 136,738 shares of common stock remain available for grant under the amended Plan.</w:t>
      </w:r>
    </w:p>
    <w:p>
      <w:pPr>
        <w:spacing w:after="0" w:line="18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Our amended Plan provides for the grant of stock options, restricted stock, restricted stock units, stock appreciation rights and dividend equivalent rights, collectively referred to as “awards.” Stock options granted under the amended Plan may be either incentive stock options under the provisions of Section 422 of the IRC, or non-qualified stock options. Incentive stock options may be granted only to employees. Awards other than incentive stock options may be granted to employees, directors and consultants. Shares issued in connection with awards other than options or stock appreciation rights shall count as one and one-half (1.5) shares for each share issued for purposes of the number of shares authorized for issuance under the plan.</w:t>
      </w:r>
    </w:p>
    <w:p>
      <w:pPr>
        <w:spacing w:after="0" w:line="186" w:lineRule="exact"/>
        <w:rPr>
          <w:sz w:val="20"/>
          <w:szCs w:val="20"/>
          <w:color w:val="auto"/>
        </w:rPr>
      </w:pPr>
    </w:p>
    <w:p>
      <w:pPr>
        <w:ind w:right="200" w:firstLine="640"/>
        <w:spacing w:after="0" w:line="273" w:lineRule="auto"/>
        <w:rPr>
          <w:sz w:val="20"/>
          <w:szCs w:val="20"/>
          <w:color w:val="auto"/>
        </w:rPr>
      </w:pPr>
      <w:r>
        <w:rPr>
          <w:rFonts w:ascii="Times New Roman" w:cs="Times New Roman" w:eastAsia="Times New Roman" w:hAnsi="Times New Roman"/>
          <w:sz w:val="17"/>
          <w:szCs w:val="17"/>
          <w:color w:val="auto"/>
        </w:rPr>
        <w:t>The amended Plan is also designed to comply with the provisions of the Israeli Income Tax Ordinance New Version, 1961 (including as amended pursuant to Amendment 132 thereto), or the Tax Ordinance, and is intended to enable us to grant awards to grantees who are Israeli residents as follows:</w:t>
      </w:r>
    </w:p>
    <w:p>
      <w:pPr>
        <w:spacing w:after="0" w:line="1" w:lineRule="exact"/>
        <w:rPr>
          <w:sz w:val="20"/>
          <w:szCs w:val="20"/>
          <w:color w:val="auto"/>
        </w:rPr>
      </w:pPr>
    </w:p>
    <w:p>
      <w:pPr>
        <w:ind w:right="120" w:firstLine="7"/>
        <w:spacing w:after="0" w:line="250" w:lineRule="auto"/>
        <w:tabs>
          <w:tab w:leader="none" w:pos="2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employees pursuant to Section 102 of the Tax Ordinance; and (ii) awards to non-employees pursuant to Section 3(I) of the Tax Ordinance. For this purpose, “employee” refers only to employees, office holders and directors of the Company or a related entity excluding those who are considered “Controlling Stockholders” pursuant to, or otherwise excluded by, the Tax Ordinance. In accordance with the terms and conditions imposed by the Tax Ordinance, grantees who receive awards under the amended Plan may be afforded certain tax benefits in Israel as described below.</w:t>
      </w:r>
    </w:p>
    <w:p>
      <w:pPr>
        <w:spacing w:after="0" w:line="186" w:lineRule="exact"/>
        <w:rPr>
          <w:sz w:val="20"/>
          <w:szCs w:val="20"/>
          <w:color w:val="auto"/>
        </w:rPr>
      </w:pPr>
    </w:p>
    <w:p>
      <w:pPr>
        <w:ind w:right="500" w:firstLine="640"/>
        <w:spacing w:after="0" w:line="262" w:lineRule="auto"/>
        <w:rPr>
          <w:sz w:val="20"/>
          <w:szCs w:val="20"/>
          <w:color w:val="auto"/>
        </w:rPr>
      </w:pPr>
      <w:r>
        <w:rPr>
          <w:rFonts w:ascii="Times New Roman" w:cs="Times New Roman" w:eastAsia="Times New Roman" w:hAnsi="Times New Roman"/>
          <w:sz w:val="18"/>
          <w:szCs w:val="18"/>
          <w:color w:val="auto"/>
        </w:rPr>
        <w:t>Our Board of Directors or the Compensation Committee, referred to as the “plan administrator,” will administer our amended Plan, including selecting the grantees, determining the number of shares to be subject to each award, determining the exercise or purchase price of each award, and determining the vesting and exercise periods of each award.</w:t>
      </w:r>
    </w:p>
    <w:p>
      <w:pPr>
        <w:spacing w:after="0" w:line="176" w:lineRule="exact"/>
        <w:rPr>
          <w:sz w:val="20"/>
          <w:szCs w:val="20"/>
          <w:color w:val="auto"/>
        </w:rPr>
      </w:pPr>
    </w:p>
    <w:p>
      <w:pPr>
        <w:ind w:right="100" w:firstLine="640"/>
        <w:spacing w:after="0" w:line="266" w:lineRule="auto"/>
        <w:rPr>
          <w:sz w:val="20"/>
          <w:szCs w:val="20"/>
          <w:color w:val="auto"/>
        </w:rPr>
      </w:pPr>
      <w:r>
        <w:rPr>
          <w:rFonts w:ascii="Times New Roman" w:cs="Times New Roman" w:eastAsia="Times New Roman" w:hAnsi="Times New Roman"/>
          <w:sz w:val="17"/>
          <w:szCs w:val="17"/>
          <w:color w:val="auto"/>
        </w:rPr>
        <w:t>The exercise price of stock options granted under the Plan must be equal to at least 100% of the fair market value of our common stock on the date of grant; however, in certain circumstances, grants may be made at a lower price to Israeli grantees who are residents of the State of Israel. If, however, incentive stock options are granted to an employee who owns stock possessing more than 10% of the voting power of all classes of our stock or the stock of any parent or subsidiary of the Company, the exercise price of any incentive stock option granted must equal at least 110% of the fair market value on the grant date and the maximum term of these incentive stock options must not exceed five years. The maximum term of all other awards must not exceed</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10 years (or five years in the case of an incentive stock option granted to any participant who owns stock representing more than 10% of the voting power of all classes of our stock or the stock of any parent or subsidiary of the Company). The plan administrator will determine the exercise or purchase price (if any) of all other awards granted under the amended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7" w:name="page28"/>
    <w:bookmarkEnd w:id="27"/>
    <w:p>
      <w:pPr>
        <w:ind w:right="80" w:firstLine="640"/>
        <w:spacing w:after="0" w:line="254" w:lineRule="auto"/>
        <w:rPr>
          <w:sz w:val="20"/>
          <w:szCs w:val="20"/>
          <w:color w:val="auto"/>
        </w:rPr>
      </w:pPr>
      <w:r>
        <w:rPr>
          <w:rFonts w:ascii="Times New Roman" w:cs="Times New Roman" w:eastAsia="Times New Roman" w:hAnsi="Times New Roman"/>
          <w:sz w:val="18"/>
          <w:szCs w:val="18"/>
          <w:color w:val="auto"/>
        </w:rPr>
        <w:t>Under the amended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to the extent and in the manner authorized by the plan administrator by gift or pursuant to a domestic relations order to members of the participant’s immediate family. The amended Plan permits the designation of beneficiaries by holders of awards, including incentive stock options.</w:t>
      </w:r>
    </w:p>
    <w:p>
      <w:pPr>
        <w:spacing w:after="0" w:line="186"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If the service of a participant in the amended Plan is terminated for any reason other than cause, the participant may exercise awards that were vested as of the termination date for a period ending upon the earlier of 12 months from the date of termination (or such shorter or longer period set forth in the award agreement) or the expiration date of the awards unless otherwise determined by the plan administrator. If the service of a participant in the amended Plan is terminated for cause, the participant may exercise awards that were vested as of the termination date for a period ending upon the earlier of 14 days from the date of termination (or such shorter or longer period set forth in the award agreement) or the expiration date of the awards unless otherwise determined by the plan administrator.</w:t>
      </w:r>
    </w:p>
    <w:p>
      <w:pPr>
        <w:spacing w:after="0" w:line="185"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all awards will terminate unless assumed by the successor corporation. Unless otherwise provided in a participant’s award agreement, in the event of a corporate transaction and with respect to the portion of each award that is assumed or replaced, then such portion will automatically become fully vested and exercisable immediately upon termination of a participant’s service if the participant is terminated by the successor company or us without cause within 12 months after the corporate transaction. With respect to the portion of each award that is not assumed or replaced, such portion will automatically become fully vested and exercisable immediately prior to the effective date of the corporate transaction so long as the participant’s service has not been terminated prior to such date.</w:t>
      </w:r>
    </w:p>
    <w:p>
      <w:pPr>
        <w:spacing w:after="0" w:line="185" w:lineRule="exact"/>
        <w:rPr>
          <w:sz w:val="20"/>
          <w:szCs w:val="20"/>
          <w:color w:val="auto"/>
        </w:rPr>
      </w:pPr>
    </w:p>
    <w:p>
      <w:pPr>
        <w:ind w:right="280" w:firstLine="640"/>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 In addition, the stock options and shares of restricted stock issued to each of our Named Executive Officers are subject to accelerated vesting immediately upon a corporate transaction or a change in control of the Company, as defined in our amended Plan.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our amended Plan, a corporate transaction is generally defined as:</w:t>
      </w:r>
    </w:p>
    <w:p>
      <w:pPr>
        <w:spacing w:after="0" w:line="220" w:lineRule="exact"/>
        <w:rPr>
          <w:sz w:val="20"/>
          <w:szCs w:val="20"/>
          <w:color w:val="auto"/>
        </w:rPr>
      </w:pPr>
    </w:p>
    <w:p>
      <w:pPr>
        <w:ind w:left="1360" w:hanging="713"/>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we are not the surviving entity, except for the principal purpose of changing the Company’s state of</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200"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our assets;</w:t>
      </w:r>
    </w:p>
    <w:p>
      <w:pPr>
        <w:spacing w:after="0" w:line="219"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19" w:lineRule="exact"/>
        <w:rPr>
          <w:rFonts w:ascii="Times New Roman" w:cs="Times New Roman" w:eastAsia="Times New Roman" w:hAnsi="Times New Roman"/>
          <w:sz w:val="18"/>
          <w:szCs w:val="18"/>
          <w:color w:val="auto"/>
        </w:rPr>
      </w:pPr>
    </w:p>
    <w:p>
      <w:pPr>
        <w:ind w:firstLine="647"/>
        <w:spacing w:after="0" w:line="257" w:lineRule="auto"/>
        <w:tabs>
          <w:tab w:leader="none" w:pos="13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8" w:name="page29"/>
    <w:bookmarkEnd w:id="28"/>
    <w:p>
      <w:pPr>
        <w:ind w:right="160" w:firstLine="647"/>
        <w:spacing w:after="0" w:line="254" w:lineRule="auto"/>
        <w:tabs>
          <w:tab w:leader="none" w:pos="13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in a single or series of related transactions by any person or related group of persons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state of incorporation).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our amended Plan, a change of control is defined as:</w:t>
      </w:r>
    </w:p>
    <w:p>
      <w:pPr>
        <w:spacing w:after="0" w:line="220" w:lineRule="exact"/>
        <w:rPr>
          <w:sz w:val="20"/>
          <w:szCs w:val="20"/>
          <w:color w:val="auto"/>
        </w:rPr>
      </w:pPr>
    </w:p>
    <w:p>
      <w:pPr>
        <w:ind w:right="60" w:firstLine="647"/>
        <w:spacing w:after="0" w:line="257" w:lineRule="auto"/>
        <w:tabs>
          <w:tab w:leader="none" w:pos="13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stockholders and which a majority of the members of our Board of Directors (who have generally been on our board for at least 12 months) who are not affiliates or associates of the offeror do not recommend stockholders accept the offer; or</w:t>
      </w:r>
    </w:p>
    <w:p>
      <w:pPr>
        <w:spacing w:after="0" w:line="180" w:lineRule="exact"/>
        <w:rPr>
          <w:rFonts w:ascii="Times New Roman" w:cs="Times New Roman" w:eastAsia="Times New Roman" w:hAnsi="Times New Roman"/>
          <w:sz w:val="18"/>
          <w:szCs w:val="18"/>
          <w:color w:val="auto"/>
        </w:rPr>
      </w:pPr>
    </w:p>
    <w:p>
      <w:pPr>
        <w:ind w:right="60" w:firstLine="647"/>
        <w:spacing w:after="0" w:line="262" w:lineRule="auto"/>
        <w:tabs>
          <w:tab w:leader="none" w:pos="13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of Directors over a period of 12 months or less, such that a majority of the members of our Board of Directors ceases, by reason of one or more contested elections for board membership, to be comprised of individuals who were previously directors of the Company.</w:t>
      </w:r>
    </w:p>
    <w:p>
      <w:pPr>
        <w:spacing w:after="0" w:line="176"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Unless terminated sooner, the amended Plan will automatically terminate on December 31, 2028. Our Board of Directors has the authority to amend, suspend or terminate our amended Plan. No amendment, suspension or termination of the amended Plan shall adversely affect any rights under awards already granted to a participant. To the extent necessary to comply with applicable provisions of federal securities laws, state corporate and securities laws, the IRC, the rules of any applicable stock exchange or national market system, and the rules of any non-U.S. jurisdiction applicable to awards granted to residents therein (including the Tax Ordinance), we shall obtain stockholder approval of any such amendment to the Plan in such a manner and to such a degree as required.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Israeli Tax Law</w:t>
      </w:r>
    </w:p>
    <w:p>
      <w:pPr>
        <w:spacing w:after="0" w:line="224" w:lineRule="exact"/>
        <w:rPr>
          <w:sz w:val="20"/>
          <w:szCs w:val="20"/>
          <w:color w:val="auto"/>
        </w:rPr>
      </w:pPr>
    </w:p>
    <w:p>
      <w:pPr>
        <w:ind w:right="480" w:firstLine="640"/>
        <w:spacing w:after="0" w:line="277" w:lineRule="auto"/>
        <w:rPr>
          <w:sz w:val="20"/>
          <w:szCs w:val="20"/>
          <w:color w:val="auto"/>
        </w:rPr>
      </w:pPr>
      <w:r>
        <w:rPr>
          <w:rFonts w:ascii="Times New Roman" w:cs="Times New Roman" w:eastAsia="Times New Roman" w:hAnsi="Times New Roman"/>
          <w:sz w:val="18"/>
          <w:szCs w:val="18"/>
          <w:color w:val="auto"/>
        </w:rPr>
        <w:t>The awards granted to employees pursuant to Section 102 of the Tax Ordinance under the amended Plan may be designated by us as approved options under the capital gains alternative, or as approved options under the ordinary income tax alternative.</w:t>
      </w:r>
    </w:p>
    <w:p>
      <w:pPr>
        <w:spacing w:after="0" w:line="163" w:lineRule="exact"/>
        <w:rPr>
          <w:sz w:val="20"/>
          <w:szCs w:val="20"/>
          <w:color w:val="auto"/>
        </w:rPr>
      </w:pPr>
    </w:p>
    <w:p>
      <w:pPr>
        <w:jc w:val="both"/>
        <w:ind w:right="160" w:firstLine="640"/>
        <w:spacing w:after="0" w:line="262" w:lineRule="auto"/>
        <w:rPr>
          <w:sz w:val="20"/>
          <w:szCs w:val="20"/>
          <w:color w:val="auto"/>
        </w:rPr>
      </w:pPr>
      <w:r>
        <w:rPr>
          <w:rFonts w:ascii="Times New Roman" w:cs="Times New Roman" w:eastAsia="Times New Roman" w:hAnsi="Times New Roman"/>
          <w:sz w:val="18"/>
          <w:szCs w:val="18"/>
          <w:color w:val="auto"/>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terms of the capital gains alternative, we may not deduct expenses pertaining to the options for tax purposes.</w:t>
      </w:r>
    </w:p>
    <w:p>
      <w:pPr>
        <w:spacing w:after="0" w:line="220"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Under the amended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 Under the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spacing w:after="0" w:line="186" w:lineRule="exact"/>
        <w:rPr>
          <w:sz w:val="20"/>
          <w:szCs w:val="20"/>
          <w:color w:val="auto"/>
        </w:rPr>
      </w:pPr>
    </w:p>
    <w:p>
      <w:pPr>
        <w:ind w:right="100" w:firstLine="640"/>
        <w:spacing w:after="0" w:line="257" w:lineRule="auto"/>
        <w:rPr>
          <w:sz w:val="20"/>
          <w:szCs w:val="20"/>
          <w:color w:val="auto"/>
        </w:rPr>
      </w:pPr>
      <w:r>
        <w:rPr>
          <w:rFonts w:ascii="Times New Roman" w:cs="Times New Roman" w:eastAsia="Times New Roman" w:hAnsi="Times New Roman"/>
          <w:sz w:val="18"/>
          <w:szCs w:val="18"/>
          <w:color w:val="auto"/>
        </w:rPr>
        <w:t>These options shall be further subject to the terms of the tax ruling that has been obtained by Protalix Ltd. from the Israeli tax authorities in connection with the merger. Under the tax ruling, the options issued by us in connection with the assumption of Section 102 options previously issued by Protalix Ltd. under the capital gains alternative shall be issued to a trustee, shall be designated under the capital gains alternative and the issuance date of the original options shall be deemed the issuance date for the assumed options for the calculation of the respective holding period.</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related party transactions are reviewed and approved by the Audit and Finance Committee, as required by the Audit and Finance Committee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w:t>
      </w:r>
    </w:p>
    <w:p>
      <w:pPr>
        <w:spacing w:after="0" w:line="201" w:lineRule="exact"/>
        <w:rPr>
          <w:sz w:val="20"/>
          <w:szCs w:val="20"/>
          <w:color w:val="auto"/>
        </w:rPr>
      </w:pPr>
    </w:p>
    <w:p>
      <w:pPr>
        <w:jc w:val="both"/>
        <w:ind w:right="40" w:firstLine="640"/>
        <w:spacing w:after="0" w:line="262" w:lineRule="auto"/>
        <w:rPr>
          <w:sz w:val="20"/>
          <w:szCs w:val="20"/>
          <w:color w:val="auto"/>
        </w:rPr>
      </w:pPr>
      <w:r>
        <w:rPr>
          <w:rFonts w:ascii="Times New Roman" w:cs="Times New Roman" w:eastAsia="Times New Roman" w:hAnsi="Times New Roman"/>
          <w:sz w:val="18"/>
          <w:szCs w:val="18"/>
          <w:color w:val="auto"/>
        </w:rPr>
        <w:t>There were no transactions during the last two fiscal years, or any currently proposed transaction, in which we were or are to be a participant and in which the amount involved exceeded or exceeds the lesser of $120,000 or one percent of the average of our total assets at year end for the last two completed fiscal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(the “Exchange Act”), except to the extent that we specifically incorporate it by reference into a document filed under the Securities Act of 1933 or the Exchange Act.</w:t>
      </w:r>
    </w:p>
    <w:p>
      <w:pPr>
        <w:spacing w:after="0" w:line="1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Audit and Finance Committee of our Board of Directors operates under a written charter adopted by our Board of Directors, and currently consists of Shmuel “Muli” Ben Zvi, Ph.D., Chairman of the Committee, Amos Bar Shalev and Aharon Schwartz, Ph.D. As described more fully in its charter, the Audit and Finance Committee provides oversight of the quality and integrity of our consolidated financial statements, internal controls and financial reporting process, and our process to manage business and financial risks and compliance with legal, ethical and regulatory requirements. In addition, the Audit and Finance Committee interacts directly with and evaluates the qualifications, independence and performance of the independent auditors, Kesselman &amp; Kesselman, and is responsible for the appointment, compensation, retention and oversight of the work of the auditors.</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the consolidated financial statements, and evaluation of and assessment of the effectiveness of our internal control over financial reporting. The independent auditors are responsible for performing an independent audit of the consolidated financial statements in accordance with the standards of the Public Company Accounting Oversight Board (the “PCAOB”). The Audit and Finance Committee’s responsibility is to monitor and oversee these processes.</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The Audit and Finance Committee has reviewed and discussed the audited consolidated financial statements with our Board of Directors and management. The Audit and Finance Committee has discussed with Kesselman &amp; Kesselman, Certified Public Accountant (lsr.), a member of PricewaterhouseCoopers International Limited (“Kesselman &amp; Kesselman”) the matters required to be discussed by the applicable requirements of the PCAOB and the U.S. Securities and Exchange Committee (“SEC”). The Audit and Finance Committee has received the written disclosures and the letter from Kesselman &amp; Kesselman required by applicable requirements of the PCAOB regarding the independent accountant’s communications with the Audit and Finance Committee concerning independence, and has discussed with Kesselman &amp; Kesselman that firm’s independence from our Company.</w:t>
      </w:r>
    </w:p>
    <w:p>
      <w:pPr>
        <w:spacing w:after="0" w:line="18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Based on the review and discussions of the audited consolidated financial statements and discussions with management and Kesselman &amp; Kesselman, the Audit and Finance Committee recommended to Board of Directors that the audited consolidated financial statements be included in our Annual Report on Form 10-K for the fiscal year ended December 31, 2022 for filing with the SEC.</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Respectfully submitted on April 30, 2023,</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Shmuel “Muli” Ben Zvi, Ph.D., Chairman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Amos Bar Shalev</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Aharon Schwartz, Ph.D.</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ADVISORY VOTE TO APPROVE EXECUTIVE COMPENSATION</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As required by Section 14A of the Exchange Act, we are providing our stockholders with the opportunity to vote to approve, on a non-binding, advisory basis, the compensation of our Named Executive Officers as disclosed in this proxy statement in accordance with the compensation disclosure rules of the SEC.</w:t>
      </w:r>
    </w:p>
    <w:p>
      <w:pPr>
        <w:spacing w:after="0" w:line="176" w:lineRule="exact"/>
        <w:rPr>
          <w:sz w:val="20"/>
          <w:szCs w:val="20"/>
          <w:color w:val="auto"/>
        </w:rPr>
      </w:pPr>
    </w:p>
    <w:p>
      <w:pPr>
        <w:ind w:right="40" w:firstLine="640"/>
        <w:spacing w:after="0" w:line="253" w:lineRule="auto"/>
        <w:rPr>
          <w:sz w:val="20"/>
          <w:szCs w:val="20"/>
          <w:color w:val="auto"/>
        </w:rPr>
      </w:pPr>
      <w:r>
        <w:rPr>
          <w:rFonts w:ascii="Times New Roman" w:cs="Times New Roman" w:eastAsia="Times New Roman" w:hAnsi="Times New Roman"/>
          <w:sz w:val="18"/>
          <w:szCs w:val="18"/>
          <w:color w:val="auto"/>
        </w:rPr>
        <w:t>We believe that the executive compensation program for the Named Executive Officers, as described in the “Management” section of this proxy statement, is based on a pay-for-performance culture and seeks to align the interests of our Named Executive Officers with the interests of our stockholders. We believe that our compensation programs are designed to reward our Named Executive Officers for the achievement of short-term and long-term strategic and operational goals and the achievement of increased total stockholder return, while at the same time creating a culture that focuses executives on prudent risk management and appropriately rewards them for performance. Our executive compensation program is also designed to be competitive with our peer companies, and seeks to enable us to attract and retain the best possible executive talent.</w:t>
      </w:r>
    </w:p>
    <w:p>
      <w:pPr>
        <w:spacing w:after="0" w:line="185" w:lineRule="exact"/>
        <w:rPr>
          <w:sz w:val="20"/>
          <w:szCs w:val="20"/>
          <w:color w:val="auto"/>
        </w:rPr>
      </w:pPr>
    </w:p>
    <w:p>
      <w:pPr>
        <w:ind w:right="180" w:firstLine="640"/>
        <w:spacing w:after="0" w:line="257" w:lineRule="auto"/>
        <w:rPr>
          <w:sz w:val="20"/>
          <w:szCs w:val="20"/>
          <w:color w:val="auto"/>
        </w:rPr>
      </w:pPr>
      <w:r>
        <w:rPr>
          <w:rFonts w:ascii="Times New Roman" w:cs="Times New Roman" w:eastAsia="Times New Roman" w:hAnsi="Times New Roman"/>
          <w:sz w:val="18"/>
          <w:szCs w:val="18"/>
          <w:color w:val="auto"/>
        </w:rPr>
        <w:t>We also believe that the extensive disclosure of compensation information provided in this proxy statement provides our stockholders the information they need to make an informed decision as they weigh the pay of the Named Executive Officers in relation to our performance. This “Say-on-Pay” proposal gives you the stockholder the opportunity to endorse or not endorse the compensation we paid to the Named Executive Officers through the resolution set forth below.</w:t>
      </w:r>
    </w:p>
    <w:p>
      <w:pPr>
        <w:spacing w:after="0" w:line="181" w:lineRule="exact"/>
        <w:rPr>
          <w:sz w:val="20"/>
          <w:szCs w:val="20"/>
          <w:color w:val="auto"/>
        </w:rPr>
      </w:pPr>
    </w:p>
    <w:p>
      <w:pPr>
        <w:ind w:left="320" w:right="680" w:firstLine="640"/>
        <w:spacing w:after="0" w:line="262"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Protalix BioTherapeutics, Inc., as disclosed pursuant to Item 402 of Regulation S-K, including the compensation tables and narrative discussion included in this proxy statement, is hereby APPROVED.”</w:t>
      </w:r>
    </w:p>
    <w:p>
      <w:pPr>
        <w:spacing w:after="0" w:line="176"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Because your vote is advisory, it will not be binding upon our Company, our Board of Directors or the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 Our Company, our Board of Directors, and the Compensation Committee will consider the outcome of the vote when evaluating future executive compensation arrangements for our named executive officers.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proposal is provided as required pursuant to Rule 14a-21(a) promulgated under the Exchange Act.</w:t>
      </w:r>
    </w:p>
    <w:p>
      <w:pPr>
        <w:spacing w:after="0" w:line="2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approval of the executive compensation as disclosed in this proxy statement and as described in this “Proposal 2: Advisory Vote to Approve Executive Compensation.”</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ON THE FREQUENCY OF AN</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1"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Pursuant to Section 14A of the Exchange Act we are providing our stockholders with the opportunity to vote, on a non-binding, advisory basis, for their preference as to how frequently we should seek future advisory votes on the compensation of our named executive officers as disclosed in accordance with the compensation disclosure rules of the SEC. By voting with respect to this proposal, stockholders may indicate whether they would prefer that we conduct future advisory votes on executive compensation once every one, two or three years. Stockholders also may, if they wish, abstain from casting a vote on this proposal.</w:t>
      </w:r>
    </w:p>
    <w:p>
      <w:pPr>
        <w:spacing w:after="0" w:line="18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an annual advisory vote on executive compensation is the most appropriate alternative for our company as it will allow our stockholders to provide timely and direct input on our executive compensation philosophy, policies and practices as disclosed in the proxy statement each year. Accordingly, our Board of Directors believes that an annual vote is consistent with our efforts to engage in an ongoing dialogue with our stockholders on executive compensation and corporate governance matters and therefore recommends that you vote for a one-year interval for the advisory vote on executive compensation.</w:t>
      </w:r>
    </w:p>
    <w:p>
      <w:pPr>
        <w:spacing w:after="0" w:line="186"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Because your vote is advisory, it will not be binding upon our Company, our Board of Directors or the Compensation Committee. We recognize that our stockholders may have different views as to the best approach for our company, and therefore looks forward to hearing from our stockholders as to their preferences on the frequency of an advisory vote on executive compensation. We, our Board of Directors and the Compensation Committee will take into account the outcome of the vote when considering the frequency of future advisory votes on executive compensation. Our Board of Directors may decide that it is in the best interests of our stockholders to hold an advisory vote on executive compensation more or less frequently than the frequency receiving the most votes cast by the stockholders.</w:t>
      </w:r>
    </w:p>
    <w:p>
      <w:pPr>
        <w:spacing w:after="0" w:line="185" w:lineRule="exact"/>
        <w:rPr>
          <w:sz w:val="20"/>
          <w:szCs w:val="20"/>
          <w:color w:val="auto"/>
        </w:rPr>
      </w:pPr>
    </w:p>
    <w:p>
      <w:pPr>
        <w:ind w:right="460" w:firstLine="640"/>
        <w:spacing w:after="0" w:line="277" w:lineRule="auto"/>
        <w:rPr>
          <w:sz w:val="20"/>
          <w:szCs w:val="20"/>
          <w:color w:val="auto"/>
        </w:rPr>
      </w:pPr>
      <w:r>
        <w:rPr>
          <w:rFonts w:ascii="Times New Roman" w:cs="Times New Roman" w:eastAsia="Times New Roman" w:hAnsi="Times New Roman"/>
          <w:sz w:val="18"/>
          <w:szCs w:val="18"/>
          <w:color w:val="auto"/>
        </w:rPr>
        <w:t>Stockholders may cast a vote on the preferred voting frequency by selecting the option of one year, two years, or three years (or abstain) when completing their proxy in response to the resolution set forth below.</w:t>
      </w:r>
    </w:p>
    <w:p>
      <w:pPr>
        <w:spacing w:after="0" w:line="163" w:lineRule="exact"/>
        <w:rPr>
          <w:sz w:val="20"/>
          <w:szCs w:val="20"/>
          <w:color w:val="auto"/>
        </w:rPr>
      </w:pPr>
    </w:p>
    <w:p>
      <w:pPr>
        <w:ind w:left="640" w:right="480"/>
        <w:spacing w:after="0" w:line="307" w:lineRule="auto"/>
        <w:rPr>
          <w:sz w:val="20"/>
          <w:szCs w:val="20"/>
          <w:color w:val="auto"/>
        </w:rPr>
      </w:pPr>
      <w:r>
        <w:rPr>
          <w:rFonts w:ascii="Times New Roman" w:cs="Times New Roman" w:eastAsia="Times New Roman" w:hAnsi="Times New Roman"/>
          <w:sz w:val="17"/>
          <w:szCs w:val="17"/>
          <w:color w:val="auto"/>
        </w:rPr>
        <w:t>“RESOLVED, that the stockholders determine, on an advisory basis, whether the preferred frequency of an advisory vote on the executive compensation of our named executive officers as set forth in our proxy statement should be every year, every two years, or every three years.”</w:t>
      </w:r>
    </w:p>
    <w:p>
      <w:pPr>
        <w:spacing w:after="0" w:line="140" w:lineRule="exact"/>
        <w:rPr>
          <w:sz w:val="20"/>
          <w:szCs w:val="20"/>
          <w:color w:val="auto"/>
        </w:rPr>
      </w:pPr>
    </w:p>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The proxy voting card provides stockholders with the opportunity to choose among four options (holding the vote every one, two, or three years, or abstain from voting) and, therefore stockholders will not be voting to approve or disapprove the recommendation of our Board of Directors.</w:t>
      </w:r>
    </w:p>
    <w:p>
      <w:pPr>
        <w:spacing w:after="0" w:line="159"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option of every year as the preferred frequency with which stockholders are provided with an advisory vote on executive compensation as described in this “Proposal 3: Advisory Vote on the Frequency of an Advisory Vote on Executive Compensation.”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center"/>
        <w:ind w:left="460" w:right="1560"/>
        <w:spacing w:after="0" w:line="258" w:lineRule="auto"/>
        <w:rPr>
          <w:sz w:val="20"/>
          <w:szCs w:val="20"/>
          <w:color w:val="auto"/>
        </w:rPr>
      </w:pPr>
      <w:r>
        <w:rPr>
          <w:rFonts w:ascii="Times New Roman" w:cs="Times New Roman" w:eastAsia="Times New Roman" w:hAnsi="Times New Roman"/>
          <w:sz w:val="18"/>
          <w:szCs w:val="18"/>
          <w:b w:val="1"/>
          <w:bCs w:val="1"/>
          <w:color w:val="auto"/>
        </w:rPr>
        <w:t>PROPOSAL 4: AMENDMENTS TO THE PROTALIX BIOTHERAPEUTICS, INC. 2006 STOCK INCENTIVE PLAN, AS AMENDED, TO INCREASE THE NUMBER OF AUTHORIZED SHARES OF COMMON STOCK RESERVED FOR ISSUANCE UNDER THE PLAN AND TO AMEND CERTAIN OTHER TERMS OF THE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We are asking our stockholders to approve an amendment to our amended 2006 Stock Incentive Plan, or the Existing Plan and, as amended, the Plan, so that we can continue to use the Plan in order to attract and retain key talent, encourage stock ownership by our employees, non-employee directors and consultants, better align with governance best practices. Our Board of Directors unanimously approved the proposed amendment to the Plan, subject to approval of our stockholders at the meeting. Approval of the Plan requires the affirmative vote of a majority of the outstanding shares of our common stock that are present in person or by proxy at the meeting and entitled to vote on this matter.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Changes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part of the proposed amendments to the Existing Plan, we propose to:</w:t>
      </w:r>
    </w:p>
    <w:p>
      <w:pPr>
        <w:spacing w:after="0" w:line="220" w:lineRule="exact"/>
        <w:rPr>
          <w:sz w:val="20"/>
          <w:szCs w:val="20"/>
          <w:color w:val="auto"/>
        </w:rPr>
      </w:pPr>
    </w:p>
    <w:p>
      <w:pPr>
        <w:ind w:left="1280" w:hanging="633"/>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of common stock reserved for issuance under the Existing Plan by 4,000,000 shares to 12,475,171 shares;</w:t>
      </w:r>
    </w:p>
    <w:p>
      <w:pPr>
        <w:spacing w:after="0" w:line="219" w:lineRule="exact"/>
        <w:rPr>
          <w:rFonts w:ascii="Times New Roman" w:cs="Times New Roman" w:eastAsia="Times New Roman" w:hAnsi="Times New Roman"/>
          <w:sz w:val="18"/>
          <w:szCs w:val="18"/>
          <w:color w:val="auto"/>
        </w:rPr>
      </w:pPr>
    </w:p>
    <w:p>
      <w:pPr>
        <w:ind w:left="1280" w:right="580" w:hanging="633"/>
        <w:spacing w:after="0" w:line="27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annual per person limits on the number of shares covered by awards of stock options and stock appreciation rights by 4,000,000 shares to 12,475,171 shares; and</w:t>
      </w:r>
    </w:p>
    <w:p>
      <w:pPr>
        <w:spacing w:after="0" w:line="162" w:lineRule="exact"/>
        <w:rPr>
          <w:rFonts w:ascii="Times New Roman" w:cs="Times New Roman" w:eastAsia="Times New Roman" w:hAnsi="Times New Roman"/>
          <w:sz w:val="18"/>
          <w:szCs w:val="18"/>
          <w:color w:val="auto"/>
        </w:rPr>
      </w:pPr>
    </w:p>
    <w:p>
      <w:pPr>
        <w:ind w:left="1280" w:right="400" w:hanging="633"/>
        <w:spacing w:after="0" w:line="27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per person limits on the number of shares covered by awards of restricted stock and restricted stock units intended to be “performance based compensation” by 4,000,000 shares to 12,475,171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on Code Section 162(m) Approval</w:t>
      </w:r>
    </w:p>
    <w:p>
      <w:pPr>
        <w:spacing w:after="0" w:line="224" w:lineRule="exact"/>
        <w:rPr>
          <w:sz w:val="20"/>
          <w:szCs w:val="20"/>
          <w:color w:val="auto"/>
        </w:rPr>
      </w:pPr>
    </w:p>
    <w:p>
      <w:pPr>
        <w:jc w:val="both"/>
        <w:ind w:right="100" w:firstLine="640"/>
        <w:spacing w:after="0" w:line="273" w:lineRule="auto"/>
        <w:rPr>
          <w:sz w:val="20"/>
          <w:szCs w:val="20"/>
          <w:color w:val="auto"/>
        </w:rPr>
      </w:pPr>
      <w:r>
        <w:rPr>
          <w:rFonts w:ascii="Times New Roman" w:cs="Times New Roman" w:eastAsia="Times New Roman" w:hAnsi="Times New Roman"/>
          <w:sz w:val="17"/>
          <w:szCs w:val="17"/>
          <w:color w:val="auto"/>
        </w:rPr>
        <w:t>We are also asking our stockholders to approve this amendment to the material terms of the Existing Plan so that we may grant awards under the Plan that are designed to qualify for the exception from the limits on corporate income tax deductions pursuant to Code Section 162(m). To the extent we grant such awards and they qualify for the exception, we may deduct for federal income tax purposes compensation in excess of $1.0 million that may be paid to certain executive officers in any single year. Compensation includes cash compensation and income arising from the exercise of nonstatutory stock options, as a result of the grant, vesting or settlement of other types of equity awards, and from disqualifying dispositions of incentive stock options.</w:t>
      </w:r>
    </w:p>
    <w:p>
      <w:pPr>
        <w:spacing w:after="0" w:line="169" w:lineRule="exact"/>
        <w:rPr>
          <w:sz w:val="20"/>
          <w:szCs w:val="20"/>
          <w:color w:val="auto"/>
        </w:rPr>
      </w:pPr>
    </w:p>
    <w:p>
      <w:pPr>
        <w:ind w:right="160" w:firstLine="640"/>
        <w:spacing w:after="0" w:line="262" w:lineRule="auto"/>
        <w:rPr>
          <w:sz w:val="20"/>
          <w:szCs w:val="20"/>
          <w:color w:val="auto"/>
        </w:rPr>
      </w:pPr>
      <w:r>
        <w:rPr>
          <w:rFonts w:ascii="Times New Roman" w:cs="Times New Roman" w:eastAsia="Times New Roman" w:hAnsi="Times New Roman"/>
          <w:sz w:val="18"/>
          <w:szCs w:val="18"/>
          <w:color w:val="auto"/>
        </w:rPr>
        <w:t>Under Code Section 162(m), no deduction is allowed in any taxable year of our Company for compensation in excess of $1.0 million paid to our “covered employees.” A “covered employee” is our chief executive officer and our three other most highly compensated officers, other than our chief financial officer.</w:t>
      </w:r>
    </w:p>
    <w:p>
      <w:pPr>
        <w:spacing w:after="0" w:line="176"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An exception to the $1.0 million limit under Code Section 162(m) applies to compensation that is paid to a covered employee pursuant to a stock incentive plan approved by stockholders and that specifies, among other things, the maximum number of shares with respect to which options and stock appreciation rights may be granted to eligible participants under such plan during a specified period. Compensation paid pursuant to options granted under such a plan and with an exercise price equal to the fair market value of common stock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or stock appreciation right is canceled, the canceled award shall continue to count against the maximum number of shares with respect to which an award may be granted to a participant. The Plan provides that the maximum number of shares with respect to which options and stock appreciation rights may be granted to a participant during a calendar year is 8,475,171 shares. The foregoing limitation shall be adjusted proportionately by the plan administrator in the event of a stock split, reverse stock split, stock dividend, combination or reclassification of shares or other similar change in our shares of common stock or our capital structure.</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33" w:name="page34"/>
    <w:bookmarkEnd w:id="33"/>
    <w:p>
      <w:pPr>
        <w:ind w:right="60" w:firstLine="640"/>
        <w:spacing w:after="0" w:line="269" w:lineRule="auto"/>
        <w:rPr>
          <w:sz w:val="20"/>
          <w:szCs w:val="20"/>
          <w:color w:val="auto"/>
        </w:rPr>
      </w:pPr>
      <w:r>
        <w:rPr>
          <w:rFonts w:ascii="Times New Roman" w:cs="Times New Roman" w:eastAsia="Times New Roman" w:hAnsi="Times New Roman"/>
          <w:sz w:val="17"/>
          <w:szCs w:val="17"/>
          <w:color w:val="auto"/>
        </w:rPr>
        <w:t>For awards of restricted stock and restricted stock units that are intended to be performance-based compensation under Section 162(m) of the Code, the maximum number of shares of common stock subject to such awards that may be granted to a participant during a calendar year is 8,475,171 shares. The foregoing limitation shall be adjusted proportionately by the plan administrator in the event of a stock split, reverse stock split, stock dividend, combination or reclassification of shares or other similar change in our shares or our capital structure. In order for restricted stock and restricted stock units to qualify as performance-based compensation, the plan administrator must establish a performance goal with respect to such award in writing not later than 90 days after the commencement of the services to which it relates (or, if earlier, the date after which 25% of the period of service to which the performance goal relates has elapsed) and while the outcome is substantially uncertain. In addition, the performance goal must be stated in terms of an objective formula or standard.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Plan includes the following performance criteria that may be considered by the plan administrator when granting performance-based awards:</w:t>
      </w:r>
    </w:p>
    <w:p>
      <w:pPr>
        <w:spacing w:after="0" w:line="25" w:lineRule="exact"/>
        <w:rPr>
          <w:sz w:val="20"/>
          <w:szCs w:val="20"/>
          <w:color w:val="auto"/>
        </w:rPr>
      </w:pPr>
    </w:p>
    <w:p>
      <w:pPr>
        <w:ind w:right="200" w:firstLine="7"/>
        <w:spacing w:after="0" w:line="247" w:lineRule="auto"/>
        <w:tabs>
          <w:tab w:leader="none" w:pos="2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share price, (ii) earnings per share; (iii) total stockholder return; (iv) operating margin; (v) gross margin; (vi) return on equity; (vii) return on assets; (viii) return on investment; (ix) operating income; (x) net operating income; (xi) pre-tax profit; (xii) cash flow; (xiii) revenue: (xiv) expenses;</w:t>
      </w:r>
    </w:p>
    <w:p>
      <w:pPr>
        <w:ind w:right="40" w:firstLine="7"/>
        <w:spacing w:after="0" w:line="249" w:lineRule="auto"/>
        <w:tabs>
          <w:tab w:leader="none" w:pos="3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 (xvi) economic value added; and (xvii) market share. The performance criteria may be applicable to our Company, any parent or subsidiary of our Company, and/or any individual business units of our Company or any parent or subsidiary of our Company. In addition, the performance criteria will be calculated in accordance with generally accepted accounting principles, excluding the effect (whether positive or negative) of any change in accounting standards and any extraordinary, unusual or nonrecurring item occurring after the establishment of the performance criteria applicable to the award.</w:t>
      </w:r>
    </w:p>
    <w:p>
      <w:pPr>
        <w:spacing w:after="0" w:line="188" w:lineRule="exact"/>
        <w:rPr>
          <w:sz w:val="20"/>
          <w:szCs w:val="20"/>
          <w:color w:val="auto"/>
        </w:rPr>
      </w:pPr>
    </w:p>
    <w:p>
      <w:pPr>
        <w:ind w:right="200" w:firstLine="640"/>
        <w:spacing w:after="0" w:line="277" w:lineRule="auto"/>
        <w:rPr>
          <w:sz w:val="20"/>
          <w:szCs w:val="20"/>
          <w:color w:val="auto"/>
        </w:rPr>
      </w:pPr>
      <w:r>
        <w:rPr>
          <w:rFonts w:ascii="Times New Roman" w:cs="Times New Roman" w:eastAsia="Times New Roman" w:hAnsi="Times New Roman"/>
          <w:sz w:val="18"/>
          <w:szCs w:val="18"/>
          <w:color w:val="auto"/>
        </w:rPr>
        <w:t>Stockholder approval of the Plan pursuant to this proposal will constitute stockholder approval of the material terms of the Plan, including the per person limitations on stock awards and the performance criteria described above, for Code Section 162(m) purposes.</w:t>
      </w:r>
    </w:p>
    <w:p>
      <w:pPr>
        <w:spacing w:after="0" w:line="163"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We believe strongly that approval of this amendment to the Existing Plan is essential to our success. Our employees are our most valuable asset. Stock options and the other awards permitted under the Plan are vital to our ability to attract and retain outstanding and highly skilled employees, especially in the competitive labor markets in which we operate. These awards also are crucial to our ability to motivate employees to achieve our goals. Our Board of Directors after reviewing the allocation of awards under the Plan has determined that it is in the best interest of our Company to increase the equity compensation granted to our current and future employees. The proposed terms of the Plan are designed to allow us to continue to attract, retain and motivate people whose skills and performance are critical to our success. We will continue to monitor the environment in which we operate and make changes to our equity compensation program to help us meet our goals, including achieving long-term stockholder value.</w:t>
      </w:r>
    </w:p>
    <w:p>
      <w:pPr>
        <w:spacing w:after="0" w:line="183" w:lineRule="exact"/>
        <w:rPr>
          <w:sz w:val="20"/>
          <w:szCs w:val="20"/>
          <w:color w:val="auto"/>
        </w:rPr>
      </w:pPr>
    </w:p>
    <w:p>
      <w:pPr>
        <w:jc w:val="both"/>
        <w:ind w:right="180"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adoption of the amendments to the Protalix BioTherapeutics, Inc. Amended and Restated 2006 Stock Incentive Plan described in this Proposal 4: Amendments to the Protalix BioTherapeutics, Inc. Amended and Restated 2006 Stock Incentive Plan to Increase the Number of Authorized Shares of Common Stock Reserved for Issuance under the Plan and to Amend Certain other Terms of the Plan.</w:t>
      </w:r>
    </w:p>
    <w:p>
      <w:pPr>
        <w:spacing w:after="0" w:line="181"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A general description of the principal terms of the Plan is set forth below. This description is qualified in its entirety by the terms of the Plan, a copy of which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640"/>
        <w:spacing w:after="0" w:line="257" w:lineRule="auto"/>
        <w:rPr>
          <w:sz w:val="20"/>
          <w:szCs w:val="20"/>
          <w:color w:val="auto"/>
        </w:rPr>
      </w:pPr>
      <w:r>
        <w:rPr>
          <w:rFonts w:ascii="Times New Roman" w:cs="Times New Roman" w:eastAsia="Times New Roman" w:hAnsi="Times New Roman"/>
          <w:sz w:val="18"/>
          <w:szCs w:val="18"/>
          <w:color w:val="auto"/>
        </w:rPr>
        <w:t>At December 31, 2022, there were outstanding under the Existing Plan options to purchase common stock issued covering 5,519,315 shares of our common stock with a weighted average exercise price of $2.28 per share and a weighted average remaining contractual life of 8.47 years. The outstanding options represent approximately 9.31% of our outstanding shares on an “as exercised” basis. As of December 31, 2022, we had 136,738 shares of common stock available for future issuance under the Existing Plan.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April 30, 2023, the fair market value of a share of our common stock was $2.78.</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with respect to the shares of our common stock that may be issued under our existing equity compensation plan.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B</w:t>
            </w:r>
          </w:p>
        </w:tc>
        <w:tc>
          <w:tcPr>
            <w:tcW w:w="27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C</w:t>
            </w:r>
          </w:p>
        </w:tc>
      </w:tr>
      <w:tr>
        <w:trPr>
          <w:trHeight w:val="184"/>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 Securities Remaining</w:t>
            </w:r>
          </w:p>
        </w:tc>
        <w:tc>
          <w:tcPr>
            <w:tcW w:w="100" w:type="dxa"/>
            <w:vAlign w:val="bottom"/>
          </w:tcPr>
          <w:p>
            <w:pPr>
              <w:spacing w:after="0"/>
              <w:rPr>
                <w:sz w:val="16"/>
                <w:szCs w:val="16"/>
                <w:color w:val="auto"/>
              </w:rPr>
            </w:pPr>
          </w:p>
        </w:tc>
      </w:tr>
      <w:tr>
        <w:trPr>
          <w:trHeight w:val="213"/>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r>
      <w:tr>
        <w:trPr>
          <w:trHeight w:val="213"/>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 Equity Compensation Plans</w:t>
            </w:r>
          </w:p>
        </w:tc>
      </w:tr>
      <w:tr>
        <w:trPr>
          <w:trHeight w:val="213"/>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Upon 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(Excluding Securities Reflected in</w:t>
            </w:r>
          </w:p>
        </w:tc>
      </w:tr>
      <w:tr>
        <w:trPr>
          <w:trHeight w:val="23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Outstanding 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Column A)</w:t>
            </w:r>
          </w:p>
        </w:tc>
      </w:tr>
      <w:tr>
        <w:trPr>
          <w:trHeight w:val="207"/>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5,519,315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136,738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5,519,315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136,738</w:t>
            </w:r>
          </w:p>
        </w:tc>
      </w:tr>
      <w:tr>
        <w:trPr>
          <w:trHeight w:val="42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General Description</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0" w:lineRule="exact"/>
        <w:rPr>
          <w:sz w:val="20"/>
          <w:szCs w:val="20"/>
          <w:color w:val="auto"/>
        </w:rPr>
      </w:pPr>
    </w:p>
    <w:p>
      <w:pPr>
        <w:ind w:right="300"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purposes of the Plan are to attract and retain the best available personnel, to provide additional incentives to our officers,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consultants through ownership of our common stock, and to promote the success of our business.</w:t>
      </w:r>
    </w:p>
    <w:p>
      <w:pPr>
        <w:spacing w:after="0" w:line="156" w:lineRule="exact"/>
        <w:rPr>
          <w:sz w:val="20"/>
          <w:szCs w:val="20"/>
          <w:color w:val="auto"/>
        </w:rPr>
      </w:pPr>
    </w:p>
    <w:p>
      <w:pPr>
        <w:ind w:right="40" w:firstLine="6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Shares Reserved for Issuance under the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have 8,475,171 shares of common stock reserved for issuance under the Existing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approved by our stockholders, the total number of shares of common stock reserved for issuance under the Plan will be increased by 4,000,000 shares for a total of 12,475,171 shares. Shares issued in connection with awards other than options or stock appreciation rights shall count as one and one-half (1.5) shares for each share issued. The number of shares of common stock available under the Plan will be subject to adjustment in the event of a stock split, reverse stock split, stock dividend, combination or reclassification of shares or other similar change in our shares or our capital structure. Any shares of common stock covered by an award (or portion of an award) which is forfeited, canceled or expires (whether voluntarily or involuntarily) are deemed not to have been issued for purposes of determining the maximum aggregate number of shares of common stock which may be issued under the Plan. Shares that actually have been issued under the Plan pursuant to an award will not be returned to the Plan and will not be available for future issuance under the Plan, except that if unvested shares of common stock are forfeited, or repurchased by us at the lower of their original purchase price or their fair market value (as defined in the Plan) at the time of repurchase, such shares of common stock shall become available for future grant under the Plan. Any shares covered by an award which are surrendered (i) in payment of the award exercise or purchase price (including pursuant to the ‘‘net exercise’’ of an option pursuant to Section 7(b)(v) of the Plan) or (ii) in satisfaction of tax withholding obligations incident to the exercise of an award will not be returned to the Plan and will not be available for future issuance under the Plan. Shares that are covered by the portion of a SAR that is exercised (whether or not shares are actually issued) will be considered issued. Shares that are counted as one and one-half (1.5) shares upon issuance will be counted as one and one-half (1.5) shares upon return.</w:t>
      </w:r>
    </w:p>
    <w:p>
      <w:pPr>
        <w:spacing w:after="0" w:line="199" w:lineRule="exact"/>
        <w:rPr>
          <w:sz w:val="20"/>
          <w:szCs w:val="20"/>
          <w:color w:val="auto"/>
        </w:rPr>
      </w:pPr>
    </w:p>
    <w:p>
      <w:pPr>
        <w:ind w:right="120" w:firstLine="640"/>
        <w:spacing w:after="0" w:line="252" w:lineRule="auto"/>
        <w:rPr>
          <w:sz w:val="20"/>
          <w:szCs w:val="20"/>
          <w:color w:val="auto"/>
        </w:rPr>
      </w:pPr>
      <w:r>
        <w:rPr>
          <w:rFonts w:ascii="Times New Roman" w:cs="Times New Roman" w:eastAsia="Times New Roman" w:hAnsi="Times New Roman"/>
          <w:sz w:val="18"/>
          <w:szCs w:val="18"/>
          <w:color w:val="auto"/>
        </w:rPr>
        <w:t>During any calendar year, the maximum number of shares with respect to which options and stock appreciation rights may be granted to a participant is currently 8,475,171 shares. If approved by our stockholders, the maximum number of shares with respect to which options and stock appreciation rights may be granted to a participant in any calendar year will be 12,475,171 shares. The maximum number of shares of restricted stock and restricted stock units that are intended to be performance-based compensation under Section 162(m) of the Code that may be awarded to a participant in any calendar year is 12,475,171 shares. The foregoing limitations shall be adjusted proportionately by the plan administrator in the event of a stock split, reverse stock split, stock dividend, combination or reclassification of shares or other similar change in our shares or our capital structure, and its determination shall be final, binding and conclusive.</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ind w:firstLine="6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Our Board of Directors or the Compensation Committee, referred to as the “plan administrator,” administers the Plan,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selecting the grantees, determining the number of shares to be subject to each award, determining the exercise or purchase price of each award, and determining the vesting and exercise periods of each award. The Plan is currently being administered by the Compensation Committee. With respect to grants to officers and directors, the Compensation Committee shall be constituted in such a manner as to satisfy applicable laws, including Rule 16b-3 promulgated under the Exchange Act.</w:t>
      </w:r>
    </w:p>
    <w:p>
      <w:pPr>
        <w:spacing w:after="0" w:line="177"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and Conditions of Awards. </w:t>
      </w:r>
      <w:r>
        <w:rPr>
          <w:rFonts w:ascii="Times New Roman" w:cs="Times New Roman" w:eastAsia="Times New Roman" w:hAnsi="Times New Roman"/>
          <w:sz w:val="18"/>
          <w:szCs w:val="18"/>
          <w:color w:val="auto"/>
        </w:rPr>
        <w:t>The Amendment provides for the grant of stock options, restricted stock, restricted stock units,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dividend equivalent rights, collectively referred to as “awards.” Stock options granted under the Plan may be either incentive stock options under the provisions of Section 422 of the Internal Revenue Code, or non-qualified stock options. Incentive stock options may be granted only to our employees or to employees of our related entities. Awards other than incentive stock options may be granted to our employees, directors and consultants or to employees, consultants and directors of our related entities. Because the Plan provides for broad discretion in selecting which eligible persons will participate and in granting awards, the total number of persons who will actually participate in the Amended Plan and the benefits that will be provided to the participants cannot be determined at this time. As of December 31, 2022, approximately 200 employees (four of whom are current executive officers of the Company) and six directors were eligible for awards under the Plan. In addition, we engage certain of consultants that also may be eligible for awards under the Plan. To the extent that the aggregate fair market value of the shares subject to options designated as incentive stock options which become exercisable for the first time by a participant during any calendar year exceeds $100,000, such excess options shall be treated as nonqualified stock options. Each award granted under the Plan shall be designated in an award agreement.</w:t>
      </w:r>
    </w:p>
    <w:p>
      <w:pPr>
        <w:spacing w:after="0" w:line="194"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The Plan is also designed to comply with the provisions of the Israeli Income Tax Ordinance New Version, 1961 (including as amended pursuant to Amendment 132 thereto), or the tax ordinance, and is intended to enable us to grant awards to grantees who are Israeli residents as follows: (i) awards to employees pursuant to Section 102 of the tax ordinance; and (ii) awards to non-employees pursuant to Section 3(I) of the tax ordinance. For this purpose, “employee” refers only to employees, office holders and directors of our Company or a related entity excluding those who are considered “Controlling Stockholders” pursuant to, or otherwise excluded by, the tax ordinance. In accordance with the terms and conditions imposed by the tax ordinance, grantees who receive awards under the Amendment may be afforded certain tax benefits in Israel as described below.</w:t>
      </w:r>
    </w:p>
    <w:p>
      <w:pPr>
        <w:spacing w:after="0" w:line="185" w:lineRule="exact"/>
        <w:rPr>
          <w:sz w:val="20"/>
          <w:szCs w:val="20"/>
          <w:color w:val="auto"/>
        </w:rPr>
      </w:pPr>
    </w:p>
    <w:p>
      <w:pPr>
        <w:ind w:right="80" w:firstLine="640"/>
        <w:spacing w:after="0" w:line="252" w:lineRule="auto"/>
        <w:rPr>
          <w:sz w:val="20"/>
          <w:szCs w:val="20"/>
          <w:color w:val="auto"/>
        </w:rPr>
      </w:pPr>
      <w:r>
        <w:rPr>
          <w:rFonts w:ascii="Times New Roman" w:cs="Times New Roman" w:eastAsia="Times New Roman" w:hAnsi="Times New Roman"/>
          <w:sz w:val="18"/>
          <w:szCs w:val="18"/>
          <w:color w:val="auto"/>
        </w:rPr>
        <w:t>The exercise price of stock options granted under the Plan must be equal to at least 100% of the fair market value of our common stock on the date of grant. If, however, incentive stock options are granted to an employee who owns stock possessing more than 10% of the voting power of all classes of our stock or the stock of any parent or subsidiary of our Company, the exercise price of any incentive stock option granted must equal at least 110% of the fair market value on the grant date and the maximum term of these incentive stock options must not exceed five years. The maximum term of all other awards must not exceed 10 years (or 5 years in the case of an incentive stock option granted to any participant who owns stock representing more than 10% of the voting power of all classes of our stock or the stock of any parent or subsidiary of our Company). The plan administrator will determine the exercise or purchase price (if any) of all other awards granted under the Plan.</w:t>
      </w:r>
    </w:p>
    <w:p>
      <w:pPr>
        <w:spacing w:after="0" w:line="187" w:lineRule="exact"/>
        <w:rPr>
          <w:sz w:val="20"/>
          <w:szCs w:val="20"/>
          <w:color w:val="auto"/>
        </w:rPr>
      </w:pPr>
    </w:p>
    <w:p>
      <w:pPr>
        <w:jc w:val="both"/>
        <w:ind w:right="100" w:firstLine="640"/>
        <w:spacing w:after="0" w:line="254" w:lineRule="auto"/>
        <w:rPr>
          <w:sz w:val="20"/>
          <w:szCs w:val="20"/>
          <w:color w:val="auto"/>
        </w:rPr>
      </w:pPr>
      <w:r>
        <w:rPr>
          <w:rFonts w:ascii="Times New Roman" w:cs="Times New Roman" w:eastAsia="Times New Roman" w:hAnsi="Times New Roman"/>
          <w:sz w:val="18"/>
          <w:szCs w:val="18"/>
          <w:color w:val="auto"/>
        </w:rPr>
        <w:t>Under the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during the lifetime of the participant, to the extent and in the manner authorized by the plan administrator by gift or pursuant to a domestic relations order to members of the participant’s immediate family. The Plan permits the designation of beneficiaries by holders of awards, including incentive stock options.</w:t>
      </w:r>
    </w:p>
    <w:p>
      <w:pPr>
        <w:spacing w:after="0" w:line="186"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If the service of a participant in the Plan is terminated for any reason other than cause, the participant may exercise awards that were vested as of the termination date for a period ending upon the earlier of 12 months from the date of termination (or such shorter or longer period set forth in the award agreement) or the expiration date of the awards unless otherwise determined by the plan administrator. If the service of a participant in the Plan is terminated for cause, the participant may exercise awards that were vested as of the termination date for a period ending upon the earlier of 14 days from the date of termination (or such shorter or longer period set forth in the award agreement) or the expiration date of the awards unless otherwise determined by the plan administrator.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Criteria.</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Suspension and Termination. </w:t>
      </w:r>
      <w:r>
        <w:rPr>
          <w:rFonts w:ascii="Times New Roman" w:cs="Times New Roman" w:eastAsia="Times New Roman" w:hAnsi="Times New Roman"/>
          <w:sz w:val="18"/>
          <w:szCs w:val="18"/>
          <w:color w:val="auto"/>
        </w:rPr>
        <w:t>The Board may at any time amend, suspend, or terminate the Plan; provided, however, that no such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made without the approval of the Company’s stockholders if such amendment would require stockholder approval under any other applicable law or regulation. Any amendment, suspension or termination of the Plan may not adversely affect the rights of any participant under an outstanding award (unless such participant’s consent is obtained). Notwithstanding the foregoing, the reduction or increase of the exercise price of any stock option or the base appreciation amount of a SAR and the canceling of any stock option or SAR at a time when its exercise price or base appreciation amount exceeds the fair market value of the underlying shares in exchange for another award shall be subject to stockholder approval unless such exchange occurs in connection with a corporate transaction.</w:t>
      </w:r>
    </w:p>
    <w:p>
      <w:pPr>
        <w:spacing w:after="0" w:line="18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Corporate Transaction and Change in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corporate transaction, all outstanding awards will terminate unless assumed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corporation. Unless otherwise provided in a participant’s award agreement, in the event of a corporate transaction and with respect to the portion of each award that is assumed or replaced, then such portion will automatically become fully vested and exercisable immediately upon termination of a participant’s service if the participant is terminated by the successor company or us without cause within 12 months after the corporate transaction. With respect to the portion of each award that is not assumed or replaced, such portion of the award will automatically become fully vested and exercisable immediately prior to the effective date of the corporate transaction so long as the participant’s service has not been terminated prior to such date.</w:t>
      </w:r>
    </w:p>
    <w:p>
      <w:pPr>
        <w:spacing w:after="0" w:line="184" w:lineRule="exact"/>
        <w:rPr>
          <w:sz w:val="20"/>
          <w:szCs w:val="20"/>
          <w:color w:val="auto"/>
        </w:rPr>
      </w:pPr>
    </w:p>
    <w:p>
      <w:pPr>
        <w:ind w:right="300" w:firstLine="640"/>
        <w:spacing w:after="0" w:line="257" w:lineRule="auto"/>
        <w:rPr>
          <w:sz w:val="20"/>
          <w:szCs w:val="20"/>
          <w:color w:val="auto"/>
        </w:rPr>
      </w:pPr>
      <w:r>
        <w:rPr>
          <w:rFonts w:ascii="Times New Roman" w:cs="Times New Roman" w:eastAsia="Times New Roman" w:hAnsi="Times New Roman"/>
          <w:sz w:val="18"/>
          <w:szCs w:val="18"/>
          <w:color w:val="auto"/>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Plan, a corporate transaction is generally defined as:</w:t>
      </w:r>
    </w:p>
    <w:p>
      <w:pPr>
        <w:spacing w:after="0" w:line="220" w:lineRule="exact"/>
        <w:rPr>
          <w:sz w:val="20"/>
          <w:szCs w:val="20"/>
          <w:color w:val="auto"/>
        </w:rPr>
      </w:pPr>
    </w:p>
    <w:p>
      <w:pPr>
        <w:ind w:left="1360" w:hanging="713"/>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we are not the surviving entity, except for the principal purpose of changing our Company’s state of</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w:t>
      </w:r>
    </w:p>
    <w:p>
      <w:pPr>
        <w:spacing w:after="0" w:line="200"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our assets;</w:t>
      </w:r>
    </w:p>
    <w:p>
      <w:pPr>
        <w:spacing w:after="0" w:line="219"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our Company;</w:t>
      </w:r>
    </w:p>
    <w:p>
      <w:pPr>
        <w:spacing w:after="0" w:line="219" w:lineRule="exact"/>
        <w:rPr>
          <w:rFonts w:ascii="Times New Roman" w:cs="Times New Roman" w:eastAsia="Times New Roman" w:hAnsi="Times New Roman"/>
          <w:sz w:val="18"/>
          <w:szCs w:val="18"/>
          <w:color w:val="auto"/>
        </w:rPr>
      </w:pPr>
    </w:p>
    <w:p>
      <w:pPr>
        <w:ind w:right="20" w:firstLine="647"/>
        <w:spacing w:after="0" w:line="257" w:lineRule="auto"/>
        <w:tabs>
          <w:tab w:leader="none" w:pos="13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spacing w:after="0" w:line="180" w:lineRule="exact"/>
        <w:rPr>
          <w:rFonts w:ascii="Times New Roman" w:cs="Times New Roman" w:eastAsia="Times New Roman" w:hAnsi="Times New Roman"/>
          <w:sz w:val="18"/>
          <w:szCs w:val="18"/>
          <w:color w:val="auto"/>
        </w:rPr>
      </w:pPr>
    </w:p>
    <w:p>
      <w:pPr>
        <w:ind w:right="440" w:firstLine="647"/>
        <w:spacing w:after="0" w:line="254" w:lineRule="auto"/>
        <w:tabs>
          <w:tab w:leader="none" w:pos="13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by us or by an employee benefit plan sponsored by us)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Company’s state of incorporation).</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Plan, a change of control is defined as: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ind w:left="1280" w:right="100" w:hanging="633"/>
        <w:spacing w:after="0" w:line="257"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stockholders and which a majority of the members of our Board of Directors (who have generally been on our Board of Directors for at least 12 months) who are not affiliates or associates of the offeror do not recommend stockholders accept the offer; or</w:t>
      </w:r>
    </w:p>
    <w:p>
      <w:pPr>
        <w:spacing w:after="0" w:line="180"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of Directors over a period of 12 months or less, such that a majority of the members of our Board of Directors ceases, by reason of one or more contested elections for board membership, to be comprised of individuals who were previously directors of our Company.</w:t>
      </w:r>
    </w:p>
    <w:p>
      <w:pPr>
        <w:spacing w:after="0" w:line="172"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Suspension or Termination of the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terminated sooner, the Plan will automatically terminate on December 31, 2028.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has the authority to amend, suspend or terminate the Plan. No amendment, suspension or termination of the Plan shall adversely affect any rights under awards already granted to a participant. To the extent necessary to comply with applicable provisions of federal securities laws, state corporate and securities laws, the Internal Revenue Code, the rules of any applicable stock exchange or national market system, and the rules of any non-U.S. jurisdiction applicable to awards granted to residents therein (including the tax ordinance), we shall obtain stockholder approval of any such amendment to the Plan in such a manner and to such a degree as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Plan Benefits</w:t>
      </w:r>
    </w:p>
    <w:p>
      <w:pPr>
        <w:spacing w:after="0" w:line="224"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The grant of awards under the Plan, including grants to our executive officers, is subject to the discretion of the plan administrator. Except as set forth below, the allocation of the new shares is not determinable at this time.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 2006 Stock Incentive Plan, amended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Borders>
              <w:top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02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Dollar Value ($)</w:t>
            </w:r>
          </w:p>
        </w:tc>
        <w:tc>
          <w:tcPr>
            <w:tcW w:w="426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Number of Units</w:t>
            </w:r>
          </w:p>
        </w:tc>
      </w:tr>
      <w:tr>
        <w:trPr>
          <w:trHeight w:val="207"/>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Rubin, Sr. VP &amp; CFO</w:t>
            </w:r>
          </w:p>
        </w:tc>
        <w:tc>
          <w:tcPr>
            <w:tcW w:w="24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Grant of Restricted Stock for $100,000</w:t>
            </w:r>
          </w:p>
        </w:tc>
      </w:tr>
      <w:tr>
        <w:trPr>
          <w:trHeight w:val="42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Certain Federal Tax Consequences</w:t>
            </w: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194" w:lineRule="exact"/>
        <w:rPr>
          <w:sz w:val="20"/>
          <w:szCs w:val="20"/>
          <w:color w:val="auto"/>
        </w:rPr>
      </w:pPr>
    </w:p>
    <w:p>
      <w:pPr>
        <w:ind w:right="100" w:firstLine="640"/>
        <w:spacing w:after="0" w:line="277" w:lineRule="auto"/>
        <w:rPr>
          <w:sz w:val="20"/>
          <w:szCs w:val="20"/>
          <w:color w:val="auto"/>
        </w:rPr>
      </w:pPr>
      <w:r>
        <w:rPr>
          <w:rFonts w:ascii="Times New Roman" w:cs="Times New Roman" w:eastAsia="Times New Roman" w:hAnsi="Times New Roman"/>
          <w:sz w:val="18"/>
          <w:szCs w:val="18"/>
          <w:color w:val="auto"/>
        </w:rPr>
        <w:t>The following summary of the U.S. federal income tax consequences of the Plan transactions is based upon federal income tax laws in effect on the date of this Proxy Statement. This summary does not purport to be complete, and does not discuss state, local or non-U.S. tax consequences.</w:t>
      </w:r>
    </w:p>
    <w:p>
      <w:pPr>
        <w:spacing w:after="0" w:line="161"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The grant of a nonqualified stock option under the Plan will not result in any U.S. federal income tax consequences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or the participant, if a U.S. taxpayer. Upon exercise of a nonqualified stock option, the participant is subject to income taxes at the rate applicable to ordinary compensation income on the difference between the option exercise price and the fair market value of the shares at the time of exercise. This income is subject to withholding for U.S. federal income and employment tax purposes. We are entitled to an income tax deduction in the amount of the income recognized by the participant, subject to possible limitations imposed by Section 162(m) of the Code and so long as we withhold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We do not receive a tax deduction for any such gain.</w:t>
      </w:r>
    </w:p>
    <w:p>
      <w:pPr>
        <w:spacing w:after="0" w:line="185"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A nonqualified stock option can be considered deferred compensation and be subject to Section 409A of the Code. A nonqualified stock option that does not meet the requirements of Code Section 409A can result in the acceleration of income recognition, an additional 20% tax obligation, plus penalties and interest.</w:t>
      </w:r>
    </w:p>
    <w:p>
      <w:pPr>
        <w:spacing w:after="0" w:line="174"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The grant of an incentive stock option under the Plan will not result in any U.S. federal income tax consequences to 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if a U.S. taxpayer. A participant recognizes no federal taxable income upon exercising an incentive stock option (subject to the alternative minimum tax rules discussed below), and we receive no deduction at the time of exercise. In the event of a disposition of stock acquired upon exercise of an incentive stock option, the tax consequences depend upon how long the participant has held the shares. If the participant does not dispose of the shares within two years after the incentive stock option was granted, nor within one year after the incentive stock option was exercised, the participant will recognize a long-term capital gain (or loss) equal to the difference between the sale price of the shares and the exercise price. We are not entitled to any deduction under these circumstances.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firstLine="640"/>
        <w:spacing w:after="0" w:line="252" w:lineRule="auto"/>
        <w:rPr>
          <w:sz w:val="20"/>
          <w:szCs w:val="20"/>
          <w:color w:val="auto"/>
        </w:rPr>
      </w:pPr>
      <w:r>
        <w:rPr>
          <w:rFonts w:ascii="Times New Roman" w:cs="Times New Roman" w:eastAsia="Times New Roman" w:hAnsi="Times New Roman"/>
          <w:sz w:val="18"/>
          <w:szCs w:val="18"/>
          <w:color w:val="auto"/>
        </w:rPr>
        <w:t>If the participant is a U.S. taxpayer and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We are entitled, in the year of the disqualifying disposition, to a deduction equal to the amount of ordinary income recognized by the participant, subject to possible limitations imposed by Section 162(m) of the Code and so long as the participant’s total compensation is deemed reasonable in amount.</w:t>
      </w:r>
    </w:p>
    <w:p>
      <w:pPr>
        <w:spacing w:after="0" w:line="187"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The “spread” under an incentive stock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stock options, the participant must sell the shares within the calendar year in which the incentive stock options are exercised. However, such a sale of shares within the year of exercise will constitute a disqualifying disposition, as described above.</w:t>
      </w:r>
    </w:p>
    <w:p>
      <w:pPr>
        <w:spacing w:after="0" w:line="184" w:lineRule="exact"/>
        <w:rPr>
          <w:sz w:val="20"/>
          <w:szCs w:val="20"/>
          <w:color w:val="auto"/>
        </w:rPr>
      </w:pPr>
    </w:p>
    <w:p>
      <w:pPr>
        <w:ind w:right="60"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Recipients of stock appreciation rights, or SARs, if U.S. taxpayers, generally should not recognize income until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exercised (assuming there is no ceiling on the value of the right). Upon exercise, the recipient will normally recognize taxable ordinary income for U.S. federal income tax purposes equal to the amount of cash and fair market value of the shares, if any, received upon such exercise. Recipients who are employees will be subject to withholding for federal income and employment tax purposes with respect to income recognized upon exercise of a SAR. Recipients will recognize gain upon the disposition of any shares received on exercise of a SAR equal to the excess of (i) the amount realized on such disposition over (ii) the ordinary income recognized with respect to such shares under the principles set forth above. That gain will be taxable as long or short-term capital gain depending on whether the shares were held for more than one year. We will be entitled to a tax deduction to the extent and in the year that ordinary income is recognized by the recipient, subject to possible limitations imposed by Section 162(m) of the Code and so long as we withhold the appropriate taxes with respect to such income (if required) and the recipient’s total compensation is deemed reasonable in amount.</w:t>
      </w:r>
    </w:p>
    <w:p>
      <w:pPr>
        <w:spacing w:after="0" w:line="189" w:lineRule="exact"/>
        <w:rPr>
          <w:sz w:val="20"/>
          <w:szCs w:val="20"/>
          <w:color w:val="auto"/>
        </w:rPr>
      </w:pPr>
    </w:p>
    <w:p>
      <w:pPr>
        <w:ind w:right="580" w:firstLine="640"/>
        <w:spacing w:after="0" w:line="307" w:lineRule="auto"/>
        <w:rPr>
          <w:sz w:val="20"/>
          <w:szCs w:val="20"/>
          <w:color w:val="auto"/>
        </w:rPr>
      </w:pPr>
      <w:r>
        <w:rPr>
          <w:rFonts w:ascii="Times New Roman" w:cs="Times New Roman" w:eastAsia="Times New Roman" w:hAnsi="Times New Roman"/>
          <w:sz w:val="17"/>
          <w:szCs w:val="17"/>
          <w:color w:val="auto"/>
        </w:rPr>
        <w:t>A SAR can be considered non-qualified deferred compensation and be subject to Section 409A of the Code. A SAR that does not meet the requirements of Code Section 409A can result in the acceleration of income recognition, an additional 20% tax obligation, plus penalties and interest.</w:t>
      </w:r>
    </w:p>
    <w:p>
      <w:pPr>
        <w:spacing w:after="0" w:line="138"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The grant of restricted stock will subject the recipient to ordinary compensation income on the difference between the amount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such stock and the fair market value of the shares on the date that the restrictions lapse. This income is subject to withholding for federal income and employment tax purposes. We are entitled to an income tax deduction in the amount of the ordinary income recognized by the recipient, subject to possible limitations imposed by Section 162(m) of the Code and so long as we withhold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We do not receive a tax deduction for any such gain.</w:t>
      </w:r>
    </w:p>
    <w:p>
      <w:pPr>
        <w:spacing w:after="0" w:line="189"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Recipients of restricted stock may make an election under Section 83(b) of the Code, or a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30 days from the time the restricted stock is issued.</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9" w:name="page40"/>
    <w:bookmarkEnd w:id="39"/>
    <w:p>
      <w:pPr>
        <w:ind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Recipients of restricted stock units generally should not recognize income until such units are converted into cash or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conversion, the recipient will normally recognize taxable ordinary income for federal income tax purposes equal to the amount of cash and fair market value of the shares, if any, received upon such conversion. Recipients who are employees will be subject to withholding for federal income and employment tax purposes with respect to income recognized upon conversion of the restricted stock units. Participants will recognize gain upon the disposition of any shares received upon conversion of the restricted stock units equal to the excess of (i) the amount realized on such disposition over (ii) the ordinary income recognized with respect to such shares under the principles set forth above. That gain will be taxable as long or short-term capital gain depending on whether the shares were held for more than one year. We will be entitled to a tax deduction to the extent and in the year that ordinary income is recognized by the recipient, subject to possible limitations imposed by Section 162(m) of the Code and so long as we withhold the appropriate taxes with respect to such income (if required) and the recipient’s total compensation is deemed reasonable in amount.</w:t>
      </w:r>
    </w:p>
    <w:p>
      <w:pPr>
        <w:spacing w:after="0" w:line="189"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Restricted stock units also can be considered non-qualified deferred compensation and be subject to Section 409A of the Code. A grant of restricted stock units that is non-qualified deferred compensation but does not meet the requirements of Code Section 409A will result in an additional 20% tax obligation, plus penalties and interest to such recipient.</w:t>
      </w:r>
    </w:p>
    <w:p>
      <w:pPr>
        <w:spacing w:after="0" w:line="174" w:lineRule="exact"/>
        <w:rPr>
          <w:sz w:val="20"/>
          <w:szCs w:val="20"/>
          <w:color w:val="auto"/>
        </w:rPr>
      </w:pPr>
    </w:p>
    <w:p>
      <w:pPr>
        <w:ind w:right="80" w:firstLine="640"/>
        <w:spacing w:after="0" w:line="255" w:lineRule="auto"/>
        <w:rPr>
          <w:sz w:val="20"/>
          <w:szCs w:val="20"/>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Recipients of stock-based awards that earn dividends or dividend equivalents will recognize taxable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on any dividend payments received with respect to unvested and/or unexercised shares subject to such awards, which income is subject to withholding for federal income and employment tax purposes. We are entitled to an income tax deduction in the amount of the income recognized by a participant, subject to possible limitations imposed by Section 162(m) of the Code and so long as we withhold the appropriate taxes with respect to such income (if required) and the individual’s total compensation is deemed reasonable in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Israeli Tax Law</w:t>
      </w:r>
    </w:p>
    <w:p>
      <w:pPr>
        <w:spacing w:after="0" w:line="224"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The awards granted to employees pursuant to Section 102 of the tax ordinance under the Plan may be designated by us as approved options under the capital gains alternative, or as approved options under the ordinary income tax alternative.</w:t>
      </w:r>
    </w:p>
    <w:p>
      <w:pPr>
        <w:spacing w:after="0" w:line="163" w:lineRule="exact"/>
        <w:rPr>
          <w:sz w:val="20"/>
          <w:szCs w:val="20"/>
          <w:color w:val="auto"/>
        </w:rPr>
      </w:pPr>
    </w:p>
    <w:p>
      <w:pPr>
        <w:jc w:val="both"/>
        <w:ind w:right="100" w:firstLine="640"/>
        <w:spacing w:after="0" w:line="262" w:lineRule="auto"/>
        <w:rPr>
          <w:sz w:val="20"/>
          <w:szCs w:val="20"/>
          <w:color w:val="auto"/>
        </w:rPr>
      </w:pPr>
      <w:r>
        <w:rPr>
          <w:rFonts w:ascii="Times New Roman" w:cs="Times New Roman" w:eastAsia="Times New Roman" w:hAnsi="Times New Roman"/>
          <w:sz w:val="18"/>
          <w:szCs w:val="18"/>
          <w:color w:val="auto"/>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terms of the capital gains alternative, we may not deduct expenses pertaining to the options for tax purposes.</w:t>
      </w:r>
    </w:p>
    <w:p>
      <w:pPr>
        <w:spacing w:after="0" w:line="220" w:lineRule="exact"/>
        <w:rPr>
          <w:sz w:val="20"/>
          <w:szCs w:val="20"/>
          <w:color w:val="auto"/>
        </w:rPr>
      </w:pPr>
    </w:p>
    <w:p>
      <w:pPr>
        <w:ind w:right="20" w:firstLine="640"/>
        <w:spacing w:after="0" w:line="273" w:lineRule="auto"/>
        <w:rPr>
          <w:sz w:val="20"/>
          <w:szCs w:val="20"/>
          <w:color w:val="auto"/>
        </w:rPr>
      </w:pPr>
      <w:r>
        <w:rPr>
          <w:rFonts w:ascii="Times New Roman" w:cs="Times New Roman" w:eastAsia="Times New Roman" w:hAnsi="Times New Roman"/>
          <w:sz w:val="17"/>
          <w:szCs w:val="17"/>
          <w:color w:val="auto"/>
        </w:rPr>
        <w:t>Under the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 Under the 2006 Stock Incentive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spacing w:after="0" w:line="165"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b w:val="1"/>
          <w:bCs w:val="1"/>
          <w:color w:val="auto"/>
        </w:rPr>
        <w:t>These options shall be further subject to the terms of the tax ruling that has been obtained by Protalix Ltd. from the Israeli tax authorities in connection with our merger in 2006. Under the tax ruling, the options issued by us in connection with the assumption of Section 102 options previously issued by Protalix Ltd. under the capital gains alternative shall be issued to a trustee, shall be designated under the capital gains alternative and the issuance date of the original options shall be deemed the issuance date for the assumed options for the calculation of the respective holding period.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3" w:right="39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AMENDMENT TO INCREASE THE NUMBER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SHARES OF COMMON STOCK</w:t>
      </w:r>
    </w:p>
    <w:p>
      <w:pPr>
        <w:spacing w:after="0" w:line="201" w:lineRule="exact"/>
        <w:rPr>
          <w:sz w:val="20"/>
          <w:szCs w:val="20"/>
          <w:color w:val="auto"/>
        </w:rPr>
      </w:pPr>
    </w:p>
    <w:p>
      <w:pPr>
        <w:ind w:right="40" w:firstLine="640"/>
        <w:spacing w:after="0" w:line="253" w:lineRule="auto"/>
        <w:rPr>
          <w:sz w:val="20"/>
          <w:szCs w:val="20"/>
          <w:color w:val="auto"/>
        </w:rPr>
      </w:pPr>
      <w:r>
        <w:rPr>
          <w:rFonts w:ascii="Times New Roman" w:cs="Times New Roman" w:eastAsia="Times New Roman" w:hAnsi="Times New Roman"/>
          <w:sz w:val="18"/>
          <w:szCs w:val="18"/>
          <w:color w:val="auto"/>
        </w:rPr>
        <w:t>On March 30, 2023, our Board of Directors authorized and approved an amendment to our Certificate of Incorporation, as amended (“Certificate”), to increase the number of authorized shares of our common stock from 144,000,000 to 185,000,000 (the “Amendment”). We are not proposing any change to the authorized number of shares of preferred stock. Under the Delaware General Corporation Law, we are required to obtain the affirmative vote of the holders of a majority of our outstanding shares of common stock to amend the Certificate to increase the number of authorized shares of common stock. Our Board of Directors determined that the Amendment is advisable and in the best interest of our Company and our stockholders, and recommends that our stockholders approve the Amendment.</w:t>
      </w:r>
    </w:p>
    <w:p>
      <w:pPr>
        <w:spacing w:after="0" w:line="185" w:lineRule="exact"/>
        <w:rPr>
          <w:sz w:val="20"/>
          <w:szCs w:val="20"/>
          <w:color w:val="auto"/>
        </w:rPr>
      </w:pPr>
    </w:p>
    <w:p>
      <w:pPr>
        <w:ind w:right="60" w:firstLine="640"/>
        <w:spacing w:after="0" w:line="251" w:lineRule="auto"/>
        <w:rPr>
          <w:sz w:val="20"/>
          <w:szCs w:val="20"/>
          <w:color w:val="auto"/>
        </w:rPr>
      </w:pPr>
      <w:r>
        <w:rPr>
          <w:rFonts w:ascii="Times New Roman" w:cs="Times New Roman" w:eastAsia="Times New Roman" w:hAnsi="Times New Roman"/>
          <w:sz w:val="18"/>
          <w:szCs w:val="18"/>
          <w:color w:val="auto"/>
        </w:rPr>
        <w:t>As of April 30, 2023, 65,414,917 shares of our common stock were outstanding. As discussed in more detail in this Proposal 5, we have reserved approximately 5.7 million shares of common stock for issuances in connection with outstanding share-based incentives under our Existing Plan, approximately 14.6 million shares of common stock for issuances in connection with the exercise of our outstanding warrants (the “2020 Warrants”) and approximately 21.4 million shares for issuance in connection with conversion of our outstanding 7.50% convertible notes (the “2024 Notes”). The amount of unreserved, authorized shares leaves us with an insufficient number of shares of common stock for corporate purposes, and impedes and undermines our ability to raise capital in the future. If our stockholders do not approve this Proposal 5, we are left without the authorized shares of common stock necessary for us to pursue a variety of business and financial objectives without further action of our stockholders (except when required by applicable law or regulation). As a result, we believe that a delay in securing, or a failure to secure, stockholder approval of this Proposal 5 will limit our ability to pursue transactions that we believe are in the Company’s best interest and may impair the financial viability of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4" w:lineRule="exact"/>
        <w:rPr>
          <w:sz w:val="20"/>
          <w:szCs w:val="20"/>
          <w:color w:val="auto"/>
        </w:rPr>
      </w:pPr>
    </w:p>
    <w:p>
      <w:pPr>
        <w:ind w:right="480" w:firstLine="640"/>
        <w:spacing w:after="0" w:line="262" w:lineRule="auto"/>
        <w:rPr>
          <w:sz w:val="20"/>
          <w:szCs w:val="20"/>
          <w:color w:val="auto"/>
        </w:rPr>
      </w:pPr>
      <w:r>
        <w:rPr>
          <w:rFonts w:ascii="Times New Roman" w:cs="Times New Roman" w:eastAsia="Times New Roman" w:hAnsi="Times New Roman"/>
          <w:sz w:val="18"/>
          <w:szCs w:val="18"/>
          <w:color w:val="auto"/>
        </w:rPr>
        <w:t>The Certificate currently authorizes the issuance of 144,000,000 shares of common stock and 100,000,000 shares of preferred stock, par value $0.0001 per share, for a total of 244,000,000 shares of capital stock. As of April 30, 2023, there were 65,414,917 shares of common stock issued and outstanding, and no shares of preferred stock issued and outstanding.</w:t>
      </w:r>
    </w:p>
    <w:p>
      <w:pPr>
        <w:spacing w:after="0" w:line="176"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We have reserved a number of additional shares of common stock for future issuance under our equity compensation plan. As of December 31, 2022, 5,519,315 shares of common stock are reserved for issuance upon the exercise of outstanding stock options under the Existing Plan and 136,738 shares of common stock are reserved for issuance in connection with future grants of stock options and/or future issuances of shares under the plan. In addition, approximately 21.4 million shares of common stock are reserved for issuance upon conversions of 2024 Notes. A significant amount of the shares reserved for issuance upon the conversion of our outstanding convertible promissory notes includes shares issuable upon conversions that are effected in connection with a fundamental change, as described in the indentures governing 2024 Notes. Finally, approximately 14.6 million shares of common stock are reserved for issuance upon exercises of the 2020 Warrants. After taking into account the total number of shares of common stock issued and outstanding, in addition to the aggregate number of shares of common stock reserved for future issuance as described in this paragraph, we believe it is in the Company’s best interest to increase the amount of shares of our common stock that are authorized for issuance under the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Amendment</w:t>
      </w:r>
    </w:p>
    <w:p>
      <w:pPr>
        <w:spacing w:after="0" w:line="224"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color w:val="auto"/>
        </w:rPr>
        <w:t>Our Board of Directors believes that it is in our best interest, and in the best interest of our stockholders, to increase the number of authorized shares of common stock available for future issuance. The lack of authorized shares of common stock impedes and undermines our ability to raise capital in the future to finance the last steps needed to bring our pegunigalsidase alfa investigational drug candidate to its anticipated approval finance and the research and development activities to further enhance and strengthen our product development pipeline, among other corporate activities. Absent an increase in the authorized number of shares of common stock, we are left with limited flexibility with respect to the management of our capital structure. Consequently, we may elect to cash-settle at least part or all of our obligations upon the conversion of our 2024 Notes. In addition, we are limited in our ability to elect to redeem outstanding convertible notes should we find it in our best interest to do so based on market conditions or other factors. Accordingly, our Board of Directors has determined that increasing the number of authorized shares of common stock available for future issuance will provide our Company with the ability to best manage our obligations under our 2024 Notes and greater flexibility in considering and planning our future business needs. Such plans may involve the issuance, from time to time, of additional shares of common stock.</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right="40" w:firstLine="640"/>
        <w:spacing w:after="0" w:line="284" w:lineRule="auto"/>
        <w:rPr>
          <w:sz w:val="20"/>
          <w:szCs w:val="20"/>
          <w:color w:val="auto"/>
        </w:rPr>
      </w:pPr>
      <w:r>
        <w:rPr>
          <w:rFonts w:ascii="Times New Roman" w:cs="Times New Roman" w:eastAsia="Times New Roman" w:hAnsi="Times New Roman"/>
          <w:sz w:val="17"/>
          <w:szCs w:val="17"/>
          <w:color w:val="auto"/>
        </w:rPr>
        <w:t>As discussed above, if our stockholders do not approve this Proposal 5, we are left without the authorized shares of common stock necessary to pursue a variety of business and financial objectives without further action of the stockholders (except when required by applicable law or regulation). As a result, we believe that a delay in securing, or a failure to secure, stockholder approval of this Proposal 5 would impair the financial viability of our Company.</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220" w:lineRule="exact"/>
        <w:rPr>
          <w:sz w:val="20"/>
          <w:szCs w:val="20"/>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connection with the refinancing or retirement of our outstanding existing convertible notes;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pursuant to the conversion of outstanding or future convertible securities, including the 2020 Warrants;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connection with the interest payments and make-whole payments under our outstanding convertible notes;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connection with any partnerships, strategic alliances, collaborations or other similar transactions;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in connection with strategic investments;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transactions, such as public or private offerings;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under current and future stock incentive plans;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dividends;</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 corporate purpose.</w:t>
      </w:r>
    </w:p>
    <w:p>
      <w:pPr>
        <w:spacing w:after="0" w:line="220" w:lineRule="exact"/>
        <w:rPr>
          <w:sz w:val="20"/>
          <w:szCs w:val="20"/>
          <w:color w:val="auto"/>
        </w:rPr>
      </w:pPr>
    </w:p>
    <w:p>
      <w:pPr>
        <w:ind w:firstLine="640"/>
        <w:spacing w:after="0" w:line="267" w:lineRule="auto"/>
        <w:rPr>
          <w:sz w:val="20"/>
          <w:szCs w:val="20"/>
          <w:color w:val="auto"/>
        </w:rPr>
      </w:pPr>
      <w:r>
        <w:rPr>
          <w:rFonts w:ascii="Times New Roman" w:cs="Times New Roman" w:eastAsia="Times New Roman" w:hAnsi="Times New Roman"/>
          <w:sz w:val="17"/>
          <w:szCs w:val="17"/>
          <w:color w:val="auto"/>
        </w:rPr>
        <w:t>Our Board of Directors evaluates such opportunities, from time to time, and considers different capital structuring alternatives designed to advance our business strategy. If additional authorized shares of common stock are available, transactions dependent upon the issuance of additional shares would be less likely to be impeded or undermined by delays and uncertainties occasioned by the need to obtain prior stockholder authorization. Our Board of Directors will have the discretion to issue the shares of common stock without further stockholder action, except as may be required for a particular transaction by applicable law or regulation, or the NYSE American Company Guide. As of the date of this Proxy Statement, we have no specific plans, agreements or commitments to issue any shares of common stock for which approval of the proposed Amendment is required, except as described herein. Our Board of Directors believes the additional authorized shares will provide us with needed flexibility to issue shares of common stock in the future without the potential expense and delay incident to obtaining stockholder approval for a particular issuance. Our Board of Directors believes that a failure to approve this proposed Amendment will seriously restrict our ability to manage our capital needs and will be detrimental to the interests of our stockholders.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Possible Effects of the Amendment</w:t>
      </w:r>
    </w:p>
    <w:p>
      <w:pPr>
        <w:spacing w:after="0" w:line="224"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they will own a smaller percentage of shares relative to the total authorized shares of our Company than they presently own.</w:t>
      </w:r>
    </w:p>
    <w:p>
      <w:pPr>
        <w:spacing w:after="0" w:line="181" w:lineRule="exact"/>
        <w:rPr>
          <w:sz w:val="20"/>
          <w:szCs w:val="20"/>
          <w:color w:val="auto"/>
        </w:rPr>
      </w:pPr>
    </w:p>
    <w:p>
      <w:pPr>
        <w:ind w:right="720" w:firstLine="640"/>
        <w:spacing w:after="0" w:line="307" w:lineRule="auto"/>
        <w:rPr>
          <w:sz w:val="20"/>
          <w:szCs w:val="20"/>
          <w:color w:val="auto"/>
        </w:rPr>
      </w:pPr>
      <w:r>
        <w:rPr>
          <w:rFonts w:ascii="Times New Roman" w:cs="Times New Roman" w:eastAsia="Times New Roman" w:hAnsi="Times New Roman"/>
          <w:sz w:val="17"/>
          <w:szCs w:val="17"/>
          <w:color w:val="auto"/>
        </w:rPr>
        <w:t>Neither the Delaware General Corporation Law, the Certificate, nor our Bylaws provides for appraisal or other similar rights for dissenting stockholders in connection with this proposal. Accordingly, our stockholders will have no right to dissent and obtain payment for their shares.</w:t>
      </w:r>
    </w:p>
    <w:p>
      <w:pPr>
        <w:spacing w:after="0" w:line="140"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The text of the proposed Amendment is set forth in Appendix B attached to this Proxy Statement, and this discussion is qualified in its entirety by reference to Appendix B. If this proposed Amendment is approved by the stockholders, it will become effective upon filing of a Certificate of Amendment with the Secretary of State of the State of Delaware. We expect to file the Certificate of Amendment promptly upon approval by our stockholders. In accordance with the Delaware General Corporation Law, however, our Board of Directors may elect to abandon the Amendment without further action by the stockholders at any time prior to the effectiveness of the filing of the Certificate of Amendment with the Secretary of State of the State of Delaware, notwithstanding stockholder approval of the Amendment.</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approval of the Amendment to the Certificate of Incorporation, as amended, to Increase the Number of Authorized Shares of Common Stock from 144,000,000 to 185,000,000 as disclosed in this proxy statement and as described in this “Proposal 5: Amendment to Increase the Number of Authorized Shares of Common Stock.”</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PROPOSAL 6: RATIFICATION OF APPOINTMENT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1" w:lineRule="exact"/>
        <w:rPr>
          <w:sz w:val="20"/>
          <w:szCs w:val="20"/>
          <w:color w:val="auto"/>
        </w:rPr>
      </w:pPr>
    </w:p>
    <w:p>
      <w:pPr>
        <w:ind w:right="60" w:firstLine="640"/>
        <w:spacing w:after="0" w:line="251" w:lineRule="auto"/>
        <w:rPr>
          <w:sz w:val="20"/>
          <w:szCs w:val="20"/>
          <w:color w:val="auto"/>
        </w:rPr>
      </w:pPr>
      <w:r>
        <w:rPr>
          <w:rFonts w:ascii="Times New Roman" w:cs="Times New Roman" w:eastAsia="Times New Roman" w:hAnsi="Times New Roman"/>
          <w:sz w:val="18"/>
          <w:szCs w:val="18"/>
          <w:color w:val="auto"/>
        </w:rPr>
        <w:t>Our Board of Directors, upon the recommendation of its Audit and Finance Committee, has ratified the selection of Kesselman &amp; Kesselman to serve as our independent registered public accounting firm for the fiscal year ending December 31, 2023. The Audit and Finance Committee of our Board of Directors is solely responsible for selecting our independent public accountants. Although stockholder approval is not required to appoint Kesselman &amp; Kesselman as our independent public accountant firm, we believe that submitting the appointment of Kesselman &amp; Kesselman to our stockholders for ratification is a matter of good corporate governance. If our stockholders do not ratify the appointment, then the appointment may be reconsidered by the Audit and Finance Committee. Even if the appointment is ratified, the Audit and Finance Committee may engage a different independent registered public accounting firm at any time during the year if it determines that such a change would be in the best interest of our Company and our stockholders. The proxy will be voted as specified, and if no specification is made, the proxy will be cast “FOR” this proposal.</w:t>
      </w:r>
    </w:p>
    <w:p>
      <w:pPr>
        <w:spacing w:after="0" w:line="190"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During our fiscal year ended December 31, 2022, there were no disagreements with Kesselman &amp; Kesselman on any matter of accounting principles or practices, financial statement disclosure, or auditing scope or procedures, which if not resolve to their satisfaction would have caused them to make reference to the subject matter of the disagreements in connection with their opinion.</w:t>
      </w:r>
    </w:p>
    <w:p>
      <w:pPr>
        <w:spacing w:after="0" w:line="176" w:lineRule="exact"/>
        <w:rPr>
          <w:sz w:val="20"/>
          <w:szCs w:val="20"/>
          <w:color w:val="auto"/>
        </w:rPr>
      </w:pPr>
    </w:p>
    <w:p>
      <w:pPr>
        <w:ind w:right="200" w:firstLine="640"/>
        <w:spacing w:after="0" w:line="307" w:lineRule="auto"/>
        <w:rPr>
          <w:sz w:val="20"/>
          <w:szCs w:val="20"/>
          <w:color w:val="auto"/>
        </w:rPr>
      </w:pPr>
      <w:r>
        <w:rPr>
          <w:rFonts w:ascii="Times New Roman" w:cs="Times New Roman" w:eastAsia="Times New Roman" w:hAnsi="Times New Roman"/>
          <w:sz w:val="17"/>
          <w:szCs w:val="17"/>
          <w:color w:val="auto"/>
        </w:rPr>
        <w:t>The Audit and Finance Committee will consider whether the provision of any other services by Kesselman &amp; Kesselman is compatible with maintaining the independence of Kesselman &amp; Kesselman. The Audit and Finance Committee has concluded that Kesselman &amp; Kesselman is independent.</w:t>
      </w:r>
    </w:p>
    <w:p>
      <w:pPr>
        <w:spacing w:after="0" w:line="140"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We expect representatives of Kesselman &amp; Kesselman will be present at the meeting. They will have the opportunity to make a statement if they desire to do so and are expected to be available to answer stockholders’ questions.</w:t>
      </w:r>
    </w:p>
    <w:p>
      <w:pPr>
        <w:spacing w:after="0" w:line="159" w:lineRule="exact"/>
        <w:rPr>
          <w:sz w:val="20"/>
          <w:szCs w:val="20"/>
          <w:color w:val="auto"/>
        </w:rPr>
      </w:pPr>
    </w:p>
    <w:p>
      <w:pPr>
        <w:ind w:right="16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“FOR” the ratification of the appointment of Kesselman &amp; Kesselman for the fiscal year ending December 31, 2023.</w:t>
      </w:r>
    </w:p>
    <w:p>
      <w:pPr>
        <w:spacing w:after="0" w:line="160" w:lineRule="exact"/>
        <w:rPr>
          <w:sz w:val="20"/>
          <w:szCs w:val="20"/>
          <w:color w:val="auto"/>
        </w:rPr>
      </w:pPr>
    </w:p>
    <w:p>
      <w:pPr>
        <w:ind w:right="140" w:firstLine="6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fees billed to us by our independent registered public accounting firm during the fiscal years ended December 31, 2022 and 2021 for: (i) services rendered for the audit of our annual financial statements and the review of our quarterly financial statements; (ii) services by our independent registered public accounting firm that are reasonably related to the performance of the audit or review of our financial statements and that are not reported as Audit Fees; (iii) services rendered in connection with tax compliance, tax advice and tax planning; and (iv) all other fees for services rendered.</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36"/>
        </w:trPr>
        <w:tc>
          <w:tcPr>
            <w:tcW w:w="3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0"/>
        </w:trPr>
        <w:tc>
          <w:tcPr>
            <w:tcW w:w="388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r>
      <w:tr>
        <w:trPr>
          <w:trHeight w:val="20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5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254,750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284,500</w:t>
            </w:r>
          </w:p>
        </w:tc>
        <w:tc>
          <w:tcPr>
            <w:tcW w:w="80" w:type="dxa"/>
            <w:vAlign w:val="bottom"/>
            <w:shd w:val="clear" w:color="auto" w:fill="CCEEFF"/>
          </w:tcPr>
          <w:p>
            <w:pPr>
              <w:spacing w:after="0"/>
              <w:rPr>
                <w:sz w:val="17"/>
                <w:szCs w:val="17"/>
                <w:color w:val="auto"/>
              </w:rPr>
            </w:pPr>
          </w:p>
        </w:tc>
      </w:tr>
      <w:tr>
        <w:trPr>
          <w:trHeight w:val="21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4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80" w:type="dxa"/>
            <w:vAlign w:val="bottom"/>
            <w:shd w:val="clear" w:color="auto" w:fill="CCEEFF"/>
          </w:tcPr>
          <w:p>
            <w:pPr>
              <w:spacing w:after="0"/>
              <w:rPr>
                <w:sz w:val="18"/>
                <w:szCs w:val="18"/>
                <w:color w:val="auto"/>
              </w:rPr>
            </w:pPr>
          </w:p>
        </w:tc>
      </w:tr>
      <w:tr>
        <w:trPr>
          <w:trHeight w:val="2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Auditors</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Our Audit and Finance Committee has the sole authority to approve the scope of the audit and any audit-related services, as well as all audit fees and terms. The Audit and Finance Committee must pre-approve any audit and non-audit services provided by our independent registered public accounting firm. The Audit and Finance Committee will not approve the engagement of the independent registered public accounting firm to perform any services that the independent registered public accounting firm would be prohibited from providing under applicable laws, rules and regulations, including those of self-regulating organizations. The Audit and Finance Committee will approve permitted non-audit services by our independent registered public accounting firm only if it determines that using a different firm to perform such services will be more effective or economical. The Audit and Finance Committee annually reviews and pre-approves the statutory audit fees that can be provided by the independent registered public accounting firm.</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We have engaged Alliance Advisors LLC to assist us in soliciting proxies for the meeting. We will pay Alliance Advisors a base fee of approximately $10,000, plus reasonable out-of-pocket expenses, plus an additional fee based upon the number of contacts with stockholders made and work performed. We estimate the total amount payable to Alliance Advisors will be approximately $100,000. Our officers, directors and employees may solicit proxies in person or by telephone, fax or email. We will pay these officers,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 We will pay all of the costs of soliciting these proxies.</w:t>
      </w:r>
    </w:p>
    <w:p>
      <w:pPr>
        <w:spacing w:after="0" w:line="185"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If you need assistance in voting by telephone or over the Internet or completing your proxy card or have questions regarding the meeting, please contact our proxy advisor: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Alliance Advisors, LLC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 Broadacres Drive, 3rd Floor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Bloomfield, NJ 07003</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(855) 200-7892 (toll free in the United States)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PLX@AllianceAdvisors.com</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4" w:lineRule="exact"/>
        <w:rPr>
          <w:sz w:val="20"/>
          <w:szCs w:val="20"/>
          <w:color w:val="auto"/>
        </w:rPr>
      </w:pPr>
    </w:p>
    <w:p>
      <w:pPr>
        <w:ind w:right="20" w:firstLine="640"/>
        <w:spacing w:after="0" w:line="268" w:lineRule="auto"/>
        <w:rPr>
          <w:sz w:val="20"/>
          <w:szCs w:val="20"/>
          <w:color w:val="auto"/>
        </w:rPr>
      </w:pPr>
      <w:r>
        <w:rPr>
          <w:rFonts w:ascii="Times New Roman" w:cs="Times New Roman" w:eastAsia="Times New Roman" w:hAnsi="Times New Roman"/>
          <w:sz w:val="17"/>
          <w:szCs w:val="17"/>
          <w:color w:val="auto"/>
        </w:rPr>
        <w:t>All stockholder proposals intended to be presented at our 2024 Annual Meeting of Stockholders must be submitted in writing to Eyal Rubin, Corporate Secretary, Protalix BioTherapeutics, Inc., 2 University Plaza, Suite 100, Hackensack, NJ 07601, and received by us no later than January 10, 2024, and must comply in all other respects with applicable rules and regulations of the SEC relating to such inclusion. Such notice must include, with respect to each matter the stockholder proposes to bring before the meeting: (i) a brief description of the business desired to be brought before the meeting and the reasons for conducting such business at the meeting; (ii) the name and record address of the stockholder proposing such business; (iii) the class and number of shares of our Company which are beneficially owned by the stockholder; and (iv) any material interest of the stockholder in such business. In addition, the notice must include certain information relating to any derivative or hedging transactions by the stockholder delivering such notice and its Stockholder Associated Persons, as defined in our By-Laws, and other arrangements with other parties regarding our securities, as presented in detail in our By-Laws.</w:t>
      </w:r>
    </w:p>
    <w:p>
      <w:pPr>
        <w:spacing w:after="0" w:line="175"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Any such proposal submitted with respect to our 2024 Annual Meeting of Stockholders which is submitted outside the requirements of Rule 14a-8 promulgated under the Exchange Act will be considered timely if we receive written notice of that proposal not less than 45 days nor more than 75 days prior to the date in 2024 on which we first mailed this proxy statement in 2023; however, if the date of the meeting is changed by more than 30 days from the date of the prior year’s meeting, the notice will be considered untimely if it is not received at least 90 days prior to the newly announced date that we will mail our proxy statement.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TO STOCKHOLDERS</w:t>
      </w:r>
    </w:p>
    <w:p>
      <w:pPr>
        <w:spacing w:after="0" w:line="224" w:lineRule="exact"/>
        <w:rPr>
          <w:sz w:val="20"/>
          <w:szCs w:val="20"/>
          <w:color w:val="auto"/>
        </w:rPr>
      </w:pPr>
    </w:p>
    <w:p>
      <w:pPr>
        <w:ind w:right="200" w:firstLine="640"/>
        <w:spacing w:after="0" w:line="257" w:lineRule="auto"/>
        <w:rPr>
          <w:sz w:val="20"/>
          <w:szCs w:val="20"/>
          <w:color w:val="auto"/>
        </w:rPr>
      </w:pPr>
      <w:r>
        <w:rPr>
          <w:rFonts w:ascii="Times New Roman" w:cs="Times New Roman" w:eastAsia="Times New Roman" w:hAnsi="Times New Roman"/>
          <w:sz w:val="18"/>
          <w:szCs w:val="18"/>
          <w:color w:val="auto"/>
        </w:rPr>
        <w:t>Our FY2022 Annual Report, which provides additional information about us, will be distributed to all stockholders entitled to vote along with the proxy materials. Additional copies of our FY2022 Annual Report are available on the Internet at http://www.sec.gov and http://www.protalix.com and are also available in paper form without charge upon written request to Investor Relations, Protalix BioTherapeutics, Inc., 2 University Plaza, Suite 100, Hackensack, NJ 07601.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4" w:lineRule="exact"/>
        <w:rPr>
          <w:sz w:val="20"/>
          <w:szCs w:val="20"/>
          <w:color w:val="auto"/>
        </w:rPr>
      </w:pPr>
    </w:p>
    <w:p>
      <w:pPr>
        <w:jc w:val="both"/>
        <w:ind w:right="260" w:firstLine="640"/>
        <w:spacing w:after="0" w:line="284"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ind w:firstLine="640"/>
        <w:spacing w:after="0" w:line="250"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stockholders of our Company will be “householding” our proxy materials. A single proxy statement may be delivered to multiple stockholders sharing an address unless contrary instructions have been received from the affected stockholders. Once a stockholder has received notice from its broker that it will be “householding” communications to such stockholder’s address, “householding” will continue until such stockholder is notified otherwise or until such stockholder notifies its broker or us that it no longer wishes to participate in “householding.” If, at any time, a stockholder no longer wishes to participate in “householding” and would prefer to receive a separate proxy statement and annual report in the future such stockholder may (1) notify its broker or (2) direct its written request to: Eyal Rubin, Corporate Secretary, Protalix BioTherapeutics, Inc., 2 University Plaza, Suite 100, Hackensack, NJ 07601, +1 (201) 696-9345. Stockholders who currently receive multiple copies of the proxy statement at their address and would like to request “householding” of their communications should contact their broker. In addition, we will promptly deliver, upon written or oral request to the address or telephone number above, a separate copy of the annual report and proxy statement to such stockholders at a shared address to which a single copy of the documents was delivered.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4" w:lineRule="exact"/>
        <w:rPr>
          <w:sz w:val="20"/>
          <w:szCs w:val="20"/>
          <w:color w:val="auto"/>
        </w:rPr>
      </w:pPr>
    </w:p>
    <w:p>
      <w:pPr>
        <w:ind w:right="460" w:firstLine="640"/>
        <w:spacing w:after="0" w:line="277" w:lineRule="auto"/>
        <w:rPr>
          <w:sz w:val="20"/>
          <w:szCs w:val="20"/>
          <w:color w:val="auto"/>
        </w:rPr>
      </w:pPr>
      <w:r>
        <w:rPr>
          <w:rFonts w:ascii="Times New Roman" w:cs="Times New Roman" w:eastAsia="Times New Roman" w:hAnsi="Times New Roman"/>
          <w:sz w:val="18"/>
          <w:szCs w:val="18"/>
          <w:color w:val="auto"/>
        </w:rPr>
        <w:t>Our Board of Directors knows of no other business to be acted upon at the meeting. However, if any other business properly comes before the meeting, it is the intention of the persons named in the enclosed proxy to vote on such matters in accordance with their best judgment.</w:t>
      </w:r>
    </w:p>
    <w:p>
      <w:pPr>
        <w:spacing w:after="0" w:line="163"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The prompt return of your proxy is appreciated and will be helpful in obtaining the necessary vote. Therefore, whether or not you expect to attend the meeting please sign the proxy and return it in the enclosed envelope or vote by internet or telephone.</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508635" cy="177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8635" cy="177800"/>
                    </a:xfrm>
                    <a:prstGeom prst="rect">
                      <a:avLst/>
                    </a:prstGeom>
                    <a:noFill/>
                  </pic:spPr>
                </pic:pic>
              </a:graphicData>
            </a:graphic>
          </wp:anchor>
        </w:drawing>
      </w: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Eyal Rubin</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Sr. Vice President and Chief Financial Officer and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Carmiel, Israel</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 2023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2006 STOCK INCENTIVE PLAN, AS AMENDED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3EAFC2"/>
        </w:rPr>
        <w:t>June 28,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B5082E"/>
          <w:strike w:val="1"/>
        </w:rPr>
        <w:t>June 30, 2022</w:t>
      </w:r>
      <w:r>
        <w:rPr>
          <w:rFonts w:ascii="Times New Roman" w:cs="Times New Roman" w:eastAsia="Times New Roman" w:hAnsi="Times New Roman"/>
          <w:sz w:val="18"/>
          <w:szCs w:val="18"/>
          <w:b w:val="1"/>
          <w:bCs w:val="1"/>
          <w:color w:val="auto"/>
        </w:rPr>
        <w:t>)</w:t>
      </w:r>
    </w:p>
    <w:p>
      <w:pPr>
        <w:spacing w:after="0" w:line="201" w:lineRule="exact"/>
        <w:rPr>
          <w:sz w:val="20"/>
          <w:szCs w:val="20"/>
          <w:color w:val="auto"/>
        </w:rPr>
      </w:pPr>
    </w:p>
    <w:p>
      <w:pPr>
        <w:ind w:right="360" w:firstLine="647"/>
        <w:spacing w:after="0" w:line="277" w:lineRule="auto"/>
        <w:tabs>
          <w:tab w:leader="none" w:pos="13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2" w:lineRule="exact"/>
        <w:rPr>
          <w:rFonts w:ascii="Times New Roman" w:cs="Times New Roman" w:eastAsia="Times New Roman" w:hAnsi="Times New Roman"/>
          <w:sz w:val="18"/>
          <w:szCs w:val="18"/>
          <w:color w:val="auto"/>
        </w:rPr>
      </w:pPr>
    </w:p>
    <w:p>
      <w:pPr>
        <w:ind w:right="20" w:firstLine="647"/>
        <w:spacing w:after="0" w:line="262" w:lineRule="auto"/>
        <w:tabs>
          <w:tab w:leader="none" w:pos="13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supercede the definition contained in this Section 2.</w:t>
      </w:r>
    </w:p>
    <w:p>
      <w:pPr>
        <w:spacing w:after="0" w:line="176"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3(I) Option</w:t>
      </w:r>
      <w:r>
        <w:rPr>
          <w:rFonts w:ascii="Times New Roman" w:cs="Times New Roman" w:eastAsia="Times New Roman" w:hAnsi="Times New Roman"/>
          <w:sz w:val="18"/>
          <w:szCs w:val="18"/>
          <w:color w:val="auto"/>
        </w:rPr>
        <w:t>” means Award granted under Section 3(I).</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Option</w:t>
      </w:r>
      <w:r>
        <w:rPr>
          <w:rFonts w:ascii="Times New Roman" w:cs="Times New Roman" w:eastAsia="Times New Roman" w:hAnsi="Times New Roman"/>
          <w:sz w:val="18"/>
          <w:szCs w:val="18"/>
          <w:color w:val="auto"/>
        </w:rPr>
        <w:t>” means Award granted under Section 102.</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12b-2 promulgated under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w:t>
      </w:r>
    </w:p>
    <w:p>
      <w:pPr>
        <w:spacing w:after="0" w:line="200" w:lineRule="exact"/>
        <w:rPr>
          <w:rFonts w:ascii="Times New Roman" w:cs="Times New Roman" w:eastAsia="Times New Roman" w:hAnsi="Times New Roman"/>
          <w:sz w:val="18"/>
          <w:szCs w:val="18"/>
          <w:color w:val="auto"/>
        </w:rPr>
      </w:pPr>
    </w:p>
    <w:p>
      <w:pPr>
        <w:ind w:right="100" w:firstLine="1288"/>
        <w:spacing w:after="0" w:line="262" w:lineRule="auto"/>
        <w:tabs>
          <w:tab w:leader="none" w:pos="201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76" w:lineRule="exact"/>
        <w:rPr>
          <w:rFonts w:ascii="Times New Roman" w:cs="Times New Roman" w:eastAsia="Times New Roman" w:hAnsi="Times New Roman"/>
          <w:sz w:val="18"/>
          <w:szCs w:val="18"/>
          <w:color w:val="auto"/>
        </w:rPr>
      </w:pPr>
    </w:p>
    <w:p>
      <w:pPr>
        <w:ind w:right="120" w:firstLine="1288"/>
        <w:spacing w:after="0" w:line="254" w:lineRule="auto"/>
        <w:tabs>
          <w:tab w:leader="none" w:pos="19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85"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or other right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benefit under the Plan.</w:t>
      </w:r>
    </w:p>
    <w:p>
      <w:pPr>
        <w:spacing w:after="0" w:line="200" w:lineRule="exact"/>
        <w:rPr>
          <w:rFonts w:ascii="Times New Roman" w:cs="Times New Roman" w:eastAsia="Times New Roman" w:hAnsi="Times New Roman"/>
          <w:sz w:val="18"/>
          <w:szCs w:val="18"/>
          <w:color w:val="auto"/>
        </w:rPr>
      </w:pPr>
    </w:p>
    <w:p>
      <w:pPr>
        <w:ind w:right="140" w:firstLine="1288"/>
        <w:spacing w:after="0" w:line="277" w:lineRule="auto"/>
        <w:tabs>
          <w:tab w:leader="none" w:pos="20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162" w:lineRule="exact"/>
        <w:rPr>
          <w:rFonts w:ascii="Times New Roman" w:cs="Times New Roman" w:eastAsia="Times New Roman" w:hAnsi="Times New Roman"/>
          <w:sz w:val="18"/>
          <w:szCs w:val="18"/>
          <w:color w:val="auto"/>
        </w:rPr>
      </w:pPr>
    </w:p>
    <w:p>
      <w:pPr>
        <w:ind w:left="1980" w:hanging="692"/>
        <w:spacing w:after="0"/>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19" w:lineRule="exact"/>
        <w:rPr>
          <w:rFonts w:ascii="Times New Roman" w:cs="Times New Roman" w:eastAsia="Times New Roman" w:hAnsi="Times New Roman"/>
          <w:sz w:val="18"/>
          <w:szCs w:val="18"/>
          <w:color w:val="auto"/>
        </w:rPr>
      </w:pPr>
    </w:p>
    <w:p>
      <w:pPr>
        <w:ind w:firstLine="1288"/>
        <w:spacing w:after="0" w:line="250" w:lineRule="auto"/>
        <w:tabs>
          <w:tab w:leader="none" w:pos="19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which is materially detrimental to the Company or a Related Entity as reasonably determined in good faith by a unanimous decision of members of the Board entitled to vote thereon; (ii) dishonesty, intentional misconduct or material breach of any agreement with the Company or a Related Entity; (iii) commission of a crime involving dishonesty, breach of trust, or physical or emotional harm to any person; (iv) embezzlement of funds of the Company or a Related Entity; (v) ownership, direct or indirect (i.e., by means of a holding company or family member), of an interest in a person or entity (other than a minority interest in a publicly traded company) in competition with the products or services of the Company or a Related Entity, including those products or services contemplated in a plan adopted by the Board; (vi) any breach of the Grantee’s fiduciary duties or duties of care to the Company or a Related Entity (except for conduct taken in good faith); (vii) any material failure to carry out a reasonable and legitimate directive of the Board; or (viii) any material breach of an Employee's undertakings of confidentiality and non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left="2020" w:hanging="732"/>
        <w:spacing w:after="0"/>
        <w:tabs>
          <w:tab w:leader="none" w:pos="2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effected through either of the following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1" w:lineRule="exact"/>
        <w:rPr>
          <w:sz w:val="20"/>
          <w:szCs w:val="20"/>
          <w:color w:val="auto"/>
        </w:rPr>
      </w:pPr>
    </w:p>
    <w:p>
      <w:pPr>
        <w:ind w:firstLine="1928"/>
        <w:spacing w:after="0" w:line="273" w:lineRule="auto"/>
        <w:tabs>
          <w:tab w:leader="none" w:pos="2667"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spacing w:after="0" w:line="169" w:lineRule="exact"/>
        <w:rPr>
          <w:rFonts w:ascii="Times New Roman" w:cs="Times New Roman" w:eastAsia="Times New Roman" w:hAnsi="Times New Roman"/>
          <w:sz w:val="17"/>
          <w:szCs w:val="17"/>
          <w:color w:val="auto"/>
        </w:rPr>
      </w:pPr>
    </w:p>
    <w:p>
      <w:pPr>
        <w:jc w:val="both"/>
        <w:ind w:right="20" w:firstLine="1928"/>
        <w:spacing w:after="0" w:line="262" w:lineRule="auto"/>
        <w:tabs>
          <w:tab w:leader="none" w:pos="2672"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176" w:lineRule="exact"/>
        <w:rPr>
          <w:rFonts w:ascii="Times New Roman" w:cs="Times New Roman" w:eastAsia="Times New Roman" w:hAnsi="Times New Roman"/>
          <w:sz w:val="18"/>
          <w:szCs w:val="18"/>
          <w:color w:val="auto"/>
        </w:rPr>
      </w:pPr>
    </w:p>
    <w:p>
      <w:pPr>
        <w:ind w:left="1980" w:hanging="692"/>
        <w:spacing w:after="0"/>
        <w:tabs>
          <w:tab w:leader="none" w:pos="1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19" w:lineRule="exact"/>
        <w:rPr>
          <w:rFonts w:ascii="Times New Roman" w:cs="Times New Roman" w:eastAsia="Times New Roman" w:hAnsi="Times New Roman"/>
          <w:sz w:val="18"/>
          <w:szCs w:val="18"/>
          <w:color w:val="auto"/>
        </w:rPr>
      </w:pPr>
    </w:p>
    <w:p>
      <w:pPr>
        <w:ind w:left="2080" w:hanging="792"/>
        <w:spacing w:after="0"/>
        <w:tabs>
          <w:tab w:leader="none" w:pos="20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19" w:lineRule="exact"/>
        <w:rPr>
          <w:rFonts w:ascii="Times New Roman" w:cs="Times New Roman" w:eastAsia="Times New Roman" w:hAnsi="Times New Roman"/>
          <w:sz w:val="18"/>
          <w:szCs w:val="18"/>
          <w:color w:val="auto"/>
        </w:rPr>
      </w:pPr>
    </w:p>
    <w:p>
      <w:pPr>
        <w:ind w:right="520" w:firstLine="1288"/>
        <w:spacing w:after="0" w:line="277" w:lineRule="auto"/>
        <w:tabs>
          <w:tab w:leader="none" w:pos="202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Protalix BioTherapeutics, Inc., a Delaware corporation, or any successor entity that adopts the Plan in connection with a Corporate Transaction.</w:t>
      </w:r>
    </w:p>
    <w:p>
      <w:pPr>
        <w:spacing w:after="0" w:line="162" w:lineRule="exact"/>
        <w:rPr>
          <w:rFonts w:ascii="Times New Roman" w:cs="Times New Roman" w:eastAsia="Times New Roman" w:hAnsi="Times New Roman"/>
          <w:sz w:val="18"/>
          <w:szCs w:val="18"/>
          <w:color w:val="auto"/>
        </w:rPr>
      </w:pPr>
    </w:p>
    <w:p>
      <w:pPr>
        <w:ind w:right="20" w:firstLine="1288"/>
        <w:spacing w:after="0" w:line="262" w:lineRule="auto"/>
        <w:tabs>
          <w:tab w:leader="none" w:pos="202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76" w:lineRule="exact"/>
        <w:rPr>
          <w:rFonts w:ascii="Times New Roman" w:cs="Times New Roman" w:eastAsia="Times New Roman" w:hAnsi="Times New Roman"/>
          <w:sz w:val="18"/>
          <w:szCs w:val="18"/>
          <w:color w:val="auto"/>
        </w:rPr>
      </w:pPr>
    </w:p>
    <w:p>
      <w:pPr>
        <w:ind w:right="20" w:firstLine="1288"/>
        <w:spacing w:after="0" w:line="284" w:lineRule="auto"/>
        <w:tabs>
          <w:tab w:leader="none" w:pos="202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Continuing Directors</w:t>
      </w:r>
      <w:r>
        <w:rPr>
          <w:rFonts w:ascii="Times New Roman" w:cs="Times New Roman" w:eastAsia="Times New Roman" w:hAnsi="Times New Roman"/>
          <w:sz w:val="17"/>
          <w:szCs w:val="17"/>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59" w:lineRule="exact"/>
        <w:rPr>
          <w:rFonts w:ascii="Times New Roman" w:cs="Times New Roman" w:eastAsia="Times New Roman" w:hAnsi="Times New Roman"/>
          <w:sz w:val="17"/>
          <w:szCs w:val="17"/>
          <w:color w:val="auto"/>
        </w:rPr>
      </w:pPr>
    </w:p>
    <w:p>
      <w:pPr>
        <w:ind w:right="100" w:firstLine="1288"/>
        <w:spacing w:after="0" w:line="265" w:lineRule="auto"/>
        <w:tabs>
          <w:tab w:leader="none" w:pos="199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w:t>
      </w:r>
    </w:p>
    <w:p>
      <w:pPr>
        <w:spacing w:after="0" w:line="2" w:lineRule="exact"/>
        <w:rPr>
          <w:rFonts w:ascii="Times New Roman" w:cs="Times New Roman" w:eastAsia="Times New Roman" w:hAnsi="Times New Roman"/>
          <w:sz w:val="17"/>
          <w:szCs w:val="17"/>
          <w:color w:val="auto"/>
        </w:rPr>
      </w:pPr>
    </w:p>
    <w:p>
      <w:pPr>
        <w:ind w:right="200" w:firstLine="7"/>
        <w:spacing w:after="0" w:line="249" w:lineRule="auto"/>
        <w:tabs>
          <w:tab w:leader="none" w:pos="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48" w:name="page49"/>
    <w:bookmarkEnd w:id="48"/>
    <w:p>
      <w:pPr>
        <w:ind w:right="400" w:firstLine="1288"/>
        <w:spacing w:after="0" w:line="277" w:lineRule="auto"/>
        <w:tabs>
          <w:tab w:leader="none" w:pos="20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62" w:lineRule="exact"/>
        <w:rPr>
          <w:rFonts w:ascii="Times New Roman" w:cs="Times New Roman" w:eastAsia="Times New Roman" w:hAnsi="Times New Roman"/>
          <w:sz w:val="18"/>
          <w:szCs w:val="18"/>
          <w:color w:val="auto"/>
        </w:rPr>
      </w:pPr>
    </w:p>
    <w:p>
      <w:pPr>
        <w:ind w:right="540" w:firstLine="1928"/>
        <w:spacing w:after="0" w:line="277" w:lineRule="auto"/>
        <w:tabs>
          <w:tab w:leader="none" w:pos="26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162"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19" w:lineRule="exact"/>
        <w:rPr>
          <w:rFonts w:ascii="Times New Roman" w:cs="Times New Roman" w:eastAsia="Times New Roman" w:hAnsi="Times New Roman"/>
          <w:sz w:val="18"/>
          <w:szCs w:val="18"/>
          <w:color w:val="auto"/>
        </w:rPr>
      </w:pPr>
    </w:p>
    <w:p>
      <w:pPr>
        <w:ind w:firstLine="1928"/>
        <w:spacing w:after="0" w:line="254" w:lineRule="auto"/>
        <w:tabs>
          <w:tab w:leader="none" w:pos="26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85" w:lineRule="exact"/>
        <w:rPr>
          <w:rFonts w:ascii="Times New Roman" w:cs="Times New Roman" w:eastAsia="Times New Roman" w:hAnsi="Times New Roman"/>
          <w:sz w:val="18"/>
          <w:szCs w:val="18"/>
          <w:color w:val="auto"/>
        </w:rPr>
      </w:pPr>
    </w:p>
    <w:p>
      <w:pPr>
        <w:ind w:right="80" w:firstLine="1928"/>
        <w:spacing w:after="0" w:line="253" w:lineRule="auto"/>
        <w:tabs>
          <w:tab w:leader="none" w:pos="266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 (provided however that the Administrator shall have no discretion in connection with a Corporate Transaction for the purchase of all or substantially all of the shares of the Company unless the principal purpose of such transaction is to change the state in which the Company is incorporated).</w:t>
      </w:r>
    </w:p>
    <w:p>
      <w:pPr>
        <w:spacing w:after="0" w:line="185" w:lineRule="exact"/>
        <w:rPr>
          <w:rFonts w:ascii="Times New Roman" w:cs="Times New Roman" w:eastAsia="Times New Roman" w:hAnsi="Times New Roman"/>
          <w:sz w:val="18"/>
          <w:szCs w:val="18"/>
          <w:color w:val="auto"/>
        </w:rPr>
      </w:pPr>
    </w:p>
    <w:p>
      <w:pPr>
        <w:ind w:left="1980" w:hanging="692"/>
        <w:spacing w:after="0"/>
        <w:tabs>
          <w:tab w:leader="none" w:pos="1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 “covered employee” under Section 162(m)(3) of the Code.</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19" w:lineRule="exact"/>
        <w:rPr>
          <w:rFonts w:ascii="Times New Roman" w:cs="Times New Roman" w:eastAsia="Times New Roman" w:hAnsi="Times New Roman"/>
          <w:sz w:val="18"/>
          <w:szCs w:val="18"/>
          <w:color w:val="auto"/>
        </w:rPr>
      </w:pPr>
    </w:p>
    <w:p>
      <w:pPr>
        <w:ind w:right="140" w:firstLine="1288"/>
        <w:spacing w:after="0" w:line="253" w:lineRule="auto"/>
        <w:tabs>
          <w:tab w:leader="none" w:pos="20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5" w:lineRule="exact"/>
        <w:rPr>
          <w:rFonts w:ascii="Times New Roman" w:cs="Times New Roman" w:eastAsia="Times New Roman" w:hAnsi="Times New Roman"/>
          <w:sz w:val="18"/>
          <w:szCs w:val="18"/>
          <w:color w:val="auto"/>
        </w:rPr>
      </w:pPr>
    </w:p>
    <w:p>
      <w:pPr>
        <w:ind w:left="2060" w:hanging="772"/>
        <w:spacing w:after="0"/>
        <w:tabs>
          <w:tab w:leader="none" w:pos="2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0" w:lineRule="exact"/>
        <w:rPr>
          <w:rFonts w:ascii="Times New Roman" w:cs="Times New Roman" w:eastAsia="Times New Roman" w:hAnsi="Times New Roman"/>
          <w:sz w:val="18"/>
          <w:szCs w:val="18"/>
          <w:color w:val="auto"/>
        </w:rPr>
      </w:pPr>
    </w:p>
    <w:p>
      <w:pPr>
        <w:ind w:right="220" w:firstLine="1288"/>
        <w:spacing w:after="0" w:line="262" w:lineRule="auto"/>
        <w:tabs>
          <w:tab w:leader="none" w:pos="20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76"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19" w:lineRule="exact"/>
        <w:rPr>
          <w:rFonts w:ascii="Times New Roman" w:cs="Times New Roman" w:eastAsia="Times New Roman" w:hAnsi="Times New Roman"/>
          <w:sz w:val="18"/>
          <w:szCs w:val="18"/>
          <w:color w:val="auto"/>
        </w:rPr>
      </w:pPr>
    </w:p>
    <w:p>
      <w:pPr>
        <w:ind w:right="20" w:firstLine="1928"/>
        <w:spacing w:after="0" w:line="254" w:lineRule="auto"/>
        <w:tabs>
          <w:tab w:leader="none" w:pos="26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American Stock Exchange,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ind w:firstLine="1928"/>
        <w:spacing w:after="0" w:line="254" w:lineRule="auto"/>
        <w:tabs>
          <w:tab w:leader="none" w:pos="26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85" w:lineRule="exact"/>
        <w:rPr>
          <w:rFonts w:ascii="Times New Roman" w:cs="Times New Roman" w:eastAsia="Times New Roman" w:hAnsi="Times New Roman"/>
          <w:sz w:val="18"/>
          <w:szCs w:val="18"/>
          <w:color w:val="auto"/>
        </w:rPr>
      </w:pPr>
    </w:p>
    <w:p>
      <w:pPr>
        <w:ind w:right="360" w:firstLine="1928"/>
        <w:spacing w:after="0" w:line="277" w:lineRule="auto"/>
        <w:tabs>
          <w:tab w:leader="none" w:pos="272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w:t>
      </w:r>
    </w:p>
    <w:p>
      <w:pPr>
        <w:spacing w:after="0" w:line="162" w:lineRule="exact"/>
        <w:rPr>
          <w:rFonts w:ascii="Times New Roman" w:cs="Times New Roman" w:eastAsia="Times New Roman" w:hAnsi="Times New Roman"/>
          <w:sz w:val="18"/>
          <w:szCs w:val="18"/>
          <w:color w:val="auto"/>
        </w:rPr>
      </w:pPr>
    </w:p>
    <w:p>
      <w:pPr>
        <w:ind w:left="1840" w:hanging="552"/>
        <w:spacing w:after="0"/>
        <w:tabs>
          <w:tab w:leader="none" w:pos="1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219"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Code.</w:t>
      </w:r>
    </w:p>
    <w:p>
      <w:pPr>
        <w:spacing w:after="0" w:line="200" w:lineRule="exact"/>
        <w:rPr>
          <w:rFonts w:ascii="Times New Roman" w:cs="Times New Roman" w:eastAsia="Times New Roman" w:hAnsi="Times New Roman"/>
          <w:sz w:val="18"/>
          <w:szCs w:val="18"/>
          <w:color w:val="auto"/>
        </w:rPr>
      </w:pPr>
    </w:p>
    <w:p>
      <w:pPr>
        <w:ind w:right="60" w:firstLine="1288"/>
        <w:spacing w:after="0" w:line="262" w:lineRule="auto"/>
        <w:tabs>
          <w:tab w:leader="none" w:pos="18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Employee</w:t>
      </w:r>
      <w:r>
        <w:rPr>
          <w:rFonts w:ascii="Times New Roman" w:cs="Times New Roman" w:eastAsia="Times New Roman" w:hAnsi="Times New Roman"/>
          <w:sz w:val="18"/>
          <w:szCs w:val="18"/>
          <w:color w:val="auto"/>
        </w:rPr>
        <w:t>” means Employees, office holders of the Company or a Related Company (“Nosei Misra” - as such term is defined in the Israeli Companies Law 1999) and Directors (excluding those who are considered a “Controlling Shareholder” pursuant to Section 32(9) of the Tax Ordinance or otherwise excluded by the Tax Ordinance).</w:t>
      </w:r>
    </w:p>
    <w:p>
      <w:pPr>
        <w:spacing w:after="0" w:line="176" w:lineRule="exact"/>
        <w:rPr>
          <w:rFonts w:ascii="Times New Roman" w:cs="Times New Roman" w:eastAsia="Times New Roman" w:hAnsi="Times New Roman"/>
          <w:sz w:val="18"/>
          <w:szCs w:val="18"/>
          <w:color w:val="auto"/>
        </w:rPr>
      </w:pPr>
    </w:p>
    <w:p>
      <w:pPr>
        <w:ind w:right="240" w:firstLine="1288"/>
        <w:spacing w:after="0" w:line="277" w:lineRule="auto"/>
        <w:tabs>
          <w:tab w:leader="none" w:pos="18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Grantee</w:t>
      </w:r>
      <w:r>
        <w:rPr>
          <w:rFonts w:ascii="Times New Roman" w:cs="Times New Roman" w:eastAsia="Times New Roman" w:hAnsi="Times New Roman"/>
          <w:sz w:val="18"/>
          <w:szCs w:val="18"/>
          <w:color w:val="auto"/>
        </w:rPr>
        <w:t>” means Grantees who are residents of the State of Israel or those who are deemed to be residents of the State of Israel for the payment of tax (whether such grantee is entitled to the tax benefits under Section 102 or not).</w:t>
      </w:r>
    </w:p>
    <w:p>
      <w:pPr>
        <w:spacing w:after="0" w:line="162" w:lineRule="exact"/>
        <w:rPr>
          <w:rFonts w:ascii="Times New Roman" w:cs="Times New Roman" w:eastAsia="Times New Roman" w:hAnsi="Times New Roman"/>
          <w:sz w:val="18"/>
          <w:szCs w:val="18"/>
          <w:color w:val="auto"/>
        </w:rPr>
      </w:pPr>
    </w:p>
    <w:p>
      <w:pPr>
        <w:ind w:left="1840" w:hanging="552"/>
        <w:spacing w:after="0"/>
        <w:tabs>
          <w:tab w:leader="none" w:pos="1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Israeli Tax Authorities.</w:t>
      </w:r>
    </w:p>
    <w:p>
      <w:pPr>
        <w:spacing w:after="0" w:line="219" w:lineRule="exact"/>
        <w:rPr>
          <w:rFonts w:ascii="Times New Roman" w:cs="Times New Roman" w:eastAsia="Times New Roman" w:hAnsi="Times New Roman"/>
          <w:sz w:val="18"/>
          <w:szCs w:val="18"/>
          <w:color w:val="auto"/>
        </w:rPr>
      </w:pPr>
    </w:p>
    <w:p>
      <w:pPr>
        <w:ind w:left="1780" w:hanging="492"/>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w:t>
      </w:r>
      <w:r>
        <w:rPr>
          <w:rFonts w:ascii="Times New Roman" w:cs="Times New Roman" w:eastAsia="Times New Roman" w:hAnsi="Times New Roman"/>
          <w:sz w:val="18"/>
          <w:szCs w:val="18"/>
          <w:color w:val="auto"/>
        </w:rPr>
        <w:t>” means Consultants or any other person who is not an Israeli Employee.</w:t>
      </w:r>
    </w:p>
    <w:p>
      <w:pPr>
        <w:spacing w:after="0" w:line="219"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219"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Non-Trustee 102 Option</w:t>
      </w:r>
      <w:r>
        <w:rPr>
          <w:rFonts w:ascii="Times New Roman" w:cs="Times New Roman" w:eastAsia="Times New Roman" w:hAnsi="Times New Roman"/>
          <w:sz w:val="18"/>
          <w:szCs w:val="18"/>
          <w:color w:val="auto"/>
        </w:rPr>
        <w:t>” shall mean a 102 Option granted pursuant to Section 102(c) of the Tax Ordinance and not held in trust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Trustee.</w:t>
      </w:r>
    </w:p>
    <w:p>
      <w:pPr>
        <w:spacing w:after="0" w:line="200" w:lineRule="exact"/>
        <w:rPr>
          <w:rFonts w:ascii="Times New Roman" w:cs="Times New Roman" w:eastAsia="Times New Roman" w:hAnsi="Times New Roman"/>
          <w:sz w:val="18"/>
          <w:szCs w:val="18"/>
          <w:color w:val="auto"/>
        </w:rPr>
      </w:pPr>
    </w:p>
    <w:p>
      <w:pPr>
        <w:ind w:right="680" w:firstLine="1288"/>
        <w:spacing w:after="0" w:line="277" w:lineRule="auto"/>
        <w:tabs>
          <w:tab w:leader="none" w:pos="20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162" w:lineRule="exact"/>
        <w:rPr>
          <w:rFonts w:ascii="Times New Roman" w:cs="Times New Roman" w:eastAsia="Times New Roman" w:hAnsi="Times New Roman"/>
          <w:sz w:val="18"/>
          <w:szCs w:val="18"/>
          <w:color w:val="auto"/>
        </w:rPr>
      </w:pPr>
    </w:p>
    <w:p>
      <w:pPr>
        <w:ind w:left="1780" w:hanging="492"/>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219"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19" w:lineRule="exact"/>
        <w:rPr>
          <w:rFonts w:ascii="Times New Roman" w:cs="Times New Roman" w:eastAsia="Times New Roman" w:hAnsi="Times New Roman"/>
          <w:sz w:val="18"/>
          <w:szCs w:val="18"/>
          <w:color w:val="auto"/>
        </w:rPr>
      </w:pPr>
    </w:p>
    <w:p>
      <w:pPr>
        <w:ind w:left="1780" w:hanging="492"/>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means compensation qualifying as “performance-based compensation” under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162(m) of the Code.</w:t>
      </w:r>
    </w:p>
    <w:p>
      <w:pPr>
        <w:spacing w:after="0" w:line="201" w:lineRule="exact"/>
        <w:rPr>
          <w:sz w:val="20"/>
          <w:szCs w:val="20"/>
          <w:color w:val="auto"/>
        </w:rPr>
      </w:pPr>
    </w:p>
    <w:p>
      <w:pPr>
        <w:ind w:left="1940" w:hanging="652"/>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Amended and Restated 2006 Stock Incentive Plan.</w:t>
      </w:r>
    </w:p>
    <w:p>
      <w:pPr>
        <w:spacing w:after="0" w:line="219" w:lineRule="exact"/>
        <w:rPr>
          <w:rFonts w:ascii="Times New Roman" w:cs="Times New Roman" w:eastAsia="Times New Roman" w:hAnsi="Times New Roman"/>
          <w:sz w:val="18"/>
          <w:szCs w:val="18"/>
          <w:color w:val="auto"/>
        </w:rPr>
      </w:pPr>
    </w:p>
    <w:p>
      <w:pPr>
        <w:ind w:right="200" w:firstLine="1288"/>
        <w:spacing w:after="0" w:line="277" w:lineRule="auto"/>
        <w:tabs>
          <w:tab w:leader="none" w:pos="18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 With respect to Israeli Grantees of 102 Options, the definition shall further include any entity permitted under Section 102 (a) of the Tax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0" w:name="page51"/>
    <w:bookmarkEnd w:id="50"/>
    <w:p>
      <w:pPr>
        <w:ind w:left="-647" w:right="100" w:firstLine="1288"/>
        <w:spacing w:after="0" w:line="254" w:lineRule="auto"/>
        <w:tabs>
          <w:tab w:leader="none" w:pos="133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5" w:lineRule="exact"/>
        <w:rPr>
          <w:rFonts w:ascii="Times New Roman" w:cs="Times New Roman" w:eastAsia="Times New Roman" w:hAnsi="Times New Roman"/>
          <w:sz w:val="18"/>
          <w:szCs w:val="18"/>
          <w:color w:val="auto"/>
        </w:rPr>
      </w:pPr>
    </w:p>
    <w:p>
      <w:pPr>
        <w:ind w:left="-647" w:firstLine="1288"/>
        <w:spacing w:after="0" w:line="307" w:lineRule="auto"/>
        <w:tabs>
          <w:tab w:leader="none" w:pos="119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40" w:lineRule="exact"/>
        <w:rPr>
          <w:rFonts w:ascii="Times New Roman" w:cs="Times New Roman" w:eastAsia="Times New Roman" w:hAnsi="Times New Roman"/>
          <w:sz w:val="17"/>
          <w:szCs w:val="17"/>
          <w:color w:val="auto"/>
        </w:rPr>
      </w:pPr>
    </w:p>
    <w:p>
      <w:pPr>
        <w:ind w:left="-647" w:right="80" w:firstLine="1288"/>
        <w:spacing w:after="0" w:line="262" w:lineRule="auto"/>
        <w:tabs>
          <w:tab w:leader="none" w:pos="11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76" w:lineRule="exact"/>
        <w:rPr>
          <w:rFonts w:ascii="Times New Roman" w:cs="Times New Roman" w:eastAsia="Times New Roman" w:hAnsi="Times New Roman"/>
          <w:sz w:val="18"/>
          <w:szCs w:val="18"/>
          <w:color w:val="auto"/>
        </w:rPr>
      </w:pPr>
    </w:p>
    <w:p>
      <w:pPr>
        <w:ind w:left="1153" w:hanging="512"/>
        <w:spacing w:after="0"/>
        <w:tabs>
          <w:tab w:leader="none" w:pos="11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 thereto.</w:t>
      </w:r>
    </w:p>
    <w:p>
      <w:pPr>
        <w:spacing w:after="0" w:line="219" w:lineRule="exact"/>
        <w:rPr>
          <w:rFonts w:ascii="Times New Roman" w:cs="Times New Roman" w:eastAsia="Times New Roman" w:hAnsi="Times New Roman"/>
          <w:sz w:val="18"/>
          <w:szCs w:val="18"/>
          <w:color w:val="auto"/>
        </w:rPr>
      </w:pPr>
    </w:p>
    <w:p>
      <w:pPr>
        <w:ind w:left="-647" w:right="120" w:firstLine="1288"/>
        <w:spacing w:after="0" w:line="277" w:lineRule="auto"/>
        <w:tabs>
          <w:tab w:leader="none" w:pos="115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162" w:lineRule="exact"/>
        <w:rPr>
          <w:rFonts w:ascii="Times New Roman" w:cs="Times New Roman" w:eastAsia="Times New Roman" w:hAnsi="Times New Roman"/>
          <w:sz w:val="18"/>
          <w:szCs w:val="18"/>
          <w:color w:val="auto"/>
        </w:rPr>
      </w:pPr>
    </w:p>
    <w:p>
      <w:pPr>
        <w:ind w:left="1133" w:hanging="492"/>
        <w:spacing w:after="0"/>
        <w:tabs>
          <w:tab w:leader="none" w:pos="113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means section 3(I) of the Tax Ordinance as may be amended from time to time.</w:t>
      </w:r>
    </w:p>
    <w:p>
      <w:pPr>
        <w:spacing w:after="0" w:line="219" w:lineRule="exact"/>
        <w:rPr>
          <w:rFonts w:ascii="Times New Roman" w:cs="Times New Roman" w:eastAsia="Times New Roman" w:hAnsi="Times New Roman"/>
          <w:sz w:val="18"/>
          <w:szCs w:val="18"/>
          <w:color w:val="auto"/>
        </w:rPr>
      </w:pPr>
    </w:p>
    <w:p>
      <w:pPr>
        <w:ind w:left="1213" w:hanging="572"/>
        <w:spacing w:after="0"/>
        <w:tabs>
          <w:tab w:leader="none" w:pos="121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Tax Ordinance as may be amended from time to time.</w:t>
      </w:r>
    </w:p>
    <w:p>
      <w:pPr>
        <w:spacing w:after="0" w:line="219" w:lineRule="exact"/>
        <w:rPr>
          <w:rFonts w:ascii="Times New Roman" w:cs="Times New Roman" w:eastAsia="Times New Roman" w:hAnsi="Times New Roman"/>
          <w:sz w:val="18"/>
          <w:szCs w:val="18"/>
          <w:color w:val="auto"/>
        </w:rPr>
      </w:pPr>
    </w:p>
    <w:p>
      <w:pPr>
        <w:ind w:left="1213" w:hanging="572"/>
        <w:spacing w:after="0"/>
        <w:tabs>
          <w:tab w:leader="none" w:pos="121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219" w:lineRule="exact"/>
        <w:rPr>
          <w:rFonts w:ascii="Times New Roman" w:cs="Times New Roman" w:eastAsia="Times New Roman" w:hAnsi="Times New Roman"/>
          <w:sz w:val="18"/>
          <w:szCs w:val="18"/>
          <w:color w:val="auto"/>
        </w:rPr>
      </w:pPr>
    </w:p>
    <w:p>
      <w:pPr>
        <w:ind w:left="1273" w:hanging="632"/>
        <w:spacing w:after="0"/>
        <w:tabs>
          <w:tab w:leader="none" w:pos="127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19" w:lineRule="exact"/>
        <w:rPr>
          <w:rFonts w:ascii="Times New Roman" w:cs="Times New Roman" w:eastAsia="Times New Roman" w:hAnsi="Times New Roman"/>
          <w:sz w:val="18"/>
          <w:szCs w:val="18"/>
          <w:color w:val="auto"/>
        </w:rPr>
      </w:pPr>
    </w:p>
    <w:p>
      <w:pPr>
        <w:ind w:left="-647" w:right="60" w:firstLine="1288"/>
        <w:spacing w:after="0" w:line="262" w:lineRule="auto"/>
        <w:tabs>
          <w:tab w:leader="none" w:pos="14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Ordinance</w:t>
      </w:r>
      <w:r>
        <w:rPr>
          <w:rFonts w:ascii="Times New Roman" w:cs="Times New Roman" w:eastAsia="Times New Roman" w:hAnsi="Times New Roman"/>
          <w:sz w:val="18"/>
          <w:szCs w:val="18"/>
          <w:color w:val="auto"/>
        </w:rPr>
        <w:t>” means the Israeli Income Tax Ordinance [New Version], 1961 (including as amended pursuant to Amendment 132 thereto) and to the extent not specifically indicated hereunder also the rules, regulations and orders or procedures promulgated thereunder from time to time, as amended or replaced from time to time.</w:t>
      </w:r>
    </w:p>
    <w:p>
      <w:pPr>
        <w:spacing w:after="0" w:line="176" w:lineRule="exact"/>
        <w:rPr>
          <w:rFonts w:ascii="Times New Roman" w:cs="Times New Roman" w:eastAsia="Times New Roman" w:hAnsi="Times New Roman"/>
          <w:sz w:val="18"/>
          <w:szCs w:val="18"/>
          <w:color w:val="auto"/>
        </w:rPr>
      </w:pPr>
    </w:p>
    <w:p>
      <w:pPr>
        <w:ind w:left="-647" w:right="300" w:firstLine="1288"/>
        <w:spacing w:after="0" w:line="277" w:lineRule="auto"/>
        <w:tabs>
          <w:tab w:leader="none" w:pos="11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any individual appointed by the Company to serve as trustee and approved by the ITA, in accordance with the provisions of Section 102(a) of the Tax Ordinance and the regulations promulgated thereunder.</w:t>
      </w:r>
    </w:p>
    <w:p>
      <w:pPr>
        <w:spacing w:after="0" w:line="162" w:lineRule="exact"/>
        <w:rPr>
          <w:rFonts w:ascii="Times New Roman" w:cs="Times New Roman" w:eastAsia="Times New Roman" w:hAnsi="Times New Roman"/>
          <w:sz w:val="18"/>
          <w:szCs w:val="18"/>
          <w:color w:val="auto"/>
        </w:rPr>
      </w:pPr>
    </w:p>
    <w:p>
      <w:pPr>
        <w:ind w:left="-647" w:right="60" w:firstLine="1288"/>
        <w:spacing w:after="0" w:line="277" w:lineRule="auto"/>
        <w:tabs>
          <w:tab w:leader="none" w:pos="117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 102 Option</w:t>
      </w:r>
      <w:r>
        <w:rPr>
          <w:rFonts w:ascii="Times New Roman" w:cs="Times New Roman" w:eastAsia="Times New Roman" w:hAnsi="Times New Roman"/>
          <w:sz w:val="18"/>
          <w:szCs w:val="18"/>
          <w:color w:val="auto"/>
        </w:rPr>
        <w:t>” means a 102 Option granted pursuant to Section 102(b) of the Tax Ordinance and held in trust by the Trustee for the benefit of an Israeli Grantee.</w:t>
      </w:r>
    </w:p>
    <w:p>
      <w:pPr>
        <w:spacing w:after="0" w:line="162" w:lineRule="exact"/>
        <w:rPr>
          <w:rFonts w:ascii="Times New Roman" w:cs="Times New Roman" w:eastAsia="Times New Roman" w:hAnsi="Times New Roman"/>
          <w:sz w:val="18"/>
          <w:szCs w:val="18"/>
          <w:color w:val="auto"/>
        </w:rPr>
      </w:pPr>
    </w:p>
    <w:p>
      <w:pPr>
        <w:ind w:left="713" w:hanging="713"/>
        <w:spacing w:after="0"/>
        <w:tabs>
          <w:tab w:leader="none" w:pos="7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7" w:right="20" w:firstLine="1288"/>
        <w:spacing w:after="0" w:line="253" w:lineRule="auto"/>
        <w:tabs>
          <w:tab w:leader="none" w:pos="13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Section 10,‎ below, the maximum aggregate number of Shares which may be issued pursuant to all Awards (including Incentive Stock Options) under the Plan is </w:t>
      </w:r>
      <w:r>
        <w:rPr>
          <w:rFonts w:ascii="Times New Roman" w:cs="Times New Roman" w:eastAsia="Times New Roman" w:hAnsi="Times New Roman"/>
          <w:sz w:val="18"/>
          <w:szCs w:val="18"/>
          <w:color w:val="B5082E"/>
          <w:strike w:val="1"/>
        </w:rPr>
        <w:t>8,475,171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EAFC2"/>
        </w:rPr>
        <w:t>12,475,171</w:t>
      </w:r>
      <w:r>
        <w:rPr>
          <w:rFonts w:ascii="Times New Roman" w:cs="Times New Roman" w:eastAsia="Times New Roman" w:hAnsi="Times New Roman"/>
          <w:sz w:val="18"/>
          <w:szCs w:val="18"/>
          <w:color w:val="auto"/>
        </w:rPr>
        <w:t xml:space="preserve"> Shares. Notwithstanding the foregoing, any Shares issued from and after November 10, 2014 in connection with Awards other than Options and SARs shall be counted against the limit set forth herein as one and one-half (1.5) Shares for every one (1) Share issued in connection with such Award (and shall be counted as one and one-half (1.5) Shares for every one (1) Share returned or deemed not have been issued from the Plan pursuant to Section 3(b) below in connection with Awards other than Options and SARs). The Shares to be issued pursuant to Awards may be authorized, but unissued, or reacquired Common Stock.</w:t>
      </w:r>
    </w:p>
    <w:p>
      <w:pPr>
        <w:spacing w:after="0" w:line="185" w:lineRule="exact"/>
        <w:rPr>
          <w:rFonts w:ascii="Times New Roman" w:cs="Times New Roman" w:eastAsia="Times New Roman" w:hAnsi="Times New Roman"/>
          <w:sz w:val="18"/>
          <w:szCs w:val="18"/>
          <w:color w:val="auto"/>
        </w:rPr>
      </w:pPr>
    </w:p>
    <w:p>
      <w:pPr>
        <w:ind w:left="-647" w:firstLine="1288"/>
        <w:spacing w:after="0" w:line="251" w:lineRule="auto"/>
        <w:tabs>
          <w:tab w:leader="none" w:pos="1365"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and (iii) all Shares covered by the portion of an SAR that is exercised (whether or not Shares are actually issued to the Grantee upon exercise of the SAR) shall be considered issued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265430</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53"/>
          </w:cols>
          <w:pgMar w:left="967" w:top="895" w:right="379" w:bottom="1440" w:gutter="0" w:footer="0" w:header="0"/>
        </w:sectPr>
      </w:pPr>
    </w:p>
    <w:bookmarkStart w:id="51" w:name="page52"/>
    <w:bookmarkEnd w:id="51"/>
    <w:p>
      <w:pPr>
        <w:ind w:left="1360" w:hanging="713"/>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right="20" w:firstLine="1928"/>
        <w:spacing w:after="0" w:line="254" w:lineRule="auto"/>
        <w:tabs>
          <w:tab w:leader="none" w:pos="262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85" w:lineRule="exact"/>
        <w:rPr>
          <w:rFonts w:ascii="Times New Roman" w:cs="Times New Roman" w:eastAsia="Times New Roman" w:hAnsi="Times New Roman"/>
          <w:sz w:val="18"/>
          <w:szCs w:val="18"/>
          <w:color w:val="auto"/>
        </w:rPr>
      </w:pPr>
    </w:p>
    <w:p>
      <w:pPr>
        <w:ind w:right="40" w:firstLine="1928"/>
        <w:spacing w:after="0" w:line="254" w:lineRule="auto"/>
        <w:tabs>
          <w:tab w:leader="none" w:pos="267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185" w:lineRule="exact"/>
        <w:rPr>
          <w:rFonts w:ascii="Times New Roman" w:cs="Times New Roman" w:eastAsia="Times New Roman" w:hAnsi="Times New Roman"/>
          <w:sz w:val="18"/>
          <w:szCs w:val="18"/>
          <w:color w:val="auto"/>
        </w:rPr>
      </w:pPr>
    </w:p>
    <w:p>
      <w:pPr>
        <w:ind w:right="40" w:firstLine="1928"/>
        <w:spacing w:after="0" w:line="254" w:lineRule="auto"/>
        <w:tabs>
          <w:tab w:leader="none" w:pos="272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Covered Employees</w:t>
      </w:r>
      <w:r>
        <w:rPr>
          <w:rFonts w:ascii="Times New Roman" w:cs="Times New Roman" w:eastAsia="Times New Roman" w:hAnsi="Times New Roman"/>
          <w:sz w:val="18"/>
          <w:szCs w:val="18"/>
          <w:color w:val="auto"/>
        </w:rPr>
        <w:t>. Notwithstanding the foregoing,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spacing w:after="0" w:line="185" w:lineRule="exact"/>
        <w:rPr>
          <w:rFonts w:ascii="Times New Roman" w:cs="Times New Roman" w:eastAsia="Times New Roman" w:hAnsi="Times New Roman"/>
          <w:sz w:val="18"/>
          <w:szCs w:val="18"/>
          <w:color w:val="auto"/>
        </w:rPr>
      </w:pPr>
    </w:p>
    <w:p>
      <w:pPr>
        <w:ind w:right="80" w:firstLine="1928"/>
        <w:spacing w:after="0" w:line="257" w:lineRule="auto"/>
        <w:tabs>
          <w:tab w:leader="none" w:pos="266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Israeli Grantees</w:t>
      </w:r>
      <w:r>
        <w:rPr>
          <w:rFonts w:ascii="Times New Roman" w:cs="Times New Roman" w:eastAsia="Times New Roman" w:hAnsi="Times New Roman"/>
          <w:sz w:val="18"/>
          <w:szCs w:val="18"/>
          <w:color w:val="auto"/>
        </w:rPr>
        <w:t>. With respect to grants of Awards to Israeli Grantees, the Plan shall be administered by (A) the Board or (B) a Committee or one or more Officers designated by the Board, which Committee or Officers shall be constituted or appointed in such a manner as to satisfy the ITA and the Applicable Laws applicable to Awards for Israeli Grantees. Once appointed, such Committee or Officer shall continue to serve in its/his/her designated capacity until otherwise directed by the Board.</w:t>
      </w:r>
    </w:p>
    <w:p>
      <w:pPr>
        <w:spacing w:after="0" w:line="180" w:lineRule="exact"/>
        <w:rPr>
          <w:rFonts w:ascii="Times New Roman" w:cs="Times New Roman" w:eastAsia="Times New Roman" w:hAnsi="Times New Roman"/>
          <w:sz w:val="18"/>
          <w:szCs w:val="18"/>
          <w:color w:val="auto"/>
        </w:rPr>
      </w:pPr>
    </w:p>
    <w:p>
      <w:pPr>
        <w:ind w:left="2660" w:hanging="732"/>
        <w:spacing w:after="0"/>
        <w:tabs>
          <w:tab w:leader="none" w:pos="26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Errors</w:t>
      </w:r>
      <w:r>
        <w:rPr>
          <w:rFonts w:ascii="Times New Roman" w:cs="Times New Roman" w:eastAsia="Times New Roman" w:hAnsi="Times New Roman"/>
          <w:sz w:val="18"/>
          <w:szCs w:val="18"/>
          <w:color w:val="auto"/>
        </w:rPr>
        <w:t>. In the event an Award is granted in a manner inconsistent with the provisions of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(a), such Award shall be presumptively valid as of its grant date to the extent permitted by the Applicable Laws.</w:t>
      </w:r>
    </w:p>
    <w:p>
      <w:pPr>
        <w:spacing w:after="0" w:line="201" w:lineRule="exact"/>
        <w:rPr>
          <w:sz w:val="20"/>
          <w:szCs w:val="20"/>
          <w:color w:val="auto"/>
        </w:rPr>
      </w:pPr>
    </w:p>
    <w:p>
      <w:pPr>
        <w:ind w:firstLine="1288"/>
        <w:spacing w:after="0" w:line="277" w:lineRule="auto"/>
        <w:tabs>
          <w:tab w:leader="none" w:pos="20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62"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0"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2" w:name="page53"/>
    <w:bookmarkEnd w:id="52"/>
    <w:p>
      <w:pPr>
        <w:ind w:left="2660" w:hanging="732"/>
        <w:spacing w:after="0"/>
        <w:tabs>
          <w:tab w:leader="none" w:pos="2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219" w:lineRule="exact"/>
        <w:rPr>
          <w:rFonts w:ascii="Times New Roman" w:cs="Times New Roman" w:eastAsia="Times New Roman" w:hAnsi="Times New Roman"/>
          <w:sz w:val="18"/>
          <w:szCs w:val="18"/>
          <w:color w:val="auto"/>
        </w:rPr>
      </w:pPr>
    </w:p>
    <w:p>
      <w:pPr>
        <w:ind w:right="20" w:firstLine="1928"/>
        <w:spacing w:after="0" w:line="250" w:lineRule="auto"/>
        <w:tabs>
          <w:tab w:leader="none" w:pos="26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the Plan, provided that (A)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another Option, SAR, Restricted Stock, or other Award or for cash shall be subject to stockholder approval, unless the cancellation and exchange occurs in connection with a Corporate Transaction. Notwithstanding the foregoing, canceling an Option or SAR in exchange for another Option, SAR, Restricted Stock, or other Award or for cash with an exercise price, purchase price or base appreciation amount (as applicable) that is equal to or greater than the exercise price or base appreciation amount (as applicable) of the original Option or SAR shall not be subject to stockholder approval;</w:t>
      </w:r>
    </w:p>
    <w:p>
      <w:pPr>
        <w:spacing w:after="0" w:line="192" w:lineRule="exact"/>
        <w:rPr>
          <w:rFonts w:ascii="Times New Roman" w:cs="Times New Roman" w:eastAsia="Times New Roman" w:hAnsi="Times New Roman"/>
          <w:sz w:val="18"/>
          <w:szCs w:val="18"/>
          <w:color w:val="auto"/>
        </w:rPr>
      </w:pPr>
    </w:p>
    <w:p>
      <w:pPr>
        <w:ind w:right="140" w:firstLine="1928"/>
        <w:spacing w:after="0" w:line="277" w:lineRule="auto"/>
        <w:tabs>
          <w:tab w:leader="none" w:pos="26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 limitation, any notice of award or Award Agreement, granted pursuant to the Plan;</w:t>
      </w:r>
    </w:p>
    <w:p>
      <w:pPr>
        <w:spacing w:after="0" w:line="162" w:lineRule="exact"/>
        <w:rPr>
          <w:rFonts w:ascii="Times New Roman" w:cs="Times New Roman" w:eastAsia="Times New Roman" w:hAnsi="Times New Roman"/>
          <w:sz w:val="18"/>
          <w:szCs w:val="18"/>
          <w:color w:val="auto"/>
        </w:rPr>
      </w:pPr>
    </w:p>
    <w:p>
      <w:pPr>
        <w:ind w:right="400" w:firstLine="1928"/>
        <w:spacing w:after="0" w:line="262" w:lineRule="auto"/>
        <w:tabs>
          <w:tab w:leader="none" w:pos="26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spacing w:after="0" w:line="176" w:lineRule="exact"/>
        <w:rPr>
          <w:rFonts w:ascii="Times New Roman" w:cs="Times New Roman" w:eastAsia="Times New Roman" w:hAnsi="Times New Roman"/>
          <w:sz w:val="18"/>
          <w:szCs w:val="18"/>
          <w:color w:val="auto"/>
        </w:rPr>
      </w:pPr>
    </w:p>
    <w:p>
      <w:pPr>
        <w:ind w:right="180" w:firstLine="1928"/>
        <w:spacing w:after="0" w:line="277" w:lineRule="auto"/>
        <w:tabs>
          <w:tab w:leader="none" w:pos="27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Awards as 102 Options (whether through a trustee or not) or 3(I) Options subject to the limitations under the ITA or any other Applicable Law and to determine the type and route of the Trustee 102 Options.</w:t>
      </w:r>
    </w:p>
    <w:p>
      <w:pPr>
        <w:spacing w:after="0" w:line="162" w:lineRule="exact"/>
        <w:rPr>
          <w:rFonts w:ascii="Times New Roman" w:cs="Times New Roman" w:eastAsia="Times New Roman" w:hAnsi="Times New Roman"/>
          <w:sz w:val="18"/>
          <w:szCs w:val="18"/>
          <w:color w:val="auto"/>
        </w:rPr>
      </w:pPr>
    </w:p>
    <w:p>
      <w:pPr>
        <w:ind w:left="2660" w:hanging="732"/>
        <w:spacing w:after="0"/>
        <w:tabs>
          <w:tab w:leader="none" w:pos="2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76" w:lineRule="exact"/>
        <w:rPr>
          <w:sz w:val="20"/>
          <w:szCs w:val="20"/>
          <w:color w:val="auto"/>
        </w:rPr>
      </w:pPr>
    </w:p>
    <w:p>
      <w:pPr>
        <w:ind w:firstLine="1288"/>
        <w:spacing w:after="0" w:line="250" w:lineRule="auto"/>
        <w:tabs>
          <w:tab w:leader="none" w:pos="201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92" w:lineRule="exact"/>
        <w:rPr>
          <w:rFonts w:ascii="Times New Roman" w:cs="Times New Roman" w:eastAsia="Times New Roman" w:hAnsi="Times New Roman"/>
          <w:sz w:val="18"/>
          <w:szCs w:val="18"/>
          <w:color w:val="auto"/>
        </w:rPr>
      </w:pPr>
    </w:p>
    <w:p>
      <w:pPr>
        <w:ind w:right="100" w:firstLine="647"/>
        <w:spacing w:after="0" w:line="254" w:lineRule="auto"/>
        <w:tabs>
          <w:tab w:leader="none" w:pos="13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 provided however that Awards to Israeli Grantees under Section 102 or Section 3(I) of the Tax Ordinance shall be subject to Section 20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The Company does not warrant that the Plan will be recognized by the income tax authorities in any jurisdiction or that future changes will not be made to the provisions of applicable laws or rules or regulations which are promulgated from time to time thereunder, or that any exemption or benefit currently available, whether by the ITA pursuant to Section 102 or otherwise, will not be abolished.</w:t>
      </w:r>
    </w:p>
    <w:p>
      <w:pPr>
        <w:spacing w:after="0" w:line="176" w:lineRule="exact"/>
        <w:rPr>
          <w:sz w:val="20"/>
          <w:szCs w:val="20"/>
          <w:color w:val="auto"/>
        </w:rPr>
      </w:pPr>
    </w:p>
    <w:p>
      <w:pPr>
        <w:ind w:left="1360" w:hanging="713"/>
        <w:spacing w:after="0"/>
        <w:tabs>
          <w:tab w:leader="none" w:pos="13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firstLine="1288"/>
        <w:spacing w:after="0" w:line="253" w:lineRule="auto"/>
        <w:tabs>
          <w:tab w:leader="none" w:pos="201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85" w:lineRule="exact"/>
        <w:rPr>
          <w:rFonts w:ascii="Times New Roman" w:cs="Times New Roman" w:eastAsia="Times New Roman" w:hAnsi="Times New Roman"/>
          <w:sz w:val="18"/>
          <w:szCs w:val="18"/>
          <w:color w:val="auto"/>
        </w:rPr>
      </w:pPr>
    </w:p>
    <w:p>
      <w:pPr>
        <w:ind w:right="20" w:firstLine="1288"/>
        <w:spacing w:after="0" w:line="250" w:lineRule="auto"/>
        <w:tabs>
          <w:tab w:leader="none" w:pos="202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and with respect to Israeli Grantees may be further designated as 102 Options or 3(I) Options under the Tax Ordinance subject to the qualifications described in Section 20 below.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90" w:lineRule="exact"/>
        <w:rPr>
          <w:rFonts w:ascii="Times New Roman" w:cs="Times New Roman" w:eastAsia="Times New Roman" w:hAnsi="Times New Roman"/>
          <w:sz w:val="18"/>
          <w:szCs w:val="18"/>
          <w:color w:val="auto"/>
        </w:rPr>
      </w:pPr>
    </w:p>
    <w:p>
      <w:pPr>
        <w:ind w:right="60" w:firstLine="1288"/>
        <w:spacing w:after="0" w:line="267" w:lineRule="auto"/>
        <w:tabs>
          <w:tab w:leader="none" w:pos="2012"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Award</w:t>
      </w:r>
      <w:r>
        <w:rPr>
          <w:rFonts w:ascii="Times New Roman" w:cs="Times New Roman" w:eastAsia="Times New Roman" w:hAnsi="Times New Roman"/>
          <w:sz w:val="17"/>
          <w:szCs w:val="17"/>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increase in share price, (ii) earnings per share,</w:t>
      </w:r>
    </w:p>
    <w:p>
      <w:pPr>
        <w:spacing w:after="0" w:line="3" w:lineRule="exact"/>
        <w:rPr>
          <w:rFonts w:ascii="Times New Roman" w:cs="Times New Roman" w:eastAsia="Times New Roman" w:hAnsi="Times New Roman"/>
          <w:sz w:val="17"/>
          <w:szCs w:val="17"/>
          <w:color w:val="auto"/>
        </w:rPr>
      </w:pPr>
    </w:p>
    <w:p>
      <w:pPr>
        <w:ind w:right="300" w:firstLine="7"/>
        <w:spacing w:after="0" w:line="262" w:lineRule="auto"/>
        <w:tabs>
          <w:tab w:leader="none" w:pos="31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stockholder return, (iv) operating margin, (v) gross margin, (vi) return on equity, (vii) return on assets, (viii) return on investment, (ix) operating income, (x) net operating income, (xi) pre-tax profit, (xii) cash flow, (xiii) revenue, (xiv) expenses, (xv) earnings before interest, taxes and depreciation,</w:t>
      </w:r>
    </w:p>
    <w:p>
      <w:pPr>
        <w:ind w:firstLine="7"/>
        <w:spacing w:after="0" w:line="248" w:lineRule="auto"/>
        <w:tabs>
          <w:tab w:leader="none" w:pos="3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 and (xvii) 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91" w:lineRule="exact"/>
        <w:rPr>
          <w:rFonts w:ascii="Times New Roman" w:cs="Times New Roman" w:eastAsia="Times New Roman" w:hAnsi="Times New Roman"/>
          <w:sz w:val="18"/>
          <w:szCs w:val="18"/>
          <w:color w:val="auto"/>
        </w:rPr>
      </w:pPr>
    </w:p>
    <w:p>
      <w:pPr>
        <w:ind w:right="300" w:firstLine="1288"/>
        <w:spacing w:after="0" w:line="262" w:lineRule="auto"/>
        <w:tabs>
          <w:tab w:leader="none" w:pos="202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76" w:lineRule="exact"/>
        <w:rPr>
          <w:rFonts w:ascii="Times New Roman" w:cs="Times New Roman" w:eastAsia="Times New Roman" w:hAnsi="Times New Roman"/>
          <w:sz w:val="18"/>
          <w:szCs w:val="18"/>
          <w:color w:val="auto"/>
        </w:rPr>
      </w:pPr>
    </w:p>
    <w:p>
      <w:pPr>
        <w:ind w:right="140" w:firstLine="1288"/>
        <w:spacing w:after="0" w:line="253" w:lineRule="auto"/>
        <w:tabs>
          <w:tab w:leader="none" w:pos="2012"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ind w:left="-1120" w:right="280" w:firstLine="1288"/>
        <w:spacing w:after="0" w:line="307" w:lineRule="auto"/>
        <w:tabs>
          <w:tab w:leader="none" w:pos="87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Separate Programs</w:t>
      </w:r>
      <w:r>
        <w:rPr>
          <w:rFonts w:ascii="Times New Roman" w:cs="Times New Roman" w:eastAsia="Times New Roman" w:hAnsi="Times New Roman"/>
          <w:sz w:val="17"/>
          <w:szCs w:val="17"/>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40" w:lineRule="exact"/>
        <w:rPr>
          <w:rFonts w:ascii="Times New Roman" w:cs="Times New Roman" w:eastAsia="Times New Roman" w:hAnsi="Times New Roman"/>
          <w:sz w:val="17"/>
          <w:szCs w:val="17"/>
          <w:color w:val="auto"/>
        </w:rPr>
      </w:pPr>
    </w:p>
    <w:p>
      <w:pPr>
        <w:ind w:left="900" w:hanging="732"/>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Limitations on Awards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1120" w:right="80" w:firstLine="1928"/>
        <w:spacing w:after="0" w:line="251" w:lineRule="auto"/>
        <w:tabs>
          <w:tab w:leader="none" w:pos="150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Options and SARs</w:t>
      </w:r>
      <w:r>
        <w:rPr>
          <w:rFonts w:ascii="Times New Roman" w:cs="Times New Roman" w:eastAsia="Times New Roman" w:hAnsi="Times New Roman"/>
          <w:sz w:val="18"/>
          <w:szCs w:val="18"/>
          <w:color w:val="auto"/>
        </w:rPr>
        <w:t xml:space="preserve">. The maximum number of Shares with respect to which Options and SARs may be granted to any Grantee in any calendar year shall be </w:t>
      </w:r>
      <w:r>
        <w:rPr>
          <w:rFonts w:ascii="Times New Roman" w:cs="Times New Roman" w:eastAsia="Times New Roman" w:hAnsi="Times New Roman"/>
          <w:sz w:val="18"/>
          <w:szCs w:val="18"/>
          <w:color w:val="B5082E"/>
          <w:strike w:val="1"/>
        </w:rPr>
        <w:t>8,475,171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EAFC2"/>
        </w:rPr>
        <w:t>12,475,171</w:t>
      </w:r>
      <w:r>
        <w:rPr>
          <w:rFonts w:ascii="Times New Roman" w:cs="Times New Roman" w:eastAsia="Times New Roman" w:hAnsi="Times New Roman"/>
          <w:sz w:val="18"/>
          <w:szCs w:val="18"/>
          <w:color w:val="auto"/>
        </w:rPr>
        <w:t xml:space="preserve"> Shares.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189" w:lineRule="exact"/>
        <w:rPr>
          <w:rFonts w:ascii="Times New Roman" w:cs="Times New Roman" w:eastAsia="Times New Roman" w:hAnsi="Times New Roman"/>
          <w:sz w:val="18"/>
          <w:szCs w:val="18"/>
          <w:color w:val="auto"/>
        </w:rPr>
      </w:pPr>
    </w:p>
    <w:p>
      <w:pPr>
        <w:jc w:val="both"/>
        <w:ind w:left="-1120" w:right="40" w:firstLine="1928"/>
        <w:spacing w:after="0" w:line="257" w:lineRule="auto"/>
        <w:tabs>
          <w:tab w:leader="none" w:pos="15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Restricted Stock and Restricted Stock Units</w:t>
      </w:r>
      <w:r>
        <w:rPr>
          <w:rFonts w:ascii="Times New Roman" w:cs="Times New Roman" w:eastAsia="Times New Roman" w:hAnsi="Times New Roman"/>
          <w:sz w:val="18"/>
          <w:szCs w:val="18"/>
          <w:color w:val="auto"/>
        </w:rPr>
        <w:t xml:space="preserve">. For awards of Restricted Stock and Restricted Stock Units that are intended to be Performance-Based Compensation, the maximum number of Shares with respect to which such Awards may be granted to any Grantee in any calendar year shall be </w:t>
      </w:r>
      <w:r>
        <w:rPr>
          <w:rFonts w:ascii="Times New Roman" w:cs="Times New Roman" w:eastAsia="Times New Roman" w:hAnsi="Times New Roman"/>
          <w:sz w:val="18"/>
          <w:szCs w:val="18"/>
          <w:color w:val="B5082E"/>
          <w:strike w:val="1"/>
        </w:rPr>
        <w:t>8,475,171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3EAFC2"/>
        </w:rPr>
        <w:t>12,475,171</w:t>
      </w:r>
      <w:r>
        <w:rPr>
          <w:rFonts w:ascii="Times New Roman" w:cs="Times New Roman" w:eastAsia="Times New Roman" w:hAnsi="Times New Roman"/>
          <w:sz w:val="18"/>
          <w:szCs w:val="18"/>
          <w:color w:val="auto"/>
        </w:rPr>
        <w:t xml:space="preserve"> Shares. The foregoing limitation shall be adjusted proportionately in connection with any change in the Company’s capitalization pursuant to Section 10,‎ below.</w:t>
      </w:r>
    </w:p>
    <w:p>
      <w:pPr>
        <w:spacing w:after="0" w:line="180" w:lineRule="exact"/>
        <w:rPr>
          <w:rFonts w:ascii="Times New Roman" w:cs="Times New Roman" w:eastAsia="Times New Roman" w:hAnsi="Times New Roman"/>
          <w:sz w:val="18"/>
          <w:szCs w:val="18"/>
          <w:color w:val="auto"/>
        </w:rPr>
      </w:pPr>
    </w:p>
    <w:p>
      <w:pPr>
        <w:ind w:left="-1120" w:right="40" w:firstLine="1928"/>
        <w:spacing w:after="0" w:line="254" w:lineRule="auto"/>
        <w:tabs>
          <w:tab w:leader="none" w:pos="160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185" w:lineRule="exact"/>
        <w:rPr>
          <w:rFonts w:ascii="Times New Roman" w:cs="Times New Roman" w:eastAsia="Times New Roman" w:hAnsi="Times New Roman"/>
          <w:sz w:val="18"/>
          <w:szCs w:val="18"/>
          <w:color w:val="auto"/>
        </w:rPr>
      </w:pPr>
    </w:p>
    <w:p>
      <w:pPr>
        <w:ind w:left="-1120" w:right="100" w:firstLine="1288"/>
        <w:spacing w:after="0" w:line="257" w:lineRule="auto"/>
        <w:tabs>
          <w:tab w:leader="none" w:pos="90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80" w:lineRule="exact"/>
        <w:rPr>
          <w:rFonts w:ascii="Times New Roman" w:cs="Times New Roman" w:eastAsia="Times New Roman" w:hAnsi="Times New Roman"/>
          <w:sz w:val="18"/>
          <w:szCs w:val="18"/>
          <w:color w:val="auto"/>
        </w:rPr>
      </w:pPr>
    </w:p>
    <w:p>
      <w:pPr>
        <w:ind w:left="-1120" w:right="20" w:firstLine="1288"/>
        <w:spacing w:after="0" w:line="254" w:lineRule="auto"/>
        <w:tabs>
          <w:tab w:leader="none" w:pos="8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of an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spacing w:after="0" w:line="185" w:lineRule="exact"/>
        <w:rPr>
          <w:rFonts w:ascii="Times New Roman" w:cs="Times New Roman" w:eastAsia="Times New Roman" w:hAnsi="Times New Roman"/>
          <w:sz w:val="18"/>
          <w:szCs w:val="18"/>
          <w:color w:val="auto"/>
        </w:rPr>
      </w:pPr>
    </w:p>
    <w:p>
      <w:pPr>
        <w:ind w:left="-1120" w:firstLine="1288"/>
        <w:spacing w:after="0" w:line="252" w:lineRule="auto"/>
        <w:tabs>
          <w:tab w:leader="none" w:pos="8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or Options to Israeli Grantees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265430</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00"/>
          </w:cols>
          <w:pgMar w:left="1440" w:top="895" w:right="359" w:bottom="1440" w:gutter="0" w:footer="0" w:header="0"/>
        </w:sectPr>
      </w:pPr>
    </w:p>
    <w:bookmarkStart w:id="55" w:name="page56"/>
    <w:bookmarkEnd w:id="55"/>
    <w:p>
      <w:pPr>
        <w:ind w:right="40" w:firstLine="1288"/>
        <w:spacing w:after="0" w:line="277" w:lineRule="auto"/>
        <w:tabs>
          <w:tab w:leader="none" w:pos="202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date as is determined by the Administrator.</w:t>
      </w:r>
    </w:p>
    <w:p>
      <w:pPr>
        <w:spacing w:after="0" w:line="162"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19" w:lineRule="exact"/>
        <w:rPr>
          <w:rFonts w:ascii="Times New Roman" w:cs="Times New Roman" w:eastAsia="Times New Roman" w:hAnsi="Times New Roman"/>
          <w:sz w:val="18"/>
          <w:szCs w:val="18"/>
          <w:color w:val="auto"/>
        </w:rPr>
      </w:pPr>
    </w:p>
    <w:p>
      <w:pPr>
        <w:jc w:val="both"/>
        <w:ind w:right="160" w:firstLine="2569"/>
        <w:spacing w:after="0" w:line="262" w:lineRule="auto"/>
        <w:tabs>
          <w:tab w:leader="none" w:pos="3253" w:val="left"/>
        </w:tabs>
        <w:numPr>
          <w:ilvl w:val="4"/>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76" w:lineRule="exact"/>
        <w:rPr>
          <w:rFonts w:ascii="Times New Roman" w:cs="Times New Roman" w:eastAsia="Times New Roman" w:hAnsi="Times New Roman"/>
          <w:sz w:val="18"/>
          <w:szCs w:val="18"/>
          <w:color w:val="auto"/>
        </w:rPr>
      </w:pPr>
    </w:p>
    <w:p>
      <w:pPr>
        <w:ind w:left="3300" w:hanging="731"/>
        <w:spacing w:after="0"/>
        <w:tabs>
          <w:tab w:leader="none" w:pos="3300" w:val="left"/>
        </w:tabs>
        <w:numPr>
          <w:ilvl w:val="4"/>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granted to any Employee other than an Employee described in the preceding paragraph, the per Share exercise</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price shall be not less than one hundred percent (100%) of the Fair Market Value per Share on the date of grant.</w:t>
      </w:r>
    </w:p>
    <w:p>
      <w:pPr>
        <w:spacing w:after="0" w:line="200" w:lineRule="exact"/>
        <w:rPr>
          <w:rFonts w:ascii="Times New Roman" w:cs="Times New Roman" w:eastAsia="Times New Roman" w:hAnsi="Times New Roman"/>
          <w:sz w:val="17"/>
          <w:szCs w:val="17"/>
          <w:color w:val="auto"/>
        </w:rPr>
      </w:pPr>
    </w:p>
    <w:p>
      <w:pPr>
        <w:ind w:right="320" w:firstLine="1928"/>
        <w:spacing w:after="0" w:line="277" w:lineRule="auto"/>
        <w:tabs>
          <w:tab w:leader="none" w:pos="2672"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 hundred percent (100%) of the Fair Market Value per Share on the date of grant.</w:t>
      </w:r>
    </w:p>
    <w:p>
      <w:pPr>
        <w:spacing w:after="0" w:line="162" w:lineRule="exact"/>
        <w:rPr>
          <w:rFonts w:ascii="Times New Roman" w:cs="Times New Roman" w:eastAsia="Times New Roman" w:hAnsi="Times New Roman"/>
          <w:sz w:val="18"/>
          <w:szCs w:val="18"/>
          <w:color w:val="auto"/>
        </w:rPr>
      </w:pPr>
    </w:p>
    <w:p>
      <w:pPr>
        <w:ind w:right="120" w:firstLine="1928"/>
        <w:spacing w:after="0" w:line="277" w:lineRule="auto"/>
        <w:tabs>
          <w:tab w:leader="none" w:pos="2721"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162" w:lineRule="exact"/>
        <w:rPr>
          <w:rFonts w:ascii="Times New Roman" w:cs="Times New Roman" w:eastAsia="Times New Roman" w:hAnsi="Times New Roman"/>
          <w:sz w:val="18"/>
          <w:szCs w:val="18"/>
          <w:color w:val="auto"/>
        </w:rPr>
      </w:pPr>
    </w:p>
    <w:p>
      <w:pPr>
        <w:ind w:firstLine="1928"/>
        <w:spacing w:after="0" w:line="277" w:lineRule="auto"/>
        <w:tabs>
          <w:tab w:leader="none" w:pos="2667"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(other than with respect to Israeli Grantees), the base appreciation amount shall not be less than one hundred percent (100%) of the Fair Market Value per Share on the date of grant.</w:t>
      </w:r>
    </w:p>
    <w:p>
      <w:pPr>
        <w:spacing w:after="0" w:line="162" w:lineRule="exact"/>
        <w:rPr>
          <w:rFonts w:ascii="Times New Roman" w:cs="Times New Roman" w:eastAsia="Times New Roman" w:hAnsi="Times New Roman"/>
          <w:sz w:val="18"/>
          <w:szCs w:val="18"/>
          <w:color w:val="auto"/>
        </w:rPr>
      </w:pPr>
    </w:p>
    <w:p>
      <w:pPr>
        <w:ind w:left="2660" w:hanging="732"/>
        <w:spacing w:after="0"/>
        <w:tabs>
          <w:tab w:leader="none" w:pos="266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219" w:lineRule="exact"/>
        <w:rPr>
          <w:rFonts w:ascii="Times New Roman" w:cs="Times New Roman" w:eastAsia="Times New Roman" w:hAnsi="Times New Roman"/>
          <w:sz w:val="18"/>
          <w:szCs w:val="18"/>
          <w:color w:val="auto"/>
        </w:rPr>
      </w:pPr>
    </w:p>
    <w:p>
      <w:pPr>
        <w:ind w:right="120" w:firstLine="1928"/>
        <w:spacing w:after="0" w:line="262" w:lineRule="auto"/>
        <w:tabs>
          <w:tab w:leader="none" w:pos="2667"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76" w:lineRule="exact"/>
        <w:rPr>
          <w:rFonts w:ascii="Times New Roman" w:cs="Times New Roman" w:eastAsia="Times New Roman" w:hAnsi="Times New Roman"/>
          <w:sz w:val="18"/>
          <w:szCs w:val="18"/>
          <w:color w:val="auto"/>
        </w:rPr>
      </w:pPr>
    </w:p>
    <w:p>
      <w:pPr>
        <w:jc w:val="both"/>
        <w:ind w:right="80" w:firstLine="1288"/>
        <w:spacing w:after="0" w:line="262" w:lineRule="auto"/>
        <w:tabs>
          <w:tab w:leader="none" w:pos="202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76"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19" w:lineRule="exact"/>
        <w:rPr>
          <w:rFonts w:ascii="Times New Roman" w:cs="Times New Roman" w:eastAsia="Times New Roman" w:hAnsi="Times New Roman"/>
          <w:sz w:val="18"/>
          <w:szCs w:val="18"/>
          <w:color w:val="auto"/>
        </w:rPr>
      </w:pPr>
    </w:p>
    <w:p>
      <w:pPr>
        <w:ind w:right="40" w:firstLine="1928"/>
        <w:spacing w:after="0" w:line="262" w:lineRule="auto"/>
        <w:tabs>
          <w:tab w:leader="none" w:pos="2677"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76"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3"/>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Options, payment through a broker-dealer sale and remittance procedure pursuant to which the Grantee</w:t>
      </w:r>
    </w:p>
    <w:p>
      <w:pPr>
        <w:spacing w:after="0" w:line="36" w:lineRule="exact"/>
        <w:rPr>
          <w:rFonts w:ascii="Times New Roman" w:cs="Times New Roman" w:eastAsia="Times New Roman" w:hAnsi="Times New Roman"/>
          <w:sz w:val="17"/>
          <w:szCs w:val="17"/>
          <w:color w:val="auto"/>
        </w:rPr>
      </w:pPr>
    </w:p>
    <w:p>
      <w:pPr>
        <w:ind w:right="120" w:firstLine="7"/>
        <w:spacing w:after="0" w:line="251" w:lineRule="auto"/>
        <w:tabs>
          <w:tab w:leader="none" w:pos="2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6" w:name="page57"/>
    <w:bookmarkEnd w:id="56"/>
    <w:p>
      <w:pPr>
        <w:ind w:firstLine="1928"/>
        <w:spacing w:after="0" w:line="254" w:lineRule="auto"/>
        <w:tabs>
          <w:tab w:leader="none" w:pos="266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w:t>
      </w:r>
    </w:p>
    <w:p>
      <w:pPr>
        <w:spacing w:after="0" w:line="185"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0"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76" w:lineRule="exact"/>
        <w:rPr>
          <w:sz w:val="20"/>
          <w:szCs w:val="20"/>
          <w:color w:val="auto"/>
        </w:rPr>
      </w:pPr>
    </w:p>
    <w:p>
      <w:pPr>
        <w:ind w:firstLine="1288"/>
        <w:spacing w:after="0" w:line="252" w:lineRule="auto"/>
        <w:tabs>
          <w:tab w:leader="none" w:pos="20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86"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right="280" w:firstLine="1928"/>
        <w:spacing w:after="0" w:line="262" w:lineRule="auto"/>
        <w:tabs>
          <w:tab w:leader="none" w:pos="2657"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 provided however that the standard vesting schedule for Israeli Grantees shall be as set forth in Section 20.</w:t>
      </w:r>
    </w:p>
    <w:p>
      <w:pPr>
        <w:spacing w:after="0" w:line="176" w:lineRule="exact"/>
        <w:rPr>
          <w:rFonts w:ascii="Times New Roman" w:cs="Times New Roman" w:eastAsia="Times New Roman" w:hAnsi="Times New Roman"/>
          <w:sz w:val="18"/>
          <w:szCs w:val="18"/>
          <w:color w:val="auto"/>
        </w:rPr>
      </w:pPr>
    </w:p>
    <w:p>
      <w:pPr>
        <w:jc w:val="both"/>
        <w:ind w:right="280" w:firstLine="1928"/>
        <w:spacing w:after="0" w:line="257" w:lineRule="auto"/>
        <w:tabs>
          <w:tab w:leader="none" w:pos="2662"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w:t>
      </w:r>
    </w:p>
    <w:p>
      <w:pPr>
        <w:spacing w:after="0" w:line="180" w:lineRule="exact"/>
        <w:rPr>
          <w:rFonts w:ascii="Times New Roman" w:cs="Times New Roman" w:eastAsia="Times New Roman" w:hAnsi="Times New Roman"/>
          <w:sz w:val="18"/>
          <w:szCs w:val="18"/>
          <w:color w:val="auto"/>
        </w:rPr>
      </w:pPr>
    </w:p>
    <w:p>
      <w:pPr>
        <w:ind w:right="20" w:firstLine="1288"/>
        <w:spacing w:after="0" w:line="253" w:lineRule="auto"/>
        <w:tabs>
          <w:tab w:leader="none" w:pos="202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 In the event of termination of a Grantee’s Continuous Service for any reason other than Cause, Disability or death,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85" w:lineRule="exact"/>
        <w:rPr>
          <w:rFonts w:ascii="Times New Roman" w:cs="Times New Roman" w:eastAsia="Times New Roman" w:hAnsi="Times New Roman"/>
          <w:sz w:val="18"/>
          <w:szCs w:val="18"/>
          <w:color w:val="auto"/>
        </w:rPr>
      </w:pPr>
    </w:p>
    <w:p>
      <w:pPr>
        <w:ind w:right="100" w:firstLine="1288"/>
        <w:spacing w:after="0" w:line="253" w:lineRule="auto"/>
        <w:tabs>
          <w:tab w:leader="none" w:pos="20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 for Cause</w:t>
      </w:r>
      <w:r>
        <w:rPr>
          <w:rFonts w:ascii="Times New Roman" w:cs="Times New Roman" w:eastAsia="Times New Roman" w:hAnsi="Times New Roman"/>
          <w:sz w:val="18"/>
          <w:szCs w:val="18"/>
          <w:color w:val="auto"/>
        </w:rPr>
        <w:t>. In the event of termination of a Grantee’s Continuous Service for Cause, such Grantee may, but only within fourteen (14) days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7" w:name="page58"/>
    <w:bookmarkEnd w:id="57"/>
    <w:p>
      <w:pPr>
        <w:ind w:left="-647" w:right="20" w:firstLine="1288"/>
        <w:spacing w:after="0" w:line="253" w:lineRule="auto"/>
        <w:tabs>
          <w:tab w:leader="none" w:pos="137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Grantee</w:t>
      </w:r>
      <w:r>
        <w:rPr>
          <w:rFonts w:ascii="Times New Roman" w:cs="Times New Roman" w:eastAsia="Times New Roman" w:hAnsi="Times New Roman"/>
          <w:sz w:val="18"/>
          <w:szCs w:val="18"/>
          <w:color w:val="auto"/>
        </w:rPr>
        <w:t>. In the event of termination of a Grantee’s Continuous Service as a result of his or her Disability,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85" w:lineRule="exact"/>
        <w:rPr>
          <w:rFonts w:ascii="Times New Roman" w:cs="Times New Roman" w:eastAsia="Times New Roman" w:hAnsi="Times New Roman"/>
          <w:sz w:val="18"/>
          <w:szCs w:val="18"/>
          <w:color w:val="auto"/>
        </w:rPr>
      </w:pPr>
    </w:p>
    <w:p>
      <w:pPr>
        <w:ind w:left="-647" w:right="60" w:firstLine="1288"/>
        <w:spacing w:after="0" w:line="251" w:lineRule="auto"/>
        <w:tabs>
          <w:tab w:leader="none" w:pos="13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In the event of a termination of the Grantee’s Continuous Service as a result of his or her death, or in the event of the death of the Grantee during the post-termination exercise periods following the Grantee’s termination of Continuous Service specified in this Section 8, above, the Grantee’s estate or a person who acquired the right to exercise the Award by bequest or inheritance may exercise the portion of the Grantee’s Award that was vested as of the date of termination or such other portion of the Grantee’s Award as may be determined by the Administrator, within twelve (12) months from the date of death (or such longer or shorter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89" w:lineRule="exact"/>
        <w:rPr>
          <w:rFonts w:ascii="Times New Roman" w:cs="Times New Roman" w:eastAsia="Times New Roman" w:hAnsi="Times New Roman"/>
          <w:sz w:val="18"/>
          <w:szCs w:val="18"/>
          <w:color w:val="auto"/>
        </w:rPr>
      </w:pPr>
    </w:p>
    <w:p>
      <w:pPr>
        <w:ind w:left="-647" w:right="140" w:firstLine="1288"/>
        <w:spacing w:after="0" w:line="277" w:lineRule="auto"/>
        <w:tabs>
          <w:tab w:leader="none" w:pos="134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 Option shall have none of the rights of a stockholder with respect to the Shares subject to the Option until such shares are transferred to the holder (or the Trustee, if applicable) upon the exercise of the Option.</w:t>
      </w:r>
    </w:p>
    <w:p>
      <w:pPr>
        <w:spacing w:after="0" w:line="162" w:lineRule="exact"/>
        <w:rPr>
          <w:rFonts w:ascii="Times New Roman" w:cs="Times New Roman" w:eastAsia="Times New Roman" w:hAnsi="Times New Roman"/>
          <w:sz w:val="18"/>
          <w:szCs w:val="18"/>
          <w:color w:val="auto"/>
        </w:rPr>
      </w:pPr>
    </w:p>
    <w:p>
      <w:pPr>
        <w:ind w:left="713" w:hanging="713"/>
        <w:spacing w:after="0"/>
        <w:tabs>
          <w:tab w:leader="none" w:pos="7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7" w:right="80" w:firstLine="1288"/>
        <w:spacing w:after="0" w:line="254" w:lineRule="auto"/>
        <w:tabs>
          <w:tab w:leader="none" w:pos="136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 or other Applicable Laws.</w:t>
      </w:r>
    </w:p>
    <w:p>
      <w:pPr>
        <w:spacing w:after="0" w:line="185" w:lineRule="exact"/>
        <w:rPr>
          <w:rFonts w:ascii="Times New Roman" w:cs="Times New Roman" w:eastAsia="Times New Roman" w:hAnsi="Times New Roman"/>
          <w:sz w:val="18"/>
          <w:szCs w:val="18"/>
          <w:color w:val="auto"/>
        </w:rPr>
      </w:pPr>
    </w:p>
    <w:p>
      <w:pPr>
        <w:ind w:left="-647" w:right="360" w:firstLine="1288"/>
        <w:spacing w:after="0" w:line="254" w:lineRule="auto"/>
        <w:tabs>
          <w:tab w:leader="none" w:pos="136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make such representations and warranties which, in the opinion of the Company, are required to ensure that such exercise, or a subsequent sale or disposition of any Shares obtained upon such exercise, does not contravene any Applicable Law, including inter alia, representations and warranties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85" w:lineRule="exact"/>
        <w:rPr>
          <w:rFonts w:ascii="Times New Roman" w:cs="Times New Roman" w:eastAsia="Times New Roman" w:hAnsi="Times New Roman"/>
          <w:sz w:val="18"/>
          <w:szCs w:val="18"/>
          <w:color w:val="auto"/>
        </w:rPr>
      </w:pPr>
    </w:p>
    <w:p>
      <w:pPr>
        <w:ind w:left="-647" w:right="60" w:firstLine="1288"/>
        <w:spacing w:after="0" w:line="254" w:lineRule="auto"/>
        <w:tabs>
          <w:tab w:leader="none" w:pos="136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set forth in an Award Agreement, Shares issued to a Grantee or the Trustee, as applicable, shall be subject to such restrictions as required by the appropriate securities’ law and in the event that the Company's shares shall be registered for trading in any public market, Grantee's rights to sell the Shares may be subject to certain limitations (including a lock-up period), as will be requested by the Company or its underwriters, and the Grantee by executing an Award Agreement unconditionally agrees and accepts any such limitations and undertakes to further execute any agreement as may be requested by the Company or its underwriters from time to time.</w:t>
      </w:r>
    </w:p>
    <w:p>
      <w:pPr>
        <w:spacing w:after="0" w:line="185" w:lineRule="exact"/>
        <w:rPr>
          <w:rFonts w:ascii="Times New Roman" w:cs="Times New Roman" w:eastAsia="Times New Roman" w:hAnsi="Times New Roman"/>
          <w:sz w:val="18"/>
          <w:szCs w:val="18"/>
          <w:color w:val="auto"/>
        </w:rPr>
      </w:pPr>
    </w:p>
    <w:p>
      <w:pPr>
        <w:ind w:left="-647" w:firstLine="647"/>
        <w:spacing w:after="0" w:line="249" w:lineRule="auto"/>
        <w:tabs>
          <w:tab w:leader="none" w:pos="7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269875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93"/>
          </w:cols>
          <w:pgMar w:left="967" w:top="895" w:right="339" w:bottom="1440" w:gutter="0" w:footer="0" w:header="0"/>
        </w:sectPr>
      </w:pPr>
    </w:p>
    <w:bookmarkStart w:id="58" w:name="page59"/>
    <w:bookmarkEnd w:id="58"/>
    <w:p>
      <w:pPr>
        <w:ind w:left="1400" w:hanging="753"/>
        <w:spacing w:after="0"/>
        <w:tabs>
          <w:tab w:leader="none" w:pos="1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right="560" w:firstLine="1288"/>
        <w:spacing w:after="0" w:line="262" w:lineRule="auto"/>
        <w:tabs>
          <w:tab w:leader="none" w:pos="201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Except as provided otherwise in an individual Award Agreement, in the event of a Corporate Transaction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1" w:lineRule="exact"/>
        <w:rPr>
          <w:sz w:val="20"/>
          <w:szCs w:val="20"/>
          <w:color w:val="auto"/>
        </w:rPr>
      </w:pPr>
    </w:p>
    <w:p>
      <w:pPr>
        <w:ind w:firstLine="2562"/>
        <w:spacing w:after="0" w:line="254" w:lineRule="auto"/>
        <w:rPr>
          <w:sz w:val="20"/>
          <w:szCs w:val="20"/>
          <w:color w:val="auto"/>
        </w:rPr>
      </w:pPr>
      <w:r>
        <w:rPr>
          <w:rFonts w:ascii="Times New Roman" w:cs="Times New Roman" w:eastAsia="Times New Roman" w:hAnsi="Times New Roman"/>
          <w:sz w:val="18"/>
          <w:szCs w:val="18"/>
          <w:color w:val="auto"/>
        </w:rPr>
        <w:t>for the portion of each Award that is Assumed or Replaced, then such 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without Cause within twelve (12) months after the Corporate Transaction; and</w:t>
      </w:r>
    </w:p>
    <w:p>
      <w:pPr>
        <w:spacing w:after="0" w:line="186" w:lineRule="exact"/>
        <w:rPr>
          <w:sz w:val="20"/>
          <w:szCs w:val="20"/>
          <w:color w:val="auto"/>
        </w:rPr>
      </w:pPr>
    </w:p>
    <w:p>
      <w:pPr>
        <w:ind w:right="160" w:firstLine="2562"/>
        <w:spacing w:after="0" w:line="257" w:lineRule="auto"/>
        <w:rPr>
          <w:sz w:val="20"/>
          <w:szCs w:val="20"/>
          <w:color w:val="auto"/>
        </w:rPr>
      </w:pPr>
      <w:r>
        <w:rPr>
          <w:rFonts w:ascii="Times New Roman" w:cs="Times New Roman" w:eastAsia="Times New Roman" w:hAnsi="Times New Roman"/>
          <w:sz w:val="18"/>
          <w:szCs w:val="18"/>
          <w:color w:val="auto"/>
        </w:rPr>
        <w:t>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181" w:lineRule="exact"/>
        <w:rPr>
          <w:sz w:val="20"/>
          <w:szCs w:val="20"/>
          <w:color w:val="auto"/>
        </w:rPr>
      </w:pPr>
    </w:p>
    <w:p>
      <w:pPr>
        <w:ind w:right="100" w:firstLine="1921"/>
        <w:spacing w:after="0" w:line="254" w:lineRule="auto"/>
        <w:rPr>
          <w:sz w:val="20"/>
          <w:szCs w:val="20"/>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Except as provided otherwise in an individual Award Agreement, following a Change in Control (other than a Change in Control which also is a Corporate Transaction) and upon the termination of the Continuous Service of a Grantee if such Continuous Service is terminated by the Company or Related Entity without Cause within twelve (12) months after a Change in Control, each Award of such Grantee which is at the time outstanding under the Plan automatically shall become fully vested and exercisable and be released from any repurchase or forfeiture rights (other than repurchase rights exercisable at Fair Market Value), immediately upon the termination of such Continuous Service.</w:t>
      </w:r>
    </w:p>
    <w:p>
      <w:pPr>
        <w:spacing w:after="0" w:line="186" w:lineRule="exact"/>
        <w:rPr>
          <w:sz w:val="20"/>
          <w:szCs w:val="20"/>
          <w:color w:val="auto"/>
        </w:rPr>
      </w:pPr>
    </w:p>
    <w:p>
      <w:pPr>
        <w:jc w:val="both"/>
        <w:ind w:right="380" w:firstLine="1281"/>
        <w:spacing w:after="0" w:line="262" w:lineRule="auto"/>
        <w:rPr>
          <w:sz w:val="20"/>
          <w:szCs w:val="20"/>
          <w:color w:val="auto"/>
        </w:rPr>
      </w:pPr>
      <w:r>
        <w:rPr>
          <w:rFonts w:ascii="Times New Roman" w:cs="Times New Roman" w:eastAsia="Times New Roman" w:hAnsi="Times New Roman"/>
          <w:sz w:val="18"/>
          <w:szCs w:val="18"/>
          <w:u w:val="single" w:color="auto"/>
          <w:color w:val="auto"/>
        </w:rPr>
        <w:t>Effect of Acceleration on Incentive Stock Options</w:t>
      </w:r>
      <w:r>
        <w:rPr>
          <w:rFonts w:ascii="Times New Roman" w:cs="Times New Roman" w:eastAsia="Times New Roman" w:hAnsi="Times New Roman"/>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76" w:lineRule="exact"/>
        <w:rPr>
          <w:sz w:val="20"/>
          <w:szCs w:val="20"/>
          <w:color w:val="auto"/>
        </w:rPr>
      </w:pPr>
    </w:p>
    <w:p>
      <w:pPr>
        <w:jc w:val="both"/>
        <w:ind w:right="60" w:firstLine="647"/>
        <w:spacing w:after="0" w:line="262" w:lineRule="auto"/>
        <w:tabs>
          <w:tab w:leader="none" w:pos="13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stockholders of the Company. It shall continue in effect until December 31, 2028 unless sooner terminated. Subject to Section 17,‎ below, and Applicable Laws, Awards may be granted under the Plan upon its becoming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ind w:left="753" w:hanging="753"/>
        <w:spacing w:after="0"/>
        <w:tabs>
          <w:tab w:leader="none" w:pos="7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7" w:right="280" w:firstLine="1288"/>
        <w:spacing w:after="0" w:line="262" w:lineRule="auto"/>
        <w:tabs>
          <w:tab w:leader="none" w:pos="13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provided, however, that no such amendment shall be made without the approval of the Company’s stockholders to the extent such approval is required by Applicable Laws, or if such amendment would lessen the stockholder approval requirements of Section 4(b)(vi) or this Section 13(a).</w:t>
      </w:r>
    </w:p>
    <w:p>
      <w:pPr>
        <w:spacing w:after="0" w:line="176" w:lineRule="exact"/>
        <w:rPr>
          <w:rFonts w:ascii="Times New Roman" w:cs="Times New Roman" w:eastAsia="Times New Roman" w:hAnsi="Times New Roman"/>
          <w:sz w:val="18"/>
          <w:szCs w:val="18"/>
          <w:color w:val="auto"/>
        </w:rPr>
      </w:pPr>
    </w:p>
    <w:p>
      <w:pPr>
        <w:ind w:left="1373" w:hanging="732"/>
        <w:spacing w:after="0"/>
        <w:tabs>
          <w:tab w:leader="none" w:pos="13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219" w:lineRule="exact"/>
        <w:rPr>
          <w:rFonts w:ascii="Times New Roman" w:cs="Times New Roman" w:eastAsia="Times New Roman" w:hAnsi="Times New Roman"/>
          <w:sz w:val="18"/>
          <w:szCs w:val="18"/>
          <w:color w:val="auto"/>
        </w:rPr>
      </w:pPr>
    </w:p>
    <w:p>
      <w:pPr>
        <w:ind w:left="-647" w:right="160" w:firstLine="1288"/>
        <w:spacing w:after="0" w:line="277" w:lineRule="auto"/>
        <w:tabs>
          <w:tab w:leader="none" w:pos="136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11,‎ above) shall adversely affect any rights under Awards already granted to a Grantee.</w:t>
      </w:r>
    </w:p>
    <w:p>
      <w:pPr>
        <w:spacing w:after="0" w:line="162" w:lineRule="exact"/>
        <w:rPr>
          <w:rFonts w:ascii="Times New Roman" w:cs="Times New Roman" w:eastAsia="Times New Roman" w:hAnsi="Times New Roman"/>
          <w:sz w:val="18"/>
          <w:szCs w:val="18"/>
          <w:color w:val="auto"/>
        </w:rPr>
      </w:pPr>
    </w:p>
    <w:p>
      <w:pPr>
        <w:ind w:left="753" w:hanging="753"/>
        <w:spacing w:after="0"/>
        <w:tabs>
          <w:tab w:leader="none" w:pos="75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647" w:right="640" w:firstLine="1288"/>
        <w:spacing w:after="0" w:line="277" w:lineRule="auto"/>
        <w:tabs>
          <w:tab w:leader="none" w:pos="13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62" w:lineRule="exact"/>
        <w:rPr>
          <w:rFonts w:ascii="Times New Roman" w:cs="Times New Roman" w:eastAsia="Times New Roman" w:hAnsi="Times New Roman"/>
          <w:sz w:val="18"/>
          <w:szCs w:val="18"/>
          <w:color w:val="auto"/>
        </w:rPr>
      </w:pPr>
    </w:p>
    <w:p>
      <w:pPr>
        <w:ind w:left="-647" w:right="20" w:firstLine="1288"/>
        <w:spacing w:after="0" w:line="262" w:lineRule="auto"/>
        <w:tabs>
          <w:tab w:leader="none" w:pos="13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6" w:lineRule="exact"/>
        <w:rPr>
          <w:rFonts w:ascii="Times New Roman" w:cs="Times New Roman" w:eastAsia="Times New Roman" w:hAnsi="Times New Roman"/>
          <w:sz w:val="18"/>
          <w:szCs w:val="18"/>
          <w:color w:val="auto"/>
        </w:rPr>
      </w:pPr>
    </w:p>
    <w:p>
      <w:pPr>
        <w:ind w:left="-647" w:right="60" w:firstLine="647"/>
        <w:spacing w:after="0" w:line="254" w:lineRule="auto"/>
        <w:tabs>
          <w:tab w:leader="none" w:pos="7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5" w:lineRule="exact"/>
        <w:rPr>
          <w:rFonts w:ascii="Times New Roman" w:cs="Times New Roman" w:eastAsia="Times New Roman" w:hAnsi="Times New Roman"/>
          <w:sz w:val="18"/>
          <w:szCs w:val="18"/>
          <w:color w:val="auto"/>
        </w:rPr>
      </w:pPr>
    </w:p>
    <w:p>
      <w:pPr>
        <w:ind w:left="-647" w:firstLine="647"/>
        <w:spacing w:after="0" w:line="254" w:lineRule="auto"/>
        <w:tabs>
          <w:tab w:leader="none" w:pos="7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5" w:lineRule="exact"/>
        <w:rPr>
          <w:rFonts w:ascii="Times New Roman" w:cs="Times New Roman" w:eastAsia="Times New Roman" w:hAnsi="Times New Roman"/>
          <w:sz w:val="18"/>
          <w:szCs w:val="18"/>
          <w:color w:val="auto"/>
        </w:rPr>
      </w:pPr>
    </w:p>
    <w:p>
      <w:pPr>
        <w:ind w:left="-647" w:right="340" w:firstLine="647"/>
        <w:spacing w:after="0" w:line="253" w:lineRule="auto"/>
        <w:tabs>
          <w:tab w:leader="none" w:pos="7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grant of Incentive Stock Options under the Plan shall be subject to approval by the stockholders of the Company within twelve (12) months before or after the date the Plan is adopted excluding Incentive Stock Options issued in substitution for outstanding Incentive Stock Options pursuant to Section 424(a) of the Code. Such stockholder approval shall be obtained in the degree and manner required under Applicable Laws. The Administrator may grant Incentive Stock Options under the Plan prior to approval by the stockholders, but until such approval is obtained, no such Incentive Stock Option shall be exercisable. In the event that stockholder approval is not obtained within the twelve (12) month period provided above, all Incentive Stock Options previously granted under the Plan shall be exercisable as Non-Qualified Stock Options.</w:t>
      </w:r>
    </w:p>
    <w:p>
      <w:pPr>
        <w:spacing w:after="0" w:line="185" w:lineRule="exact"/>
        <w:rPr>
          <w:rFonts w:ascii="Times New Roman" w:cs="Times New Roman" w:eastAsia="Times New Roman" w:hAnsi="Times New Roman"/>
          <w:sz w:val="18"/>
          <w:szCs w:val="18"/>
          <w:color w:val="auto"/>
        </w:rPr>
      </w:pPr>
    </w:p>
    <w:p>
      <w:pPr>
        <w:ind w:left="-647" w:firstLine="647"/>
        <w:spacing w:after="0" w:line="251" w:lineRule="auto"/>
        <w:tabs>
          <w:tab w:leader="none" w:pos="7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265430</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573"/>
          </w:cols>
          <w:pgMar w:left="967" w:top="895" w:right="359" w:bottom="1440" w:gutter="0" w:footer="0" w:header="0"/>
        </w:sectPr>
      </w:pPr>
    </w:p>
    <w:bookmarkStart w:id="60" w:name="page61"/>
    <w:bookmarkEnd w:id="60"/>
    <w:p>
      <w:pPr>
        <w:ind w:right="260" w:firstLine="647"/>
        <w:spacing w:after="0" w:line="262" w:lineRule="auto"/>
        <w:tabs>
          <w:tab w:leader="none" w:pos="13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rFonts w:ascii="Times New Roman" w:cs="Times New Roman" w:eastAsia="Times New Roman" w:hAnsi="Times New Roman"/>
          <w:sz w:val="18"/>
          <w:szCs w:val="18"/>
          <w:color w:val="auto"/>
        </w:rPr>
      </w:pPr>
    </w:p>
    <w:p>
      <w:pPr>
        <w:ind w:right="20" w:firstLine="647"/>
        <w:spacing w:after="0" w:line="257" w:lineRule="auto"/>
        <w:tabs>
          <w:tab w:leader="none" w:pos="13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Israeli Grantees</w:t>
      </w:r>
      <w:r>
        <w:rPr>
          <w:rFonts w:ascii="Times New Roman" w:cs="Times New Roman" w:eastAsia="Times New Roman" w:hAnsi="Times New Roman"/>
          <w:sz w:val="18"/>
          <w:szCs w:val="18"/>
          <w:color w:val="auto"/>
        </w:rPr>
        <w:t>. This Section shall apply only to Israeli Grantees and is intended to enable the Company to grant Awards under the Plan pursuant and subject to Section 102 and Section 3(I) of the Tax Ordinance. Accordingly, the Plan is designated to comply with the Tax Ordinance and the rules, regulations and orders or procedures promulgated thereunder from time to time, as amended or replaced from time to time and shall be submitted to the ITA as required thereunder.</w:t>
      </w:r>
    </w:p>
    <w:p>
      <w:pPr>
        <w:spacing w:after="0" w:line="181"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In any case of contradiction, whether explicit or implied, between the provisions of this Section and the Plan, the provisions set out in this Section shall prevail unless the Administrator decides otherwise to ensure compliance with the Tax Ordinance and other Applicable Laws.</w:t>
      </w:r>
    </w:p>
    <w:p>
      <w:pPr>
        <w:spacing w:after="0" w:line="163" w:lineRule="exact"/>
        <w:rPr>
          <w:sz w:val="20"/>
          <w:szCs w:val="20"/>
          <w:color w:val="auto"/>
        </w:rPr>
      </w:pPr>
    </w:p>
    <w:p>
      <w:pPr>
        <w:ind w:right="80" w:firstLine="1288"/>
        <w:spacing w:after="0" w:line="262" w:lineRule="auto"/>
        <w:tabs>
          <w:tab w:leader="none" w:pos="20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102 Options may be granted only to Israeli Employees. Non-Employees may only be granted 3(I) Options. The grant of an Award hereunder shall neither entitle the Grantee to participate nor disqualify the Israeli Grantee from participating in, any other grant of Awards pursuant to the Plan or any other option or stock plan of the Company or any Related Company.</w:t>
      </w:r>
    </w:p>
    <w:p>
      <w:pPr>
        <w:spacing w:after="0" w:line="176" w:lineRule="exact"/>
        <w:rPr>
          <w:rFonts w:ascii="Times New Roman" w:cs="Times New Roman" w:eastAsia="Times New Roman" w:hAnsi="Times New Roman"/>
          <w:sz w:val="18"/>
          <w:szCs w:val="18"/>
          <w:color w:val="auto"/>
        </w:rPr>
      </w:pPr>
    </w:p>
    <w:p>
      <w:pPr>
        <w:ind w:left="2020" w:hanging="732"/>
        <w:spacing w:after="0"/>
        <w:tabs>
          <w:tab w:leader="none" w:pos="2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Awards in Trust</w:t>
      </w:r>
    </w:p>
    <w:p>
      <w:pPr>
        <w:spacing w:after="0" w:line="219"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 Made Under Section 102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00" w:firstLine="2562"/>
        <w:spacing w:after="0" w:line="262" w:lineRule="auto"/>
        <w:rPr>
          <w:sz w:val="20"/>
          <w:szCs w:val="20"/>
          <w:color w:val="auto"/>
        </w:rPr>
      </w:pPr>
      <w:r>
        <w:rPr>
          <w:rFonts w:ascii="Times New Roman" w:cs="Times New Roman" w:eastAsia="Times New Roman" w:hAnsi="Times New Roman"/>
          <w:sz w:val="18"/>
          <w:szCs w:val="18"/>
          <w:color w:val="auto"/>
        </w:rPr>
        <w:t>The Company may designate 102 Options as Trustee 102 Options or Non-Trustee 102 Options. The designation of Non-Trustee 102 Options and Trustee 102 Options shall be subject to the terms and conditions set forth in Section 102 of the Tax Ordinance and the regulations promulgated thereunder.</w:t>
      </w:r>
    </w:p>
    <w:p>
      <w:pPr>
        <w:spacing w:after="0" w:line="176" w:lineRule="exact"/>
        <w:rPr>
          <w:sz w:val="20"/>
          <w:szCs w:val="20"/>
          <w:color w:val="auto"/>
        </w:rPr>
      </w:pPr>
    </w:p>
    <w:p>
      <w:pPr>
        <w:ind w:left="2680" w:hanging="752"/>
        <w:spacing w:after="0"/>
        <w:tabs>
          <w:tab w:leader="none" w:pos="2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Trustee 102 Options</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firstLine="2569"/>
        <w:spacing w:after="0" w:line="253" w:lineRule="auto"/>
        <w:tabs>
          <w:tab w:leader="none" w:pos="28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Trustee 102 Options shall be made under the Plan and shall be conditional upon the approval of the Plan by the ITA. Trustee 102 Options may be granted at any time after the passage of thirty (30) days following the delivery by the Company to the ITA of a notice pertaining to the appointment of the Trustee and the adoption of the Plan, unless otherwise determined by the ITA. Options which shall be granted pursuant to Section 102 and/or any Shares issued upon exercise of such Options and/or other shares received subsequently following any realization of rights, shall be issued to the Trustee. Each Israeli Grantee in respect of whom a Trustee 102 Option is granted and held in trust by the Trustee shall be referred to as a “beneficial optionee” hereunder.</w:t>
      </w:r>
    </w:p>
    <w:p>
      <w:pPr>
        <w:spacing w:after="0" w:line="185" w:lineRule="exact"/>
        <w:rPr>
          <w:rFonts w:ascii="Times New Roman" w:cs="Times New Roman" w:eastAsia="Times New Roman" w:hAnsi="Times New Roman"/>
          <w:sz w:val="18"/>
          <w:szCs w:val="18"/>
          <w:color w:val="auto"/>
        </w:rPr>
      </w:pPr>
    </w:p>
    <w:p>
      <w:pPr>
        <w:ind w:left="2820" w:hanging="251"/>
        <w:spacing w:after="0"/>
        <w:tabs>
          <w:tab w:leader="none" w:pos="28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may either be classified as Capital Gain Option(s) or Ordinary Income Option(s):</w:t>
      </w:r>
    </w:p>
    <w:p>
      <w:pPr>
        <w:spacing w:after="0" w:line="219" w:lineRule="exact"/>
        <w:rPr>
          <w:rFonts w:ascii="Times New Roman" w:cs="Times New Roman" w:eastAsia="Times New Roman" w:hAnsi="Times New Roman"/>
          <w:sz w:val="18"/>
          <w:szCs w:val="18"/>
          <w:color w:val="auto"/>
        </w:rPr>
      </w:pPr>
    </w:p>
    <w:p>
      <w:pPr>
        <w:ind w:left="3940" w:hanging="907"/>
        <w:spacing w:after="0"/>
        <w:tabs>
          <w:tab w:leader="none" w:pos="39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elected and designated by the Company to qualify under the capital gain tax</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in accordance with the provisions of Section 102(b)(2) shall be referred to herein as “Capital Gain Option(s)” or “CGO”.</w:t>
      </w:r>
    </w:p>
    <w:p>
      <w:pPr>
        <w:spacing w:after="0" w:line="200" w:lineRule="exact"/>
        <w:rPr>
          <w:rFonts w:ascii="Times New Roman" w:cs="Times New Roman" w:eastAsia="Times New Roman" w:hAnsi="Times New Roman"/>
          <w:sz w:val="18"/>
          <w:szCs w:val="18"/>
          <w:color w:val="auto"/>
        </w:rPr>
      </w:pPr>
    </w:p>
    <w:p>
      <w:pPr>
        <w:ind w:left="3940" w:hanging="907"/>
        <w:spacing w:after="0"/>
        <w:tabs>
          <w:tab w:leader="none" w:pos="39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elected and designated by the Company to qualify under the ordinary income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treatment in accordance with the provisions of Section 102(b)(1) shall be referred to herein as “Ordinary Income Option(s)” or “OIO”.</w:t>
      </w:r>
    </w:p>
    <w:p>
      <w:pPr>
        <w:spacing w:after="0" w:line="200" w:lineRule="exact"/>
        <w:rPr>
          <w:rFonts w:ascii="Times New Roman" w:cs="Times New Roman" w:eastAsia="Times New Roman" w:hAnsi="Times New Roman"/>
          <w:sz w:val="18"/>
          <w:szCs w:val="18"/>
          <w:color w:val="auto"/>
        </w:rPr>
      </w:pPr>
    </w:p>
    <w:p>
      <w:pPr>
        <w:ind w:right="100" w:firstLine="2569"/>
        <w:spacing w:after="0" w:line="252" w:lineRule="auto"/>
        <w:tabs>
          <w:tab w:leader="none" w:pos="281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election of the type of Trustee 102 Options as CGO or OIO granted to Employees (the “Election”) shall be appropriately filed with the ITA 30 days before the date of grant of a Trustee 102 Option, unless otherwise determined by the ITA. Such Election shall become effective beginning the first date of grant of a Trustee 102 Option under this Plan and shall remain in effect until the end of the year following the year during which the Company first granted Trustee 102 Options. The Election shall obligate the Company to grant only the type of Trustee 102 Option it has elected, and shall apply to all Israeli Grantees who were granted Trustee 102 Options during the period indicated herein or therein, all in accordance with the provisions of Section 102(g) of the Tax Ordinance. Notwithstanding, such Election shall not prevent the Company from granting Non-Trustee 102 Options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ind w:left="2820" w:hanging="251"/>
        <w:spacing w:after="0"/>
        <w:tabs>
          <w:tab w:leader="none" w:pos="282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Trustee 102 Options must be held in trust by and issued on the name of the Trustee, as described below.</w:t>
      </w:r>
    </w:p>
    <w:p>
      <w:pPr>
        <w:spacing w:after="0" w:line="219" w:lineRule="exact"/>
        <w:rPr>
          <w:rFonts w:ascii="Times New Roman" w:cs="Times New Roman" w:eastAsia="Times New Roman" w:hAnsi="Times New Roman"/>
          <w:sz w:val="18"/>
          <w:szCs w:val="18"/>
          <w:color w:val="auto"/>
        </w:rPr>
      </w:pPr>
    </w:p>
    <w:p>
      <w:pPr>
        <w:ind w:right="20" w:firstLine="2569"/>
        <w:spacing w:after="0" w:line="254" w:lineRule="auto"/>
        <w:tabs>
          <w:tab w:leader="none" w:pos="281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Trustee 102 Options, the provisions of the Plan and/or an Award Agreement shall be subject to the provisions of Section 102 and the ITA’s permit, and the said provisions and permit shall be deemed an integral part of this Section and of the Award Agreement for the respective Grantees thereof. Any provision of Section 102 and/or the said permit which is necessary in order to receive and/or to keep any tax benefit pursuant to Section 102, which is not expressly specified in the Plan or the Award Agreement, shall be considered binding upon the Company and the Israeli Grantee.</w:t>
      </w:r>
    </w:p>
    <w:p>
      <w:pPr>
        <w:spacing w:after="0" w:line="185"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to Trustee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right="100" w:firstLine="2569"/>
        <w:spacing w:after="0" w:line="252" w:lineRule="auto"/>
        <w:tabs>
          <w:tab w:leader="none" w:pos="280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Trustee 102 Options granted under the Plan and/or any Shares allocated or issued upon exercise of such Trustee 102 Options and/or other and all rights deriving from or in connection therewith, including, without limitation, in accordance with Section 10 above or any bonus shares or stock dividends issued in connection therewith shall be granted by the Company to the Trustee, and the Trustee shall hold each such Trustee 102 Option and the Shares issued upon exercise thereof in trust for such period of time as required by Section 102 or any regulations, rules or orders or procedures promulgated thereunder (the “Holding Period”), for the benefit of the Grantees in respect of whom such Trustee 102 Option was granted. All certificates representing Shares issued to the Trustee under the Plan shall be deposited with the Trustee, and shall be held by the Trustee until such time that such Shares are released from the Trust as herein provided.</w:t>
      </w:r>
    </w:p>
    <w:p>
      <w:pPr>
        <w:spacing w:after="0" w:line="186" w:lineRule="exact"/>
        <w:rPr>
          <w:rFonts w:ascii="Times New Roman" w:cs="Times New Roman" w:eastAsia="Times New Roman" w:hAnsi="Times New Roman"/>
          <w:sz w:val="18"/>
          <w:szCs w:val="18"/>
          <w:color w:val="auto"/>
        </w:rPr>
      </w:pPr>
    </w:p>
    <w:p>
      <w:pPr>
        <w:ind w:right="560" w:firstLine="2569"/>
        <w:spacing w:after="0" w:line="307" w:lineRule="auto"/>
        <w:tabs>
          <w:tab w:leader="none" w:pos="2814" w:val="left"/>
        </w:tabs>
        <w:numPr>
          <w:ilvl w:val="2"/>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event the requirements for Trustee 102 Options are not met for any reason whatsoever, then the Trustee 102 Options may be treated as Non-Trustee 102 Options, all in accordance with the provisions of Section 102 and regulations promulgated thereunder.</w:t>
      </w:r>
    </w:p>
    <w:p>
      <w:pPr>
        <w:spacing w:after="0" w:line="140" w:lineRule="exact"/>
        <w:rPr>
          <w:rFonts w:ascii="Times New Roman" w:cs="Times New Roman" w:eastAsia="Times New Roman" w:hAnsi="Times New Roman"/>
          <w:sz w:val="17"/>
          <w:szCs w:val="17"/>
          <w:color w:val="auto"/>
        </w:rPr>
      </w:pPr>
    </w:p>
    <w:p>
      <w:pPr>
        <w:ind w:firstLine="2569"/>
        <w:spacing w:after="0" w:line="267" w:lineRule="auto"/>
        <w:tabs>
          <w:tab w:leader="none" w:pos="2810" w:val="left"/>
        </w:tabs>
        <w:numPr>
          <w:ilvl w:val="2"/>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Trustee 102 Option, subject to the provisions of Section 102 and any rules or regulations or orders or procedures promulgated thereunder, an Israeli Grantee shall not be entitled to sell or release from Trust the Trustee 102 Option, the Shares received upon the exercise of such Option and/or any right deriving from or in connection therewith, including, without limitation, in accordance with Section 10 above or any bonus shares or stock dividends issued in connection therewith, until the later of: (i) the lapse of the Holding Period required under Section 102, and</w:t>
      </w:r>
    </w:p>
    <w:p>
      <w:pPr>
        <w:spacing w:after="0" w:line="3" w:lineRule="exact"/>
        <w:rPr>
          <w:rFonts w:ascii="Times New Roman" w:cs="Times New Roman" w:eastAsia="Times New Roman" w:hAnsi="Times New Roman"/>
          <w:sz w:val="17"/>
          <w:szCs w:val="17"/>
          <w:color w:val="auto"/>
        </w:rPr>
      </w:pPr>
    </w:p>
    <w:p>
      <w:pPr>
        <w:ind w:right="860" w:firstLine="7"/>
        <w:spacing w:after="0" w:line="251" w:lineRule="auto"/>
        <w:tabs>
          <w:tab w:leader="none" w:pos="26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such Options set forth in the respective Award Agreement (such later date being hereinafter referred to as the “Release Date”). Notwithstanding the foregoing, if such sale or release occurs during the Holding period, the provisions of Section 102 and the rules or regulations promulgated thereunder shall apply and any expenses and/or tax consequences therefrom shall be borne by the Israeli Grantee.</w:t>
      </w:r>
    </w:p>
    <w:p>
      <w:pPr>
        <w:spacing w:after="0" w:line="185" w:lineRule="exact"/>
        <w:rPr>
          <w:rFonts w:ascii="Times New Roman" w:cs="Times New Roman" w:eastAsia="Times New Roman" w:hAnsi="Times New Roman"/>
          <w:sz w:val="18"/>
          <w:szCs w:val="18"/>
          <w:color w:val="auto"/>
        </w:rPr>
      </w:pPr>
    </w:p>
    <w:p>
      <w:pPr>
        <w:ind w:left="2820" w:hanging="251"/>
        <w:spacing w:after="0"/>
        <w:tabs>
          <w:tab w:leader="none" w:pos="282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hereof, at any time after the Release Date with respect to any Trustee 102 Options or Shares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shall apply:</w:t>
      </w:r>
    </w:p>
    <w:p>
      <w:pPr>
        <w:spacing w:after="0" w:line="200" w:lineRule="exact"/>
        <w:rPr>
          <w:rFonts w:ascii="Times New Roman" w:cs="Times New Roman" w:eastAsia="Times New Roman" w:hAnsi="Times New Roman"/>
          <w:sz w:val="18"/>
          <w:szCs w:val="18"/>
          <w:color w:val="auto"/>
        </w:rPr>
      </w:pPr>
    </w:p>
    <w:p>
      <w:pPr>
        <w:ind w:left="3940" w:hanging="907"/>
        <w:spacing w:after="0"/>
        <w:tabs>
          <w:tab w:leader="none" w:pos="3940" w:val="left"/>
        </w:tabs>
        <w:numPr>
          <w:ilvl w:val="3"/>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Trustee 102 Options granted, and/or Shares or rights issued to the Trustee shall continue to be held by</w:t>
      </w:r>
    </w:p>
    <w:p>
      <w:pPr>
        <w:spacing w:after="0" w:line="36" w:lineRule="exact"/>
        <w:rPr>
          <w:rFonts w:ascii="Times New Roman" w:cs="Times New Roman" w:eastAsia="Times New Roman" w:hAnsi="Times New Roman"/>
          <w:sz w:val="17"/>
          <w:szCs w:val="17"/>
          <w:color w:val="auto"/>
        </w:rPr>
      </w:pPr>
    </w:p>
    <w:p>
      <w:pPr>
        <w:ind w:right="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Trustee, on behalf of the beneficial optionee. From and after the Release Date, upon the written request of any beneficial optionee, the Trustee shall release from the Trust the Trustee 102 Options granted, and/or the Shares or rights issued, on behalf of such beneficial optionee, by executing and delivering to the Company such instrument(s) as the Company may require, giving due notice of such release to such beneficial optionee, provided, however, that the Trustee shall not so release any such Trustee 102 Options and/or Shares and/or rights to such beneficial optionee unless the latter, prior to, or concurrently with, such release, provides the Trustee with evidence, satisfactory in form and substance to the Trustee, that all taxes, if any, required to be paid upon such release have, in fact,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2" w:name="page63"/>
    <w:bookmarkEnd w:id="62"/>
    <w:p>
      <w:pPr>
        <w:ind w:left="3920" w:hanging="887"/>
        <w:spacing w:after="0"/>
        <w:tabs>
          <w:tab w:leader="none" w:pos="3920"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Alternatively, from and after the Release Date, upon the written instructions of the beneficial optionee</w:t>
      </w:r>
    </w:p>
    <w:p>
      <w:pPr>
        <w:spacing w:after="0" w:line="36" w:lineRule="exact"/>
        <w:rPr>
          <w:rFonts w:ascii="Times New Roman" w:cs="Times New Roman" w:eastAsia="Times New Roman" w:hAnsi="Times New Roman"/>
          <w:sz w:val="17"/>
          <w:szCs w:val="17"/>
          <w:color w:val="auto"/>
        </w:rPr>
      </w:pPr>
    </w:p>
    <w:p>
      <w:pPr>
        <w:ind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sell any Shares and rights issued upon exercise of Trustee 102 Options, the Trustee shall use its best efforts to effect such sale and shall transfer such Shares to the purchaser thereof concurrently with the receipt, or after having made suitable arrangements to secure the payment, of the purchase price in such transactions. The Trustee shall withhold from such proceeds any and all taxes required to be paid in respect of such sale, shall remit the amount so withheld to the appropriate tax authorities and shall pay the balance thereof directly to the beneficial optionee, reporting to such beneficial optionee and to the Company the amount so withheld and paid to said authorities.</w:t>
      </w:r>
    </w:p>
    <w:p>
      <w:pPr>
        <w:spacing w:after="0" w:line="188" w:lineRule="exact"/>
        <w:rPr>
          <w:rFonts w:ascii="Times New Roman" w:cs="Times New Roman" w:eastAsia="Times New Roman" w:hAnsi="Times New Roman"/>
          <w:sz w:val="17"/>
          <w:szCs w:val="17"/>
          <w:color w:val="auto"/>
        </w:rPr>
      </w:pPr>
    </w:p>
    <w:p>
      <w:pPr>
        <w:ind w:right="80" w:firstLine="3033"/>
        <w:spacing w:after="0" w:line="253" w:lineRule="auto"/>
        <w:tabs>
          <w:tab w:leader="none" w:pos="3930"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the underwriters of securities of the Company impose restrictions on the transferability of the Shares during a lock-up period, the beneficial optionee shall not be entitled to release from Trust the Trustee 102 Options granted and/or the Shares issued and/or to instruct the Trustee to effect a sale of same, for as long as the restrictions are in effect. In the event the Trustee 102 Options granted and/or the Shares issued have been released from trust the restrictions imposed on the transferability of same shall nevertheless apply to said optionee’s Trustee 102 Options and/or Shares in the same manner. Consequently, the Israeli Grantee shall sign any documents required in order to effect the restrictions, for as long as the restrictions are in effect.</w:t>
      </w:r>
    </w:p>
    <w:p>
      <w:pPr>
        <w:spacing w:after="0" w:line="185" w:lineRule="exact"/>
        <w:rPr>
          <w:rFonts w:ascii="Times New Roman" w:cs="Times New Roman" w:eastAsia="Times New Roman" w:hAnsi="Times New Roman"/>
          <w:sz w:val="18"/>
          <w:szCs w:val="18"/>
          <w:color w:val="auto"/>
        </w:rPr>
      </w:pPr>
    </w:p>
    <w:p>
      <w:pPr>
        <w:ind w:left="3940" w:hanging="907"/>
        <w:spacing w:after="0"/>
        <w:tabs>
          <w:tab w:leader="none" w:pos="3940"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Award, the Israeli Grantee will sign an undertaking to release the Trustee from</w:t>
      </w:r>
    </w:p>
    <w:p>
      <w:pPr>
        <w:spacing w:after="0" w:line="25"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 respect of any action or decision duly taken and bona fide executed in relation with the Plan, or any Option or Share or rights granted to same thereunder. The Trustee may establish additional terms and conditions in connection with Awards held in trust by the Trustee.</w:t>
      </w:r>
    </w:p>
    <w:p>
      <w:pPr>
        <w:spacing w:after="0" w:line="181" w:lineRule="exact"/>
        <w:rPr>
          <w:rFonts w:ascii="Times New Roman" w:cs="Times New Roman" w:eastAsia="Times New Roman" w:hAnsi="Times New Roman"/>
          <w:sz w:val="18"/>
          <w:szCs w:val="18"/>
          <w:color w:val="auto"/>
        </w:rPr>
      </w:pPr>
    </w:p>
    <w:p>
      <w:pPr>
        <w:ind w:left="2680" w:hanging="752"/>
        <w:spacing w:after="0"/>
        <w:tabs>
          <w:tab w:leader="none" w:pos="26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Non-Trustee 102 Options</w:t>
      </w:r>
    </w:p>
    <w:p>
      <w:pPr>
        <w:spacing w:after="0" w:line="219" w:lineRule="exact"/>
        <w:rPr>
          <w:rFonts w:ascii="Times New Roman" w:cs="Times New Roman" w:eastAsia="Times New Roman" w:hAnsi="Times New Roman"/>
          <w:sz w:val="18"/>
          <w:szCs w:val="18"/>
          <w:color w:val="auto"/>
        </w:rPr>
      </w:pPr>
    </w:p>
    <w:p>
      <w:pPr>
        <w:jc w:val="both"/>
        <w:ind w:firstLine="2569"/>
        <w:spacing w:after="0" w:line="262" w:lineRule="auto"/>
        <w:tabs>
          <w:tab w:leader="none" w:pos="280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pursuant to this subsection are intended to constitute Non-Trustee 102 Options and shall be subject to the general terms and conditions of the Plan and Section 20, except for provisions of the Plan applying to Trustee 102 Awards or Options under a different tax law or regulation.</w:t>
      </w:r>
    </w:p>
    <w:p>
      <w:pPr>
        <w:spacing w:after="0" w:line="176" w:lineRule="exact"/>
        <w:rPr>
          <w:rFonts w:ascii="Times New Roman" w:cs="Times New Roman" w:eastAsia="Times New Roman" w:hAnsi="Times New Roman"/>
          <w:sz w:val="18"/>
          <w:szCs w:val="18"/>
          <w:color w:val="auto"/>
        </w:rPr>
      </w:pPr>
    </w:p>
    <w:p>
      <w:pPr>
        <w:jc w:val="both"/>
        <w:ind w:right="120" w:firstLine="2569"/>
        <w:spacing w:after="0" w:line="262" w:lineRule="auto"/>
        <w:tabs>
          <w:tab w:leader="none" w:pos="281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Non-Trustee 102 Options, if the Grantee ceases to be employed by or of service to the Company or a Related Company, the Grantee may be required to extend to the Company a security or guarantee for the payment of tax due at the time of sale of Shares or other rights, all in accordance with the provisions of Section 102 and the rules, regulation or orders promulgated thereunder.</w:t>
      </w:r>
    </w:p>
    <w:p>
      <w:pPr>
        <w:spacing w:after="0" w:line="176" w:lineRule="exact"/>
        <w:rPr>
          <w:rFonts w:ascii="Times New Roman" w:cs="Times New Roman" w:eastAsia="Times New Roman" w:hAnsi="Times New Roman"/>
          <w:sz w:val="18"/>
          <w:szCs w:val="18"/>
          <w:color w:val="auto"/>
        </w:rPr>
      </w:pPr>
    </w:p>
    <w:p>
      <w:pPr>
        <w:ind w:right="80" w:firstLine="1928"/>
        <w:spacing w:after="0" w:line="273" w:lineRule="auto"/>
        <w:tabs>
          <w:tab w:leader="none" w:pos="266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Grants Made Under Section 3(I)</w:t>
      </w:r>
      <w:r>
        <w:rPr>
          <w:rFonts w:ascii="Times New Roman" w:cs="Times New Roman" w:eastAsia="Times New Roman" w:hAnsi="Times New Roman"/>
          <w:sz w:val="17"/>
          <w:szCs w:val="17"/>
          <w:color w:val="auto"/>
        </w:rPr>
        <w:t>. Awards granted pursuant to this subsection are intended to constitute 3(I) Options and shall be subject to the general terms and conditions of the Plan and Section 20 thereof, except for said provisions of the Plan applying to Awards under a different tax law or regulation. The Administrator may choose to deposit the Awards granted pursuant to Section 3(I) of the Tax Ordinance with a trustee. In such event, said trustee shall hold such Option in trust, until exercised by the Grantee, pursuant to the Company's instructions from time to time. If determined by the Administrator, the trustee shall be responsible for withholding any taxes to which a Grantee become liable upon the exercise of Options.</w:t>
      </w:r>
    </w:p>
    <w:p>
      <w:pPr>
        <w:spacing w:after="0" w:line="169" w:lineRule="exact"/>
        <w:rPr>
          <w:rFonts w:ascii="Times New Roman" w:cs="Times New Roman" w:eastAsia="Times New Roman" w:hAnsi="Times New Roman"/>
          <w:sz w:val="17"/>
          <w:szCs w:val="17"/>
          <w:color w:val="auto"/>
        </w:rPr>
      </w:pPr>
    </w:p>
    <w:p>
      <w:pPr>
        <w:ind w:right="80" w:firstLine="1288"/>
        <w:spacing w:after="0" w:line="262" w:lineRule="auto"/>
        <w:tabs>
          <w:tab w:leader="none" w:pos="20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Without derogating from the powers of the Administrator under the Plan, the Administrator shall adopt the form of Award Agreement for Israeli Grantees in form acceptable by the ITA and in compliance with the Tax Ordinance. The Award Agreement shall further indicate the type of Options (102, 3(I), Trustee, Non-Trustee etc.) granted thereunder.</w:t>
      </w:r>
    </w:p>
    <w:p>
      <w:pPr>
        <w:spacing w:after="0" w:line="176" w:lineRule="exact"/>
        <w:rPr>
          <w:rFonts w:ascii="Times New Roman" w:cs="Times New Roman" w:eastAsia="Times New Roman" w:hAnsi="Times New Roman"/>
          <w:sz w:val="18"/>
          <w:szCs w:val="18"/>
          <w:color w:val="auto"/>
        </w:rPr>
      </w:pPr>
    </w:p>
    <w:p>
      <w:pPr>
        <w:ind w:right="380" w:firstLine="1288"/>
        <w:spacing w:after="0" w:line="277" w:lineRule="auto"/>
        <w:tabs>
          <w:tab w:leader="none" w:pos="202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Without derogating from the terms of any Award Agreement or the discretionary authority of the Administrator, the standard vesting for Options to Israeli Grantees shall be as follows:</w:t>
      </w:r>
    </w:p>
    <w:p>
      <w:pPr>
        <w:spacing w:after="0" w:line="162" w:lineRule="exact"/>
        <w:rPr>
          <w:rFonts w:ascii="Times New Roman" w:cs="Times New Roman" w:eastAsia="Times New Roman" w:hAnsi="Times New Roman"/>
          <w:sz w:val="18"/>
          <w:szCs w:val="18"/>
          <w:color w:val="auto"/>
        </w:rPr>
      </w:pPr>
    </w:p>
    <w:p>
      <w:pPr>
        <w:ind w:right="80" w:firstLine="1928"/>
        <w:spacing w:after="0" w:line="262" w:lineRule="auto"/>
        <w:tabs>
          <w:tab w:leader="none" w:pos="261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five percent (25%) of the Options granted under each Award Agreement shall vest on the end of the first year of Continuous Service following the vesting commencement date determined by the Administrator and if not specified the date of the grant of an Option (the “First Anniversary”); and</w:t>
      </w:r>
    </w:p>
    <w:p>
      <w:pPr>
        <w:spacing w:after="0" w:line="176" w:lineRule="exact"/>
        <w:rPr>
          <w:rFonts w:ascii="Times New Roman" w:cs="Times New Roman" w:eastAsia="Times New Roman" w:hAnsi="Times New Roman"/>
          <w:sz w:val="18"/>
          <w:szCs w:val="18"/>
          <w:color w:val="auto"/>
        </w:rPr>
      </w:pPr>
    </w:p>
    <w:p>
      <w:pPr>
        <w:ind w:right="340" w:firstLine="1928"/>
        <w:spacing w:after="0" w:line="277" w:lineRule="auto"/>
        <w:tabs>
          <w:tab w:leader="none" w:pos="266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75% of the Options shall vest on a quarterly basis over a period of three years commencing as of the First Anniversary in twelve (12) equal portions subject to Continuous Service of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right="60" w:firstLine="1288"/>
        <w:spacing w:after="0" w:line="254" w:lineRule="auto"/>
        <w:tabs>
          <w:tab w:leader="none" w:pos="20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Shares (in contrast to unexercised Options) allocated or issued upon the exercise of Options by the Israeli Grantee, the Grantee shall be entitled to receive dividends in accordance with the quantity of such Shares, subject however to any applicable taxation on distribution of dividends. Subject to the Tax Ordinance and any restrictions imposed by the Trustee or the ITA, during the period in which Shares are held by the Trustee on behalf of the Israeli Grantee, the cash dividends paid with respect thereto shall be paid directly to the Grantee after deduction of withholding tax applicable thereto.</w:t>
      </w:r>
    </w:p>
    <w:p>
      <w:pPr>
        <w:spacing w:after="0" w:line="185" w:lineRule="exact"/>
        <w:rPr>
          <w:rFonts w:ascii="Times New Roman" w:cs="Times New Roman" w:eastAsia="Times New Roman" w:hAnsi="Times New Roman"/>
          <w:sz w:val="18"/>
          <w:szCs w:val="18"/>
          <w:color w:val="auto"/>
        </w:rPr>
      </w:pPr>
    </w:p>
    <w:p>
      <w:pPr>
        <w:ind w:firstLine="1288"/>
        <w:spacing w:after="0" w:line="251" w:lineRule="auto"/>
        <w:tabs>
          <w:tab w:leader="none" w:pos="19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anything in the Plan, to the extent permitted by Applicable Laws, any tax consequences, attributable to the Israeli Grantee, arising from the grant or exercise of any Option, from the payment for Shares covered thereby or from any other event or act (of the Company, a Related Company, the Trustee or the Grantee), hereunder, shall be borne solely by the Grantee. The Company and/or or a Related Company and/or the Trustee shall withhold taxes according to the requirements under the Applicable Laws, rules, and regulations, including withholding taxes at source. Furthermore, to the extent permitted by Applicable Law, the Grantee shall agree to indemnify the Company and/or a Related Company and/or the Trustee and hold them harmless against and from any and all liability for any such tax or interest or penalty thereon, including without limitation, liabilities relating to the necessity to withhold, or to have withheld, any such tax from any payment made to the Grantee. The Administrator and/or the Trustee shall not be required to release any Share certificate to a Grantee until all required payments have been fully made.</w:t>
      </w:r>
    </w:p>
    <w:p>
      <w:pPr>
        <w:spacing w:after="0" w:line="19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Plan, to the extent applicable to Israeli Grantees,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Israeli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CERTIFICATE OF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Protalix BioTherapeutics, Inc., a corporation organized and existing under the laws of the State of Delaware, hereby certifies as follows:</w:t>
      </w:r>
    </w:p>
    <w:p>
      <w:pPr>
        <w:spacing w:after="0" w:line="220" w:lineRule="exact"/>
        <w:rPr>
          <w:sz w:val="20"/>
          <w:szCs w:val="20"/>
          <w:color w:val="auto"/>
        </w:rPr>
      </w:pPr>
    </w:p>
    <w:p>
      <w:pPr>
        <w:ind w:right="60" w:firstLine="647"/>
        <w:spacing w:after="0" w:line="257" w:lineRule="auto"/>
        <w:tabs>
          <w:tab w:leader="none" w:pos="130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Protalix BioTherapeutics, Inc. (the “Corporation”). The Certificate of Incorporation of the Corporation was filed with the Secretary of the State of Delaware on March 30, 2016, as amended by that Certificate of Amendment dated August 15, 2016, that Second Certificate of Amendment dated January 10, 2019, that Third Certificate of Amendment dated December 16, 2019 and that Fourth Certificate of Amendment dated August 2, 2022 (the “Certificate of Incorporation”).</w:t>
      </w:r>
    </w:p>
    <w:p>
      <w:pPr>
        <w:spacing w:after="0" w:line="180" w:lineRule="exact"/>
        <w:rPr>
          <w:rFonts w:ascii="Times New Roman" w:cs="Times New Roman" w:eastAsia="Times New Roman" w:hAnsi="Times New Roman"/>
          <w:sz w:val="18"/>
          <w:szCs w:val="18"/>
          <w:color w:val="auto"/>
        </w:rPr>
      </w:pPr>
    </w:p>
    <w:p>
      <w:pPr>
        <w:ind w:right="100" w:firstLine="647"/>
        <w:spacing w:after="0" w:line="307" w:lineRule="auto"/>
        <w:tabs>
          <w:tab w:leader="none" w:pos="130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to Certificate of Incorporation of the Corporation was duly adopted by the Board of Directors of the Corporation pursuant to a resolution setting forth the proposed amendment of the Certificate of Incorporation and declaring said amendment to be advisable.</w:t>
      </w:r>
    </w:p>
    <w:p>
      <w:pPr>
        <w:spacing w:after="0" w:line="140" w:lineRule="exact"/>
        <w:rPr>
          <w:rFonts w:ascii="Times New Roman" w:cs="Times New Roman" w:eastAsia="Times New Roman" w:hAnsi="Times New Roman"/>
          <w:sz w:val="17"/>
          <w:szCs w:val="17"/>
          <w:color w:val="auto"/>
        </w:rPr>
      </w:pPr>
    </w:p>
    <w:p>
      <w:pPr>
        <w:ind w:left="1300" w:hanging="653"/>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III of the Certificate of Incorporation, as amended, is hereby amended and restated in its entirety as follows:</w:t>
      </w:r>
    </w:p>
    <w:p>
      <w:pPr>
        <w:spacing w:after="0" w:line="219" w:lineRule="exact"/>
        <w:rPr>
          <w:rFonts w:ascii="Times New Roman" w:cs="Times New Roman" w:eastAsia="Times New Roman" w:hAnsi="Times New Roman"/>
          <w:sz w:val="18"/>
          <w:szCs w:val="18"/>
          <w:color w:val="auto"/>
        </w:rPr>
      </w:pPr>
    </w:p>
    <w:p>
      <w:pPr>
        <w:ind w:left="1280" w:right="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authorized to issue the following shares of capital stock: (a) 185,000,000 shares of common stock, par value $.001 per share (the “Common Stock”); and (b) 100,000,000 shares of preferred stock, par value $.0001 per share (the “Preferred Stock”). The voting rights, the rights of redemption and other relative rights and preferences of the Preferred Stock shall be established by the Board of Directors.</w:t>
      </w:r>
    </w:p>
    <w:p>
      <w:pPr>
        <w:spacing w:after="0" w:line="180" w:lineRule="exact"/>
        <w:rPr>
          <w:rFonts w:ascii="Times New Roman" w:cs="Times New Roman" w:eastAsia="Times New Roman" w:hAnsi="Times New Roman"/>
          <w:sz w:val="18"/>
          <w:szCs w:val="18"/>
          <w:color w:val="auto"/>
        </w:rPr>
      </w:pPr>
    </w:p>
    <w:p>
      <w:pPr>
        <w:ind w:left="1280" w:right="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authorize the issuance of such stock to such persons upon such terms and for such consideration in cash, property or services as the Board of Directors may determine and as may be allowed by law. The just valuation of such property or services shall be fixed by the Board of Directors. All such stock when issued shall be fully paid and exempt from assessment.”</w:t>
      </w:r>
    </w:p>
    <w:p>
      <w:pPr>
        <w:spacing w:after="0" w:line="176" w:lineRule="exact"/>
        <w:rPr>
          <w:rFonts w:ascii="Times New Roman" w:cs="Times New Roman" w:eastAsia="Times New Roman" w:hAnsi="Times New Roman"/>
          <w:sz w:val="18"/>
          <w:szCs w:val="18"/>
          <w:color w:val="auto"/>
        </w:rPr>
      </w:pPr>
    </w:p>
    <w:p>
      <w:pPr>
        <w:ind w:left="1320" w:hanging="673"/>
        <w:spacing w:after="0"/>
        <w:tabs>
          <w:tab w:leader="none" w:pos="1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aforesaid amendment was duly adopted in accordance with the provisions of Section 242 of the General Corporation Law of the State</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Delaware.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Certificate of Incorporation to be signed by its duly authorized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this   day of</w:t>
            </w:r>
          </w:p>
        </w:tc>
        <w:tc>
          <w:tcPr>
            <w:tcW w:w="204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 2023.</w:t>
            </w:r>
          </w:p>
        </w:tc>
        <w:tc>
          <w:tcPr>
            <w:tcW w:w="5260" w:type="dxa"/>
            <w:vAlign w:val="bottom"/>
          </w:tcPr>
          <w:p>
            <w:pPr>
              <w:spacing w:after="0"/>
              <w:rPr>
                <w:sz w:val="20"/>
                <w:szCs w:val="20"/>
                <w:color w:val="auto"/>
              </w:rPr>
            </w:pPr>
          </w:p>
        </w:tc>
      </w:tr>
      <w:tr>
        <w:trPr>
          <w:trHeight w:val="408"/>
        </w:trPr>
        <w:tc>
          <w:tcPr>
            <w:tcW w:w="3940" w:type="dxa"/>
            <w:vAlign w:val="bottom"/>
          </w:tcPr>
          <w:p>
            <w:pPr>
              <w:spacing w:after="0"/>
              <w:rPr>
                <w:sz w:val="24"/>
                <w:szCs w:val="24"/>
                <w:color w:val="auto"/>
              </w:rPr>
            </w:pPr>
          </w:p>
        </w:tc>
        <w:tc>
          <w:tcPr>
            <w:tcW w:w="73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426"/>
        </w:trPr>
        <w:tc>
          <w:tcPr>
            <w:tcW w:w="3940" w:type="dxa"/>
            <w:vAlign w:val="bottom"/>
          </w:tcPr>
          <w:p>
            <w:pPr>
              <w:spacing w:after="0"/>
              <w:rPr>
                <w:sz w:val="24"/>
                <w:szCs w:val="24"/>
                <w:color w:val="auto"/>
              </w:rPr>
            </w:pPr>
          </w:p>
        </w:tc>
        <w:tc>
          <w:tcPr>
            <w:tcW w:w="73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w:t>
            </w:r>
          </w:p>
        </w:tc>
      </w:tr>
      <w:tr>
        <w:trPr>
          <w:trHeight w:val="188"/>
        </w:trPr>
        <w:tc>
          <w:tcPr>
            <w:tcW w:w="39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Dror Bashan</w:t>
            </w:r>
          </w:p>
        </w:tc>
      </w:tr>
      <w:tr>
        <w:trPr>
          <w:trHeight w:val="232"/>
        </w:trPr>
        <w:tc>
          <w:tcPr>
            <w:tcW w:w="3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67"/>
        </w:trPr>
        <w:tc>
          <w:tcPr>
            <w:tcW w:w="3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6500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6455" cy="965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7532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75323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3"/>
    </w:lvl>
  </w:abstractNum>
  <w:abstractNum w:abstractNumId="16">
    <w:nsid w:val="542289EC"/>
    <w:multiLevelType w:val="hybridMultilevel"/>
    <w:lvl w:ilvl="0">
      <w:lvlJc w:val="left"/>
      <w:lvlText w:val="(%1)"/>
      <w:numFmt w:val="decimal"/>
      <w:start w:val="13"/>
    </w:lvl>
  </w:abstractNum>
  <w:abstractNum w:abstractNumId="17">
    <w:nsid w:val="6DE91B18"/>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1)"/>
      <w:numFmt w:val="lowerLetter"/>
      <w:start w:val="2"/>
    </w:lvl>
  </w:abstractNum>
  <w:abstractNum w:abstractNumId="22">
    <w:nsid w:val="579478FE"/>
    <w:multiLevelType w:val="hybridMultilevel"/>
    <w:lvl w:ilvl="0">
      <w:lvlJc w:val="left"/>
      <w:lvlText w:val="(%1)"/>
      <w:numFmt w:val="decimal"/>
      <w:start w:val="3"/>
    </w:lvl>
  </w:abstractNum>
  <w:abstractNum w:abstractNumId="23">
    <w:nsid w:val="749ABB43"/>
    <w:multiLevelType w:val="hybridMultilevel"/>
    <w:lvl w:ilvl="0">
      <w:lvlJc w:val="left"/>
      <w:lvlText w:val="(%1)"/>
      <w:numFmt w:val="decimal"/>
      <w:start w:val="5"/>
    </w:lvl>
  </w:abstractNum>
  <w:abstractNum w:abstractNumId="24">
    <w:nsid w:val="3DC240FB"/>
    <w:multiLevelType w:val="hybridMultilevel"/>
    <w:lvl w:ilvl="0">
      <w:lvlJc w:val="left"/>
      <w:lvlText w:val="(%1)"/>
      <w:numFmt w:val="lowerRoman"/>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lowerRoman"/>
      <w:start w:val="1"/>
    </w:lvl>
  </w:abstractNum>
  <w:abstractNum w:abstractNumId="30">
    <w:nsid w:val="520EEDD1"/>
    <w:multiLevelType w:val="hybridMultilevel"/>
    <w:lvl w:ilvl="0">
      <w:lvlJc w:val="left"/>
      <w:lvlText w:val="(%1)"/>
      <w:numFmt w:val="lowerRoman"/>
      <w:start w:val="15"/>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lvl w:ilvl="1">
      <w:lvlJc w:val="left"/>
      <w:lvlText w:val="(%2)"/>
      <w:numFmt w:val="lowerLetter"/>
      <w:start w:val="1"/>
    </w:lvl>
  </w:abstractNum>
  <w:abstractNum w:abstractNumId="35">
    <w:nsid w:val="275AC794"/>
    <w:multiLevelType w:val="hybridMultilevel"/>
    <w:lvl w:ilvl="0">
      <w:lvlJc w:val="left"/>
      <w:lvlText w:val="(%1)"/>
      <w:numFmt w:val="lowerLetter"/>
      <w:start w:val="11"/>
    </w:lvl>
  </w:abstractNum>
  <w:abstractNum w:abstractNumId="36">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1CF10FD8"/>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38">
    <w:nsid w:val="180115B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9">
    <w:nsid w:val="235BA861"/>
    <w:multiLevelType w:val="hybridMultilevel"/>
    <w:lvl w:ilvl="0">
      <w:lvlJc w:val="left"/>
      <w:lvlText w:val="(%1)"/>
      <w:numFmt w:val="lowerLetter"/>
      <w:start w:val="19"/>
    </w:lvl>
    <w:lvl w:ilvl="1">
      <w:lvlJc w:val="left"/>
      <w:lvlText w:val="(%2)"/>
      <w:numFmt w:val="lowerRoman"/>
      <w:start w:val="1"/>
    </w:lvl>
  </w:abstractNum>
  <w:abstractNum w:abstractNumId="40">
    <w:nsid w:val="47398C89"/>
    <w:multiLevelType w:val="hybridMultilevel"/>
    <w:lvl w:ilvl="0">
      <w:lvlJc w:val="left"/>
      <w:lvlText w:val="%1"/>
      <w:numFmt w:val="lowerLetter"/>
      <w:start w:val="1"/>
    </w:lvl>
    <w:lvl w:ilvl="1">
      <w:lvlJc w:val="left"/>
      <w:lvlText w:val="(%2)"/>
      <w:numFmt w:val="lowerRoman"/>
      <w:start w:val="2"/>
    </w:lvl>
  </w:abstractNum>
  <w:abstractNum w:abstractNumId="41">
    <w:nsid w:val="354FE9F9"/>
    <w:multiLevelType w:val="hybridMultilevel"/>
    <w:lvl w:ilvl="0">
      <w:lvlJc w:val="left"/>
      <w:lvlText w:val="(%1)"/>
      <w:numFmt w:val="lowerLetter"/>
      <w:start w:val="27"/>
    </w:lvl>
    <w:lvl w:ilvl="1">
      <w:lvlJc w:val="left"/>
      <w:lvlText w:val="%2"/>
      <w:numFmt w:val="lowerRoman"/>
      <w:start w:val="1"/>
    </w:lvl>
  </w:abstractNum>
  <w:abstractNum w:abstractNumId="42">
    <w:nsid w:val="15B5AF5C"/>
    <w:multiLevelType w:val="hybridMultilevel"/>
    <w:lvl w:ilvl="0">
      <w:lvlJc w:val="left"/>
      <w:lvlText w:val="(%1)"/>
      <w:numFmt w:val="lowerLetter"/>
      <w:start w:val="39"/>
    </w:lvl>
  </w:abstractNum>
  <w:abstractNum w:abstractNumId="43">
    <w:nsid w:val="741226BB"/>
    <w:multiLevelType w:val="hybridMultilevel"/>
    <w:lvl w:ilvl="0">
      <w:lvlJc w:val="left"/>
      <w:lvlText w:val="%1"/>
      <w:numFmt w:val="decimal"/>
      <w:start w:val="1"/>
    </w:lvl>
    <w:lvl w:ilvl="1">
      <w:lvlJc w:val="left"/>
      <w:lvlText w:val="(%2)"/>
      <w:numFmt w:val="lowerLetter"/>
      <w:start w:val="41"/>
    </w:lvl>
  </w:abstractNum>
  <w:abstractNum w:abstractNumId="44">
    <w:nsid w:val="D34B6A8"/>
    <w:multiLevelType w:val="hybridMultilevel"/>
    <w:lvl w:ilvl="0">
      <w:lvlJc w:val="left"/>
      <w:lvlText w:val="%1."/>
      <w:numFmt w:val="decimal"/>
      <w:start w:val="3"/>
    </w:lvl>
    <w:lvl w:ilvl="1">
      <w:lvlJc w:val="left"/>
      <w:lvlText w:val="(%2)"/>
      <w:numFmt w:val="lowerLetter"/>
      <w:start w:val="1"/>
    </w:lvl>
  </w:abstractNum>
  <w:abstractNum w:abstractNumId="45">
    <w:nsid w:val="10233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6">
    <w:nsid w:val="3F6AB60F"/>
    <w:multiLevelType w:val="hybridMultilevel"/>
    <w:lvl w:ilvl="0">
      <w:lvlJc w:val="left"/>
      <w:lvlText w:val="(%1)"/>
      <w:numFmt w:val="lowerLetter"/>
      <w:start w:val="2"/>
    </w:lvl>
    <w:lvl w:ilvl="1">
      <w:lvlJc w:val="left"/>
      <w:lvlText w:val="(%2)"/>
      <w:numFmt w:val="lowerRoman"/>
      <w:start w:val="1"/>
    </w:lvl>
  </w:abstractNum>
  <w:abstractNum w:abstractNumId="47">
    <w:nsid w:val="61574095"/>
    <w:multiLevelType w:val="hybridMultilevel"/>
    <w:lvl w:ilvl="0">
      <w:lvlJc w:val="left"/>
      <w:lvlText w:val="(%1)"/>
      <w:numFmt w:val="lowerRoman"/>
      <w:start w:val="5"/>
    </w:lvl>
  </w:abstractNum>
  <w:abstractNum w:abstractNumId="48">
    <w:nsid w:val="7E0C57B1"/>
    <w:multiLevelType w:val="hybridMultilevel"/>
    <w:lvl w:ilvl="0">
      <w:lvlJc w:val="left"/>
      <w:lvlText w:val="%1"/>
      <w:numFmt w:val="decimal"/>
      <w:start w:val="1"/>
    </w:lvl>
    <w:lvl w:ilvl="1">
      <w:lvlJc w:val="left"/>
      <w:lvlText w:val="(%2)"/>
      <w:numFmt w:val="lowerLetter"/>
      <w:start w:val="3"/>
    </w:lvl>
  </w:abstractNum>
  <w:abstractNum w:abstractNumId="49">
    <w:nsid w:val="77AE35EB"/>
    <w:multiLevelType w:val="hybridMultilevel"/>
    <w:lvl w:ilvl="0">
      <w:lvlJc w:val="left"/>
      <w:lvlText w:val="%1."/>
      <w:numFmt w:val="decimal"/>
      <w:start w:val="5"/>
    </w:lvl>
    <w:lvl w:ilvl="1">
      <w:lvlJc w:val="left"/>
      <w:lvlText w:val="%2"/>
      <w:numFmt w:val="lowerLetter"/>
      <w:start w:val="1"/>
    </w:lvl>
  </w:abstractNum>
  <w:abstractNum w:abstractNumId="50">
    <w:nsid w:val="579BE4F1"/>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51">
    <w:nsid w:val="310C50B3"/>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52">
    <w:nsid w:val="5FF87E05"/>
    <w:multiLevelType w:val="hybridMultilevel"/>
    <w:lvl w:ilvl="0">
      <w:lvlJc w:val="left"/>
      <w:lvlText w:val="(%1)"/>
      <w:numFmt w:val="lowerRoman"/>
      <w:start w:val="16"/>
    </w:lvl>
    <w:lvl w:ilvl="1">
      <w:lvlJc w:val="left"/>
      <w:lvlText w:val="%2"/>
      <w:numFmt w:val="decimal"/>
      <w:start w:val="1"/>
    </w:lvl>
    <w:lvl w:ilvl="2">
      <w:lvlJc w:val="left"/>
      <w:lvlText w:val="(%3)"/>
      <w:numFmt w:val="lowerLetter"/>
      <w:start w:val="4"/>
    </w:lvl>
  </w:abstractNum>
  <w:abstractNum w:abstractNumId="53">
    <w:nsid w:val="2F305DEF"/>
    <w:multiLevelType w:val="hybridMultilevel"/>
    <w:lvl w:ilvl="0">
      <w:lvlJc w:val="left"/>
      <w:lvlText w:val="(%1)"/>
      <w:numFmt w:val="lowerLetter"/>
      <w:start w:val="6"/>
    </w:lvl>
    <w:lvl w:ilvl="1">
      <w:lvlJc w:val="left"/>
      <w:lvlText w:val="(%2)"/>
      <w:numFmt w:val="lowerRoman"/>
      <w:start w:val="1"/>
    </w:lvl>
  </w:abstractNum>
  <w:abstractNum w:abstractNumId="54">
    <w:nsid w:val="25A70BF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1"/>
    </w:lvl>
    <w:lvl w:ilvl="3">
      <w:lvlJc w:val="left"/>
      <w:lvlText w:val="%4"/>
      <w:numFmt w:val="lowerRoman"/>
      <w:start w:val="1"/>
    </w:lvl>
    <w:lvl w:ilvl="4">
      <w:lvlJc w:val="left"/>
      <w:lvlText w:val="%5"/>
      <w:numFmt w:val="upperLetter"/>
      <w:start w:val="1"/>
    </w:lvl>
  </w:abstractNum>
  <w:abstractNum w:abstractNumId="55">
    <w:nsid w:val="1DBABF00"/>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6">
    <w:nsid w:val="4AD084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7">
    <w:nsid w:val="1F48EAA1"/>
    <w:multiLevelType w:val="hybridMultilevel"/>
    <w:lvl w:ilvl="0">
      <w:lvlJc w:val="left"/>
      <w:lvlText w:val="(%1)"/>
      <w:numFmt w:val="lowerRoman"/>
      <w:start w:val="5"/>
    </w:lvl>
  </w:abstractNum>
  <w:abstractNum w:abstractNumId="58">
    <w:nsid w:val="138182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5DB70AE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0">
    <w:nsid w:val="100F8FCA"/>
    <w:multiLevelType w:val="hybridMultilevel"/>
    <w:lvl w:ilvl="0">
      <w:lvlJc w:val="left"/>
      <w:lvlText w:val="%1"/>
      <w:numFmt w:val="decimal"/>
      <w:start w:val="1"/>
    </w:lvl>
    <w:lvl w:ilvl="1">
      <w:lvlJc w:val="left"/>
      <w:lvlText w:val="(%2)"/>
      <w:numFmt w:val="lowerLetter"/>
      <w:start w:val="4"/>
    </w:lvl>
  </w:abstractNum>
  <w:abstractNum w:abstractNumId="61">
    <w:nsid w:val="6590700B"/>
    <w:multiLevelType w:val="hybridMultilevel"/>
    <w:lvl w:ilvl="0">
      <w:lvlJc w:val="left"/>
      <w:lvlText w:val="%1."/>
      <w:numFmt w:val="decimal"/>
      <w:start w:val="9"/>
    </w:lvl>
    <w:lvl w:ilvl="1">
      <w:lvlJc w:val="left"/>
      <w:lvlText w:val="(%2)"/>
      <w:numFmt w:val="lowerLetter"/>
      <w:start w:val="1"/>
    </w:lvl>
  </w:abstractNum>
  <w:abstractNum w:abstractNumId="62">
    <w:nsid w:val="15014ACB"/>
    <w:multiLevelType w:val="hybridMultilevel"/>
    <w:lvl w:ilvl="0">
      <w:lvlJc w:val="left"/>
      <w:lvlText w:val="%1."/>
      <w:numFmt w:val="decimal"/>
      <w:start w:val="11"/>
    </w:lvl>
    <w:lvl w:ilvl="1">
      <w:lvlJc w:val="left"/>
      <w:lvlText w:val="(%2)"/>
      <w:numFmt w:val="lowerLetter"/>
      <w:start w:val="1"/>
    </w:lvl>
  </w:abstractNum>
  <w:abstractNum w:abstractNumId="63">
    <w:nsid w:val="5F5E7FD0"/>
    <w:multiLevelType w:val="hybridMultilevel"/>
    <w:lvl w:ilvl="0">
      <w:lvlJc w:val="left"/>
      <w:lvlText w:val="%1."/>
      <w:numFmt w:val="decimal"/>
      <w:start w:val="12"/>
    </w:lvl>
  </w:abstractNum>
  <w:abstractNum w:abstractNumId="64">
    <w:nsid w:val="98A3148"/>
    <w:multiLevelType w:val="hybridMultilevel"/>
    <w:lvl w:ilvl="0">
      <w:lvlJc w:val="left"/>
      <w:lvlText w:val="%1."/>
      <w:numFmt w:val="decimal"/>
      <w:start w:val="13"/>
    </w:lvl>
    <w:lvl w:ilvl="1">
      <w:lvlJc w:val="left"/>
      <w:lvlText w:val="(%2)"/>
      <w:numFmt w:val="lowerLetter"/>
      <w:start w:val="1"/>
    </w:lvl>
  </w:abstractNum>
  <w:abstractNum w:abstractNumId="65">
    <w:nsid w:val="799D0247"/>
    <w:multiLevelType w:val="hybridMultilevel"/>
    <w:lvl w:ilvl="0">
      <w:lvlJc w:val="left"/>
      <w:lvlText w:val="%1."/>
      <w:numFmt w:val="decimal"/>
      <w:start w:val="19"/>
    </w:lvl>
  </w:abstractNum>
  <w:abstractNum w:abstractNumId="66">
    <w:nsid w:val="6B94764"/>
    <w:multiLevelType w:val="hybridMultilevel"/>
    <w:lvl w:ilvl="0">
      <w:lvlJc w:val="left"/>
      <w:lvlText w:val="(%1)"/>
      <w:numFmt w:val="lowerLetter"/>
      <w:start w:val="1"/>
    </w:lvl>
    <w:lvl w:ilvl="1">
      <w:lvlJc w:val="left"/>
      <w:lvlText w:val="(%2)"/>
      <w:numFmt w:val="lowerLetter"/>
      <w:start w:val="9"/>
    </w:lvl>
  </w:abstractNum>
  <w:abstractNum w:abstractNumId="67">
    <w:nsid w:val="42C296BD"/>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68">
    <w:nsid w:val="168E121F"/>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4"/>
    </w:lvl>
    <w:lvl w:ilvl="3">
      <w:lvlJc w:val="left"/>
      <w:lvlText w:val="%4"/>
      <w:numFmt w:val="upperLetter"/>
      <w:start w:val="1"/>
    </w:lvl>
  </w:abstractNum>
  <w:abstractNum w:abstractNumId="69">
    <w:nsid w:val="1EBA5D23"/>
    <w:multiLevelType w:val="hybridMultilevel"/>
    <w:lvl w:ilvl="0">
      <w:lvlJc w:val="left"/>
      <w:lvlText w:val="%1"/>
      <w:numFmt w:val="lowerRoman"/>
      <w:start w:val="1"/>
    </w:lvl>
    <w:lvl w:ilvl="1">
      <w:lvlJc w:val="left"/>
      <w:lvlText w:val="(%2)"/>
      <w:numFmt w:val="lowerRoman"/>
      <w:start w:val="3"/>
    </w:lvl>
    <w:lvl w:ilvl="2">
      <w:lvlJc w:val="left"/>
      <w:lvlText w:val="(%3)"/>
      <w:numFmt w:val="decimal"/>
      <w:start w:val="1"/>
    </w:lvl>
    <w:lvl w:ilvl="3">
      <w:lvlJc w:val="left"/>
      <w:lvlText w:val="%4"/>
      <w:numFmt w:val="upperLetter"/>
      <w:start w:val="1"/>
    </w:lvl>
  </w:abstractNum>
  <w:abstractNum w:abstractNumId="70">
    <w:nsid w:val="661E3F1E"/>
    <w:multiLevelType w:val="hybridMultilevel"/>
    <w:lvl w:ilvl="0">
      <w:lvlJc w:val="left"/>
      <w:lvlText w:val="(%1)"/>
      <w:numFmt w:val="lowerRoman"/>
      <w:start w:val="2"/>
    </w:lvl>
    <w:lvl w:ilvl="1">
      <w:lvlJc w:val="left"/>
      <w:lvlText w:val="%2"/>
      <w:numFmt w:val="lowerRoman"/>
      <w:start w:val="1"/>
    </w:lvl>
    <w:lvl w:ilvl="2">
      <w:lvlJc w:val="left"/>
      <w:lvlText w:val="(%3)"/>
      <w:numFmt w:val="decimal"/>
      <w:start w:val="4"/>
    </w:lvl>
    <w:lvl w:ilvl="3">
      <w:lvlJc w:val="left"/>
      <w:lvlText w:val="(%4)"/>
      <w:numFmt w:val="upperLetter"/>
      <w:start w:val="1"/>
    </w:lvl>
  </w:abstractNum>
  <w:abstractNum w:abstractNumId="71">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72">
    <w:nsid w:val="540A471C"/>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73">
    <w:nsid w:val="7BD3EE7B"/>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4">
    <w:nsid w:val="51D9C564"/>
    <w:multiLevelType w:val="hybridMultilevel"/>
    <w:lvl w:ilvl="0">
      <w:lvlJc w:val="left"/>
      <w:lvlText w:val="(%1)"/>
      <w:numFmt w:val="lowerLetter"/>
      <w:start w:val="5"/>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2023-05-02T07:31:34Z</dcterms:created>
  <dcterms:modified xsi:type="dcterms:W3CDTF">2023-05-02T07:31:34Z</dcterms:modified>
</cp:coreProperties>
</file>