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 SECTIONS 13 OR 15(d)</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5" w:lineRule="exact"/>
        <w:rPr>
          <w:sz w:val="24"/>
          <w:szCs w:val="24"/>
          <w:color w:val="auto"/>
        </w:rPr>
      </w:pPr>
    </w:p>
    <w:p>
      <w:pPr>
        <w:ind w:left="680" w:right="3420" w:hanging="656"/>
        <w:spacing w:after="0" w:line="480" w:lineRule="auto"/>
        <w:tabs>
          <w:tab w:leader="none" w:pos="680"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72" w:lineRule="exact"/>
        <w:rPr>
          <w:sz w:val="24"/>
          <w:szCs w:val="24"/>
          <w:color w:val="auto"/>
        </w:rPr>
      </w:pPr>
    </w:p>
    <w:p>
      <w:pPr>
        <w:ind w:left="680" w:hanging="656"/>
        <w:spacing w:after="0"/>
        <w:tabs>
          <w:tab w:leader="none" w:pos="68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720" w:type="dxa"/>
            <w:vAlign w:val="bottom"/>
            <w:tcBorders>
              <w:bottom w:val="single" w:sz="8" w:color="auto"/>
            </w:tcBorders>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1880" w:type="dxa"/>
            <w:vAlign w:val="bottom"/>
          </w:tcPr>
          <w:p>
            <w:pPr>
              <w:spacing w:after="0"/>
              <w:rPr>
                <w:sz w:val="12"/>
                <w:szCs w:val="12"/>
                <w:color w:val="auto"/>
              </w:rPr>
            </w:pPr>
          </w:p>
        </w:tc>
      </w:tr>
      <w:tr>
        <w:trPr>
          <w:trHeight w:val="189"/>
        </w:trPr>
        <w:tc>
          <w:tcPr>
            <w:tcW w:w="1660" w:type="dxa"/>
            <w:vAlign w:val="bottom"/>
          </w:tcPr>
          <w:p>
            <w:pPr>
              <w:spacing w:after="0"/>
              <w:rPr>
                <w:sz w:val="16"/>
                <w:szCs w:val="16"/>
                <w:color w:val="auto"/>
              </w:rPr>
            </w:pPr>
          </w:p>
        </w:tc>
        <w:tc>
          <w:tcPr>
            <w:tcW w:w="3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001-33357</w:t>
            </w:r>
          </w:p>
        </w:tc>
      </w:tr>
      <w:tr>
        <w:trPr>
          <w:trHeight w:val="166"/>
        </w:trPr>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tcBorders>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w w:val="96"/>
              </w:rPr>
              <w:t>State or</w:t>
            </w:r>
          </w:p>
        </w:tc>
        <w:tc>
          <w:tcPr>
            <w:tcW w:w="74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4"/>
          </w:tcPr>
          <w:p>
            <w:pPr>
              <w:jc w:val="right"/>
              <w:ind w:right="2277"/>
              <w:spacing w:after="0"/>
              <w:rPr>
                <w:sz w:val="20"/>
                <w:szCs w:val="20"/>
                <w:color w:val="auto"/>
              </w:rPr>
            </w:pPr>
            <w:r>
              <w:rPr>
                <w:rFonts w:ascii="Times New Roman" w:cs="Times New Roman" w:eastAsia="Times New Roman" w:hAnsi="Times New Roman"/>
                <w:sz w:val="13"/>
                <w:szCs w:val="13"/>
                <w:b w:val="1"/>
                <w:bCs w:val="1"/>
                <w:color w:val="auto"/>
                <w:w w:val="92"/>
              </w:rPr>
              <w:t>65-0643773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120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jurisdiction</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6"/>
          </w:tcPr>
          <w:p>
            <w:pPr>
              <w:jc w:val="center"/>
              <w:ind w:right="2100"/>
              <w:spacing w:after="0" w:line="109"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6"/>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5"/>
        </w:trPr>
        <w:tc>
          <w:tcPr>
            <w:tcW w:w="3060" w:type="dxa"/>
            <w:vAlign w:val="bottom"/>
            <w:gridSpan w:val="5"/>
          </w:tcPr>
          <w:p>
            <w:pPr>
              <w:jc w:val="center"/>
              <w:ind w:left="2017"/>
              <w:spacing w:after="0"/>
              <w:rPr>
                <w:sz w:val="20"/>
                <w:szCs w:val="20"/>
                <w:color w:val="auto"/>
              </w:rPr>
            </w:pPr>
            <w:r>
              <w:rPr>
                <w:rFonts w:ascii="Times New Roman" w:cs="Times New Roman" w:eastAsia="Times New Roman" w:hAnsi="Times New Roman"/>
                <w:sz w:val="13"/>
                <w:szCs w:val="13"/>
                <w:b w:val="1"/>
                <w:bCs w:val="1"/>
                <w:color w:val="auto"/>
                <w:w w:val="96"/>
              </w:rPr>
              <w:t>2 University Plaza</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Suite 100</w:t>
            </w: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92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Hackensack, NJ</w:t>
            </w: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07601</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(Address of</w:t>
            </w:r>
          </w:p>
        </w:tc>
        <w:tc>
          <w:tcPr>
            <w:tcW w:w="86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468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principal executive offices)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5"/>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2"/>
          </w:tcPr>
          <w:p>
            <w:pPr>
              <w:jc w:val="center"/>
              <w:ind w:left="1157"/>
              <w:spacing w:after="0"/>
              <w:rPr>
                <w:sz w:val="20"/>
                <w:szCs w:val="20"/>
                <w:color w:val="auto"/>
              </w:rPr>
            </w:pPr>
            <w:r>
              <w:rPr>
                <w:rFonts w:ascii="Times New Roman" w:cs="Times New Roman" w:eastAsia="Times New Roman" w:hAnsi="Times New Roman"/>
                <w:sz w:val="13"/>
                <w:szCs w:val="13"/>
                <w:b w:val="1"/>
                <w:bCs w:val="1"/>
                <w:color w:val="auto"/>
                <w:w w:val="95"/>
              </w:rPr>
              <w:t>(201) 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3"/>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2"/>
          </w:tcPr>
          <w:p>
            <w:pPr>
              <w:jc w:val="center"/>
              <w:ind w:right="1137"/>
              <w:spacing w:after="0" w:line="129" w:lineRule="exact"/>
              <w:rPr>
                <w:sz w:val="20"/>
                <w:szCs w:val="20"/>
                <w:color w:val="auto"/>
              </w:rPr>
            </w:pPr>
            <w:r>
              <w:rPr>
                <w:rFonts w:ascii="Times New Roman" w:cs="Times New Roman" w:eastAsia="Times New Roman" w:hAnsi="Times New Roman"/>
                <w:sz w:val="13"/>
                <w:szCs w:val="13"/>
                <w:color w:val="auto"/>
                <w:w w:val="97"/>
              </w:rPr>
              <w:t>PLX</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jc w:val="center"/>
              <w:ind w:right="657"/>
              <w:spacing w:after="0" w:line="129" w:lineRule="exact"/>
              <w:rPr>
                <w:sz w:val="20"/>
                <w:szCs w:val="20"/>
                <w:color w:val="auto"/>
              </w:rPr>
            </w:pPr>
            <w:r>
              <w:rPr>
                <w:rFonts w:ascii="Times New Roman" w:cs="Times New Roman" w:eastAsia="Times New Roman" w:hAnsi="Times New Roman"/>
                <w:sz w:val="13"/>
                <w:szCs w:val="13"/>
                <w:color w:val="auto"/>
                <w:w w:val="97"/>
              </w:rPr>
              <w:t>NYSE American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80" w:type="dxa"/>
            <w:vAlign w:val="bottom"/>
            <w:gridSpan w:val="2"/>
          </w:tcPr>
          <w:p>
            <w:pPr>
              <w:jc w:val="center"/>
              <w:ind w:right="125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820" w:type="dxa"/>
            <w:vAlign w:val="bottom"/>
            <w:gridSpan w:val="9"/>
          </w:tcPr>
          <w:p>
            <w:pPr>
              <w:ind w:left="660"/>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440" w:type="dxa"/>
            <w:vAlign w:val="bottom"/>
            <w:gridSpan w:val="7"/>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16"/>
        </w:trPr>
        <w:tc>
          <w:tcPr>
            <w:tcW w:w="7300" w:type="dxa"/>
            <w:vAlign w:val="bottom"/>
            <w:gridSpan w:val="11"/>
          </w:tcPr>
          <w:p>
            <w:pPr>
              <w:ind w:left="660"/>
              <w:spacing w:after="0" w:line="175"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w w:val="97"/>
              </w:rPr>
              <w:t>☐</w:t>
            </w:r>
            <w:r>
              <w:rPr>
                <w:rFonts w:ascii="Times New Roman" w:cs="Times New Roman" w:eastAsia="Times New Roman" w:hAnsi="Times New Roman"/>
                <w:sz w:val="13"/>
                <w:szCs w:val="13"/>
                <w:color w:val="auto"/>
                <w:w w:val="97"/>
              </w:rPr>
              <w:t xml:space="preserve"> No</w:t>
            </w:r>
          </w:p>
        </w:tc>
        <w:tc>
          <w:tcPr>
            <w:tcW w:w="2960" w:type="dxa"/>
            <w:vAlign w:val="bottom"/>
            <w:gridSpan w:val="5"/>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20" w:right="12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28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32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20" w:type="dxa"/>
            <w:vAlign w:val="bottom"/>
          </w:tcPr>
          <w:p>
            <w:pPr>
              <w:ind w:left="4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9"/>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20" w:type="dxa"/>
            <w:vAlign w:val="bottom"/>
          </w:tcPr>
          <w:p>
            <w:pPr>
              <w:ind w:left="4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171"/>
        </w:trPr>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71" w:lineRule="exact"/>
              <w:rPr>
                <w:sz w:val="20"/>
                <w:szCs w:val="20"/>
                <w:color w:val="auto"/>
              </w:rPr>
            </w:pPr>
            <w:r>
              <w:rPr>
                <w:rFonts w:ascii="Arial Unicode MS" w:cs="Arial Unicode MS" w:eastAsia="Arial Unicode MS" w:hAnsi="Arial Unicode MS"/>
                <w:sz w:val="13"/>
                <w:szCs w:val="13"/>
                <w:color w:val="auto"/>
              </w:rPr>
              <w:t>☐</w:t>
            </w:r>
          </w:p>
        </w:tc>
      </w:tr>
    </w:tbl>
    <w:p>
      <w:pPr>
        <w:ind w:left="20" w:right="240" w:firstLine="648"/>
        <w:spacing w:after="0" w:line="16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left="20" w:right="2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6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5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left="20" w:right="10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common stock held by non-affiliates of the Registrant as of June 30, 2025 was approximately $113.1 million, based on the closing price for shares of the Registrant’s common stock reported by the NYSE American for such date.</w:t>
      </w:r>
    </w:p>
    <w:p>
      <w:pPr>
        <w:spacing w:after="0" w:line="3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March 1, 2026, approximately 80,571,642 shares of the Registrant’s common stock, par value $0.001 per share, were outstanding.</w:t>
      </w:r>
    </w:p>
    <w:p>
      <w:pPr>
        <w:spacing w:after="0" w:line="5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left="20" w:right="240" w:firstLine="648"/>
        <w:spacing w:after="0"/>
        <w:rPr>
          <w:sz w:val="20"/>
          <w:szCs w:val="20"/>
          <w:color w:val="auto"/>
        </w:rPr>
      </w:pPr>
      <w:r>
        <w:rPr>
          <w:rFonts w:ascii="Times New Roman" w:cs="Times New Roman" w:eastAsia="Times New Roman" w:hAnsi="Times New Roman"/>
          <w:sz w:val="13"/>
          <w:szCs w:val="13"/>
          <w:color w:val="auto"/>
        </w:rPr>
        <w:t>Portions of the registrant’s proxy statement related to its 2026 Annual Stockholders’ Meeting to be filed subsequently are incorporated by reference into Part III of this Annual Report on Form 10-K.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FORM 10-K ANNUAL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580" w:type="dxa"/>
            <w:vAlign w:val="bottom"/>
            <w:tcBorders>
              <w:bottom w:val="single" w:sz="8" w:color="CCEEFF"/>
            </w:tcBorders>
            <w:gridSpan w:val="11"/>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2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00" w:type="dxa"/>
            <w:vAlign w:val="bottom"/>
            <w:tcBorders>
              <w:top w:val="single" w:sz="8" w:color="CCEEFF"/>
            </w:tcBorders>
            <w:gridSpan w:val="14"/>
          </w:tcPr>
          <w:p>
            <w:pPr>
              <w:jc w:val="center"/>
              <w:ind w:right="35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5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40" w:type="dxa"/>
            <w:vAlign w:val="bottom"/>
            <w:tcBorders>
              <w:top w:val="single" w:sz="8" w:color="0000EE"/>
              <w:bottom w:val="single" w:sz="8" w:color="CCEEFF"/>
            </w:tcBorders>
            <w:gridSpan w:val="28"/>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9A.</w:t>
            </w:r>
          </w:p>
        </w:tc>
        <w:tc>
          <w:tcPr>
            <w:tcW w:w="1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80" w:type="dxa"/>
            <w:vAlign w:val="bottom"/>
            <w:tcBorders>
              <w:bottom w:val="single" w:sz="8" w:color="CCEEFF"/>
            </w:tcBorders>
            <w:gridSpan w:val="21"/>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11"/>
          </w:tcPr>
          <w:p>
            <w:pPr>
              <w:jc w:val="center"/>
              <w:ind w:right="7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660" w:type="dxa"/>
            <w:vAlign w:val="bottom"/>
            <w:tcBorders>
              <w:top w:val="single" w:sz="8" w:color="CCEEFF"/>
            </w:tcBorders>
            <w:gridSpan w:val="6"/>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10.</w:t>
            </w:r>
          </w:p>
        </w:tc>
        <w:tc>
          <w:tcPr>
            <w:tcW w:w="160" w:type="dxa"/>
            <w:vAlign w:val="bottom"/>
            <w:gridSpan w:val="3"/>
            <w:shd w:val="clear" w:color="auto" w:fill="CCEEFF"/>
          </w:tcPr>
          <w:p>
            <w:pPr>
              <w:spacing w:after="0"/>
              <w:rPr>
                <w:sz w:val="17"/>
                <w:szCs w:val="17"/>
                <w:color w:val="auto"/>
              </w:rPr>
            </w:pP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11.</w:t>
            </w:r>
          </w:p>
        </w:tc>
        <w:tc>
          <w:tcPr>
            <w:tcW w:w="160" w:type="dxa"/>
            <w:vAlign w:val="bottom"/>
            <w:tcBorders>
              <w:top w:val="single" w:sz="8" w:color="CCEEFF"/>
            </w:tcBorders>
            <w:gridSpan w:val="3"/>
          </w:tcPr>
          <w:p>
            <w:pPr>
              <w:spacing w:after="0"/>
              <w:rPr>
                <w:sz w:val="15"/>
                <w:szCs w:val="15"/>
                <w:color w:val="auto"/>
              </w:rPr>
            </w:pPr>
          </w:p>
        </w:tc>
        <w:tc>
          <w:tcPr>
            <w:tcW w:w="41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3420" w:type="dxa"/>
            <w:vAlign w:val="bottom"/>
            <w:tcBorders>
              <w:top w:val="single" w:sz="8" w:color="CCEEFF"/>
            </w:tcBorders>
            <w:gridSpan w:val="8"/>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12.</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73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75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240" w:type="dxa"/>
            <w:vAlign w:val="bottom"/>
            <w:tcBorders>
              <w:top w:val="single" w:sz="8" w:color="CCEEFF"/>
            </w:tcBorders>
            <w:gridSpan w:val="16"/>
          </w:tcPr>
          <w:p>
            <w:pPr>
              <w:jc w:val="center"/>
              <w:ind w:right="352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5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15.</w:t>
            </w:r>
          </w:p>
        </w:tc>
        <w:tc>
          <w:tcPr>
            <w:tcW w:w="160" w:type="dxa"/>
            <w:vAlign w:val="bottom"/>
            <w:gridSpan w:val="3"/>
            <w:shd w:val="clear" w:color="auto" w:fill="CCEEFF"/>
          </w:tcPr>
          <w:p>
            <w:pPr>
              <w:spacing w:after="0"/>
              <w:rPr>
                <w:sz w:val="17"/>
                <w:szCs w:val="17"/>
                <w:color w:val="auto"/>
              </w:rPr>
            </w:pPr>
          </w:p>
        </w:tc>
        <w:tc>
          <w:tcPr>
            <w:tcW w:w="75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160" w:type="dxa"/>
            <w:vAlign w:val="bottom"/>
            <w:tcBorders>
              <w:top w:val="single" w:sz="8" w:color="CCEEFF"/>
            </w:tcBorders>
            <w:gridSpan w:val="3"/>
          </w:tcPr>
          <w:p>
            <w:pPr>
              <w:spacing w:after="0"/>
              <w:rPr>
                <w:sz w:val="15"/>
                <w:szCs w:val="15"/>
                <w:color w:val="auto"/>
              </w:rPr>
            </w:pPr>
          </w:p>
        </w:tc>
        <w:tc>
          <w:tcPr>
            <w:tcW w:w="31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400" w:type="dxa"/>
            <w:vAlign w:val="bottom"/>
            <w:tcBorders>
              <w:top w:val="single" w:sz="8" w:color="CCEEFF"/>
            </w:tcBorders>
            <w:gridSpan w:val="17"/>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0000EE"/>
            </w:tcBorders>
            <w:vMerge w:val="continue"/>
          </w:tcPr>
          <w:p>
            <w:pPr>
              <w:spacing w:after="0"/>
              <w:rPr>
                <w:sz w:val="17"/>
                <w:szCs w:val="17"/>
                <w:color w:val="auto"/>
              </w:rPr>
            </w:pPr>
          </w:p>
        </w:tc>
        <w:tc>
          <w:tcPr>
            <w:tcW w:w="7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the terms “we,” “us,” “our” or “the Company,” refer to the business of Protalix BioTherapeutics, Inc. and its consolidated subsidiary, and “Protalix” or “Protalix Ltd.” refers to the business of Protalix Ltd., our wholly-owned subsidiary and sole operating unit.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statements set forth under the sections entitled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Condition and Results of Operations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000000"/>
        </w:rPr>
        <w:t>,” and other statements included elsewhere in this Annual Report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Form 10-K, particularly with respect to our plans and strategy for our business and related financing, include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other words or phrases of similar import, as they relate to our company,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90" w:lineRule="exact"/>
        <w:rPr>
          <w:sz w:val="20"/>
          <w:szCs w:val="20"/>
          <w:color w:val="auto"/>
        </w:rPr>
      </w:pPr>
    </w:p>
    <w:p>
      <w:pPr>
        <w:ind w:left="60" w:right="519" w:hanging="10"/>
        <w:spacing w:after="0" w:line="217"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57" w:lineRule="exact"/>
        <w:rPr>
          <w:rFonts w:ascii="Times New Roman" w:cs="Times New Roman" w:eastAsia="Times New Roman" w:hAnsi="Times New Roman"/>
          <w:sz w:val="18"/>
          <w:szCs w:val="18"/>
          <w:color w:val="auto"/>
        </w:rPr>
      </w:pPr>
    </w:p>
    <w:p>
      <w:pPr>
        <w:jc w:val="both"/>
        <w:ind w:left="60" w:right="179" w:hanging="10"/>
        <w:spacing w:after="0" w:line="266"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approval received from the U.S. Food and Drug Administration, or FDA, for the product;</w:t>
      </w:r>
    </w:p>
    <w:p>
      <w:pPr>
        <w:spacing w:after="0" w:line="135" w:lineRule="exact"/>
        <w:rPr>
          <w:rFonts w:ascii="Times New Roman" w:cs="Times New Roman" w:eastAsia="Times New Roman" w:hAnsi="Times New Roman"/>
          <w:sz w:val="18"/>
          <w:szCs w:val="18"/>
          <w:color w:val="auto"/>
        </w:rPr>
      </w:pPr>
    </w:p>
    <w:p>
      <w:pPr>
        <w:ind w:left="60" w:right="359" w:hanging="10"/>
        <w:spacing w:after="0" w:line="282"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 approved;</w:t>
      </w:r>
    </w:p>
    <w:p>
      <w:pPr>
        <w:spacing w:after="0" w:line="13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 candidates;</w:t>
      </w:r>
    </w:p>
    <w:p>
      <w:pPr>
        <w:spacing w:after="0" w:line="184" w:lineRule="exact"/>
        <w:rPr>
          <w:rFonts w:ascii="Times New Roman" w:cs="Times New Roman" w:eastAsia="Times New Roman" w:hAnsi="Times New Roman"/>
          <w:sz w:val="18"/>
          <w:szCs w:val="18"/>
          <w:color w:val="auto"/>
        </w:rPr>
      </w:pPr>
    </w:p>
    <w:p>
      <w:pPr>
        <w:ind w:left="60" w:right="319" w:hanging="10"/>
        <w:spacing w:after="0" w:line="258"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w:t>
      </w:r>
    </w:p>
    <w:p>
      <w:pPr>
        <w:spacing w:after="0" w:line="142" w:lineRule="exact"/>
        <w:rPr>
          <w:rFonts w:ascii="Times New Roman" w:cs="Times New Roman" w:eastAsia="Times New Roman" w:hAnsi="Times New Roman"/>
          <w:sz w:val="18"/>
          <w:szCs w:val="18"/>
          <w:color w:val="auto"/>
        </w:rPr>
      </w:pPr>
    </w:p>
    <w:p>
      <w:pPr>
        <w:ind w:left="60" w:right="319" w:hanging="10"/>
        <w:spacing w:after="0" w:line="266"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the clinical trials of our product candidates will not support the applicable claims of safety or efficacy and that our product candidates will not have the desired effects or will be associated with undesirable side effects or other unexpected characteristics;</w:t>
      </w:r>
    </w:p>
    <w:p>
      <w:pPr>
        <w:spacing w:after="0" w:line="148" w:lineRule="exact"/>
        <w:rPr>
          <w:rFonts w:ascii="Times New Roman" w:cs="Times New Roman" w:eastAsia="Times New Roman" w:hAnsi="Times New Roman"/>
          <w:sz w:val="18"/>
          <w:szCs w:val="18"/>
          <w:color w:val="auto"/>
        </w:rPr>
      </w:pPr>
    </w:p>
    <w:p>
      <w:pPr>
        <w:ind w:left="60" w:right="79" w:hanging="10"/>
        <w:spacing w:after="0" w:line="258"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w:t>
      </w:r>
    </w:p>
    <w:p>
      <w:pPr>
        <w:spacing w:after="0" w:line="142" w:lineRule="exact"/>
        <w:rPr>
          <w:rFonts w:ascii="Times New Roman" w:cs="Times New Roman" w:eastAsia="Times New Roman" w:hAnsi="Times New Roman"/>
          <w:sz w:val="18"/>
          <w:szCs w:val="18"/>
          <w:color w:val="auto"/>
        </w:rPr>
      </w:pPr>
    </w:p>
    <w:p>
      <w:pPr>
        <w:ind w:left="60" w:right="459" w:hanging="10"/>
        <w:spacing w:after="0" w:line="266" w:lineRule="auto"/>
        <w:tabs>
          <w:tab w:leader="none" w:pos="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new or increased tariffs, new or changed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52" w:lineRule="exact"/>
        <w:rPr>
          <w:rFonts w:ascii="Times New Roman" w:cs="Times New Roman" w:eastAsia="Times New Roman" w:hAnsi="Times New Roman"/>
          <w:sz w:val="18"/>
          <w:szCs w:val="18"/>
          <w:color w:val="auto"/>
        </w:rPr>
      </w:pPr>
    </w:p>
    <w:p>
      <w:pPr>
        <w:ind w:left="60" w:right="37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pacing w:after="0" w:line="184" w:lineRule="exact"/>
        <w:rPr>
          <w:rFonts w:ascii="Times New Roman" w:cs="Times New Roman" w:eastAsia="Times New Roman" w:hAnsi="Times New Roman"/>
          <w:sz w:val="18"/>
          <w:szCs w:val="18"/>
          <w:color w:val="auto"/>
        </w:rPr>
      </w:pPr>
    </w:p>
    <w:p>
      <w:pPr>
        <w:ind w:left="60" w:right="11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and partners, including, but not limited to, Pfizer Inc., or Pfizer, and Chiesi Farmaceutici S.p.A., or Chiesi;</w:t>
      </w:r>
    </w:p>
    <w:p>
      <w:pPr>
        <w:spacing w:after="0" w:line="13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cash equivalents, and short-term bank deposits;</w:t>
      </w:r>
    </w:p>
    <w:p>
      <w:pPr>
        <w:spacing w:after="0" w:line="18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84" w:lineRule="exact"/>
        <w:rPr>
          <w:rFonts w:ascii="Times New Roman" w:cs="Times New Roman" w:eastAsia="Times New Roman" w:hAnsi="Times New Roman"/>
          <w:sz w:val="18"/>
          <w:szCs w:val="18"/>
          <w:color w:val="auto"/>
        </w:rPr>
      </w:pPr>
    </w:p>
    <w:p>
      <w:pPr>
        <w:ind w:left="60" w:right="159" w:hanging="10"/>
        <w:spacing w:after="0" w:line="261"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the Supply and Technology Transfer Agreement that we entered into with Fiocruz in June 2013, or the Brazil Agreement, which may have a material adverse effect on us and may result in our terminating such agreement;</w:t>
      </w:r>
    </w:p>
    <w:p>
      <w:pPr>
        <w:spacing w:after="0" w:line="152"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60" w:right="33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 trial services;</w:t>
      </w:r>
    </w:p>
    <w:p>
      <w:pPr>
        <w:spacing w:after="0" w:line="12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98"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98" w:lineRule="exact"/>
        <w:rPr>
          <w:rFonts w:ascii="Times New Roman" w:cs="Times New Roman" w:eastAsia="Times New Roman" w:hAnsi="Times New Roman"/>
          <w:sz w:val="18"/>
          <w:szCs w:val="18"/>
          <w:color w:val="auto"/>
        </w:rPr>
      </w:pPr>
    </w:p>
    <w:p>
      <w:pPr>
        <w:ind w:left="60" w:right="319" w:hanging="10"/>
        <w:spacing w:after="0" w:line="266"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13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6"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These and other risks and uncertainties are detailed under the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section of this Annual Report and are described from time to time in the reports we file with the U.S. Securities and Exchange Commission, or the Commission.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discovery, development, production and commercialization of innovative therapeutics for rare diseases with significant unmet needs. We are the first and only company to gain FDA approval of a protein produced through plant cell-based expression in suspension. ProCellEx®, our unique, proprietary plant cell-based protein expression system represents a new method for developing recombinant proteins in an industrial-scale manner.</w:t>
      </w:r>
    </w:p>
    <w:p>
      <w:pPr>
        <w:spacing w:after="0" w:line="143"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our strategy, we are turning our focus to new, early-stage product candidates that treat indications for which there are high unmet needs in terms of efficacy and safety, including renal diseases. We believe our treatments of interest will address both genetic and non-genetic diseases. We currently intend to use our ProCellEx platform and PEGylation capabilities, as well as other modalities such as small molecules and antibodies, to take advantage of highly innovative opportunities.</w:t>
      </w:r>
    </w:p>
    <w:p>
      <w:pPr>
        <w:spacing w:after="0" w:line="143"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Consistent with this strategy, we are developing PEGylated uricase, or PRX-115, for the treatment of uncontrolled gout, Long Acting (LA) DNase I, or PRX-119, for the treatment of NETs-related diseases, and a number of other technologies and preclinical assets. We have completed a Phase 1 First-in-Human clinical trial of PRX-115. Currently, we are actively recruiting for, and the first patients have been randomized in a Phase 2 clinical trial of PRX-115 for the treatment of uncontrolled gout which we refer to as the RELEASE study.</w:t>
      </w:r>
    </w:p>
    <w:p>
      <w:pPr>
        <w:spacing w:after="0" w:line="156" w:lineRule="exact"/>
        <w:rPr>
          <w:sz w:val="20"/>
          <w:szCs w:val="20"/>
          <w:color w:val="auto"/>
        </w:rPr>
      </w:pPr>
    </w:p>
    <w:p>
      <w:pPr>
        <w:ind w:left="60" w:right="479"/>
        <w:spacing w:after="0" w:line="209" w:lineRule="auto"/>
        <w:rPr>
          <w:sz w:val="20"/>
          <w:szCs w:val="20"/>
          <w:color w:val="auto"/>
        </w:rPr>
      </w:pPr>
      <w:r>
        <w:rPr>
          <w:rFonts w:ascii="Times New Roman" w:cs="Times New Roman" w:eastAsia="Times New Roman" w:hAnsi="Times New Roman"/>
          <w:sz w:val="18"/>
          <w:szCs w:val="18"/>
          <w:color w:val="auto"/>
        </w:rPr>
        <w:t>To date, we have successfully developed two commercial products, both of which are enzyme replacement therapies (ERTs):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older with Gaucher disease and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w:t>
      </w:r>
    </w:p>
    <w:p>
      <w:pPr>
        <w:spacing w:after="0" w:line="15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Elelyso, our first commercial product, is our proprietary recombinant form of glucocerebrosidase (GCD), an enzyme naturally found in human cells that is mutated or deficient in patients with Gaucher disease. Elelyso was approved by the FDA in 2012 for injection as an ERT for the long-term treatment of adult patients with a confirmed diagnosis of type 1 Gaucher disease. Elelyso is the first plant cell derived recombinant protein to be approved by the FDA for the treatment of Gaucher disease and is now approved in more than 40 markets including the United States, Brazil, Israel and others. It is not approved in the European Union (EU). In August 2014, the FDA approved Elelyso for injection for children four years of age and greater. We have licensed the rights to commercialize Elelyso worldwide (other than Brazil) to Pfizer pursuant to the terms of an amended and restated exclusive license and supply agreement, or the Amended Pfizer Agreement, which is in effect until 2030. We sell drug substance to Pfizer for the production of Elelyso, subject to certain terms and conditions, and Pfizer retains the revenues generated from its sales of the product. In Brazil, we have licensed rights to commercialize Elelyso to Fiocruz. Elelyso is marketed as BioManguinhos alfataliglicerase in Brazil. We retain distribution rights to Elelyso in Brazil. See </w:t>
      </w:r>
      <w:r>
        <w:rPr>
          <w:rFonts w:ascii="Times New Roman" w:cs="Times New Roman" w:eastAsia="Times New Roman" w:hAnsi="Times New Roman"/>
          <w:sz w:val="18"/>
          <w:szCs w:val="18"/>
          <w:u w:val="single" w:color="auto"/>
          <w:color w:val="0000EE"/>
        </w:rPr>
        <w:t>Commercialization of Approved Products</w:t>
      </w:r>
      <w:r>
        <w:rPr>
          <w:rFonts w:ascii="Times New Roman" w:cs="Times New Roman" w:eastAsia="Times New Roman" w:hAnsi="Times New Roman"/>
          <w:sz w:val="18"/>
          <w:szCs w:val="18"/>
          <w:color w:val="auto"/>
        </w:rPr>
        <w:t>--Elelyso – Pfizer and --Alfataliglicerase – Fundação Oswaldo Cruz (Fiocruz).</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sales of Elelyso to Pfizer and Fiocruz are made at a fixed price directly to Pfizer and Fiocruz who maintain product in inventory, and we recognize revenue from those sales upon delivery. The timing of such sales do not directly reflect patient demand and, on a period-to-period basis, there may be variations in the orders placed by each of Pfizer and Fiocruz resulting in variability in our period-to-period results. There may be periods during which no orders are placed by either Pfizer or Fiocruz, whether as a result of inventory de-stocking or other factors. We do not anticipate that these ordering patterns will change until the demand characteristics for Elelyso stabilize, the launch of Elelyso matures and Elelyso’s share of the market for Fabry disease treatment increases globally.</w:t>
      </w:r>
    </w:p>
    <w:p>
      <w:pPr>
        <w:spacing w:after="0" w:line="18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Elfabrio, our second commercial product, for the treatment of adult patients with Fabry disease, is our proprietary, chemically modified, stabilized plant cell culture expressed recombinant α-Galactosidase-A protein, a lysosomal enzyme. It was approved by the European Commission, or the EC, for marketing in the EU and by the FDA for marketing in the United States in May 2023 for adult patients with Fabry disease, and subsequently in more than 10 additional markets. These approvals cover the 1 mg/kg every-two-weeks (E2W) dosage.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On March 5, 2026, the EC ratified the positive opinion issued in January 2026 by the Committee for Medicinal Products for Human Use, or the CHMP, of the European Medicines Agency, or the EMA. The EC decision approves, in the EU, the 2 mg/kg E4W dosing regimen for pegunigalsidase alfa (Elfabrio) in Fabry disease adult patients stable with an ERT treatment.</w:t>
      </w:r>
    </w:p>
    <w:p>
      <w:pPr>
        <w:spacing w:after="0" w:line="15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We have partnered with Chiesi for the development and commercialization of Elfabrio for the treatment of Fabry disease through two exclusive global licensing and supply agreements; the Exclusive License and Supply Agreement dated as of October 17, 2017, by and between Protalix Ltd. and Chiesi, or the Chiesi Ex-US Agreement, and the Exclusive License and Supply Agreement dated as of July 23, 2018, by and between Protalix Ltd. and Chiesi, or the Chiesi US Agreement. The Chiesi Ex-US Agreement and the Chiesi US Agreement are referred to herein collectively as the Chiesi Agreements. Under these two agreements, we have received certain upfront payments and development cost reimbursements, and remain entitled to potential milestone payments and payments for drug product purchased by Chiesi from Protalix Ltd. See </w:t>
      </w:r>
      <w:r>
        <w:rPr>
          <w:rFonts w:ascii="Times New Roman" w:cs="Times New Roman" w:eastAsia="Times New Roman" w:hAnsi="Times New Roman"/>
          <w:sz w:val="18"/>
          <w:szCs w:val="18"/>
          <w:u w:val="single" w:color="auto"/>
          <w:color w:val="0000EE"/>
        </w:rPr>
        <w:t>Commercialization of Approved Products</w:t>
      </w:r>
      <w:r>
        <w:rPr>
          <w:rFonts w:ascii="Times New Roman" w:cs="Times New Roman" w:eastAsia="Times New Roman" w:hAnsi="Times New Roman"/>
          <w:sz w:val="18"/>
          <w:szCs w:val="18"/>
          <w:color w:val="000000"/>
        </w:rPr>
        <w:t>--Elfabrio (pegunigalsidase alfa/PRX-102) – Chiesi Farmaceutici.</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Under the terms of the Chiesi Agreements, Chiesi is solely responsible for the global commercialization and medical programs of Elfabrio, including patient acquisition and retention, and distribution of Elfabrio to patients. We manufacture Elfabrio drug substance and, after the fill\finish process is complete, we sell the resulting drug product to Chiesi. Operationally, Chiesi conducts its own internal commercial forecasting to guide inventory needs. To date, Chiesi has placed bulk orders for Elfabrio. As a result, the orders we receive from Chiesi may not be timed precisely to Chiesi’s pace of patient acquisition and retention. Accordingly, our sales of Elfabrio to Chiesi may not reflect patient demand for Elfabrio as we sell the fulfilled orders to Chiesi’s inventory.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increases globally.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2025 and Recent Company Developments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2025 Developm</w:t>
      </w:r>
      <w:r>
        <w:rPr>
          <w:rFonts w:ascii="Times New Roman" w:cs="Times New Roman" w:eastAsia="Times New Roman" w:hAnsi="Times New Roman"/>
          <w:sz w:val="18"/>
          <w:szCs w:val="18"/>
          <w:color w:val="auto"/>
        </w:rPr>
        <w:t>ents</w:t>
      </w:r>
    </w:p>
    <w:p>
      <w:pPr>
        <w:spacing w:after="0" w:line="179" w:lineRule="exact"/>
        <w:rPr>
          <w:sz w:val="20"/>
          <w:szCs w:val="20"/>
          <w:color w:val="auto"/>
        </w:rPr>
      </w:pPr>
    </w:p>
    <w:p>
      <w:pPr>
        <w:ind w:left="60" w:right="619" w:hanging="10"/>
        <w:spacing w:after="0" w:line="227" w:lineRule="auto"/>
        <w:tabs>
          <w:tab w:leader="none" w:pos="7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30, 2025, we announced that we had been added to the Russell 3000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Russell 2000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Indexes, effective as of the U.S. market close on June 27, 2025, as part of the 2025 Russell indexes annual reconstitution.</w:t>
      </w:r>
    </w:p>
    <w:p>
      <w:pPr>
        <w:spacing w:after="0" w:line="158" w:lineRule="exact"/>
        <w:rPr>
          <w:rFonts w:ascii="Times New Roman" w:cs="Times New Roman" w:eastAsia="Times New Roman" w:hAnsi="Times New Roman"/>
          <w:sz w:val="17"/>
          <w:szCs w:val="17"/>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2025, Gilad Mamlok succeeded Eyal Rubin as our Senior Vice President and Chief Financial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w:t>
      </w:r>
    </w:p>
    <w:p>
      <w:pPr>
        <w:spacing w:after="0" w:line="179" w:lineRule="exact"/>
        <w:rPr>
          <w:rFonts w:ascii="Times New Roman" w:cs="Times New Roman" w:eastAsia="Times New Roman" w:hAnsi="Times New Roman"/>
          <w:sz w:val="18"/>
          <w:szCs w:val="18"/>
          <w:color w:val="auto"/>
        </w:rPr>
      </w:pPr>
    </w:p>
    <w:p>
      <w:pPr>
        <w:ind w:left="60" w:right="139" w:hanging="10"/>
        <w:spacing w:after="0" w:line="266" w:lineRule="auto"/>
        <w:tabs>
          <w:tab w:leader="none" w:pos="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2025, we submitted an Investigational New Drug (IND) application to the FDA in connection with our planned RELEASE Phase 2 clinical trial of PRX-115 which became effective following the FDA’s standard 30-day review period.</w:t>
      </w:r>
    </w:p>
    <w:p>
      <w:pPr>
        <w:spacing w:after="0" w:line="135" w:lineRule="exact"/>
        <w:rPr>
          <w:rFonts w:ascii="Times New Roman" w:cs="Times New Roman" w:eastAsia="Times New Roman" w:hAnsi="Times New Roman"/>
          <w:sz w:val="18"/>
          <w:szCs w:val="18"/>
          <w:color w:val="auto"/>
        </w:rPr>
      </w:pPr>
    </w:p>
    <w:p>
      <w:pPr>
        <w:ind w:left="60" w:right="99" w:hanging="10"/>
        <w:spacing w:after="0" w:line="261" w:lineRule="auto"/>
        <w:tabs>
          <w:tab w:leader="none" w:pos="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2026, the EC ratified the CHMP positive opinion issued in January 2026. The EC decision approves, in the EU, the 2 mg/kg E4W dosing regimen for pegunigalsidase alfa in Fabry disease adult patients stable with an ERT treatment. The CHMP’s positive opinion is the result of an appeal submitted after the CHMP issued a negative opinion in October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139700</wp:posOffset>
            </wp:positionV>
            <wp:extent cx="5546090" cy="2134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609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our approved and marketed products as well as PRX-115 and PRX-119.</w:t>
      </w:r>
    </w:p>
    <w:p>
      <w:pPr>
        <w:spacing w:after="0" w:line="13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We believe that our treatments of interest will address both genetic and non-genetic diseases. We currently intend to use our ProCellEx platform and PEGylation/chemical capabilities, as well as other modalities such as small molecules and antibodies, to take advantage of highly innovative opportunities. We are also exploring novel platform technologies to expand our pipeline.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receive FDA approval of a complex human protein produced through plant cell-based expression, and with the approval of Elfabrio, we now produce two commercial proteins through our platform.</w:t>
      </w:r>
    </w:p>
    <w:p>
      <w:pPr>
        <w:spacing w:after="0" w:line="13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65"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expression of complex proteins;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that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transformed cells are then able to produce specific proteins, which are extracted and purified and can be used as therapies to treat a variety of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97155</wp:posOffset>
            </wp:positionV>
            <wp:extent cx="5554980" cy="1680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Unlike these bioreactors,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8" w:lineRule="exact"/>
        <w:rPr>
          <w:sz w:val="20"/>
          <w:szCs w:val="20"/>
          <w:color w:val="auto"/>
        </w:rPr>
      </w:pPr>
    </w:p>
    <w:p>
      <w:pPr>
        <w:ind w:left="60" w:right="1039"/>
        <w:spacing w:after="0" w:line="485" w:lineRule="auto"/>
        <w:rPr>
          <w:sz w:val="20"/>
          <w:szCs w:val="20"/>
          <w:color w:val="auto"/>
        </w:rPr>
      </w:pPr>
      <w:r>
        <w:rPr>
          <w:rFonts w:ascii="Times New Roman" w:cs="Times New Roman" w:eastAsia="Times New Roman" w:hAnsi="Times New Roman"/>
          <w:sz w:val="18"/>
          <w:szCs w:val="18"/>
          <w:color w:val="auto"/>
        </w:rPr>
        <w:t xml:space="preserve">In addition, we continuously work on the further development and enhancement of our ProCellEx technology. </w:t>
      </w: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-13335</wp:posOffset>
            </wp:positionV>
            <wp:extent cx="5554980" cy="2271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4980" cy="227139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78105</wp:posOffset>
            </wp:positionV>
            <wp:extent cx="5554980" cy="2339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202" w:lineRule="exact"/>
        <w:rPr>
          <w:sz w:val="20"/>
          <w:szCs w:val="20"/>
          <w:color w:val="auto"/>
        </w:rPr>
      </w:pPr>
    </w:p>
    <w:p>
      <w:pPr>
        <w:jc w:val="center"/>
        <w:ind w:right="4159"/>
        <w:spacing w:after="0"/>
        <w:rPr>
          <w:sz w:val="20"/>
          <w:szCs w:val="20"/>
          <w:color w:val="auto"/>
        </w:rPr>
      </w:pPr>
      <w:r>
        <w:rPr>
          <w:rFonts w:ascii="Times New Roman" w:cs="Times New Roman" w:eastAsia="Times New Roman" w:hAnsi="Times New Roman"/>
          <w:sz w:val="17"/>
          <w:szCs w:val="17"/>
          <w:color w:val="auto"/>
        </w:rPr>
        <w:t>Both of our commercial products, Elelyso and Elfabrio, are ERTs.</w:t>
      </w:r>
    </w:p>
    <w:p>
      <w:pPr>
        <w:spacing w:after="0" w:line="192" w:lineRule="exact"/>
        <w:rPr>
          <w:sz w:val="20"/>
          <w:szCs w:val="20"/>
          <w:color w:val="auto"/>
        </w:rPr>
      </w:pPr>
    </w:p>
    <w:p>
      <w:pPr>
        <w:jc w:val="center"/>
        <w:ind w:right="4219"/>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children four years of age and greater. Elelyso is the first plant cell derived recombinant protein to be approved by the FDA for the treatment of Gaucher disease and is now approved in more than 40 markets including the United States, Brazil, Israel, and others. It is not approved in the EU.</w:t>
      </w:r>
    </w:p>
    <w:p>
      <w:pPr>
        <w:spacing w:after="0" w:line="15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40" w:lineRule="exact"/>
        <w:rPr>
          <w:sz w:val="20"/>
          <w:szCs w:val="20"/>
          <w:color w:val="auto"/>
        </w:rPr>
      </w:pPr>
    </w:p>
    <w:p>
      <w:pPr>
        <w:ind w:left="60" w:right="159"/>
        <w:spacing w:after="0" w:line="211" w:lineRule="auto"/>
        <w:rPr>
          <w:sz w:val="20"/>
          <w:szCs w:val="20"/>
          <w:color w:val="auto"/>
        </w:rPr>
      </w:pPr>
      <w:r>
        <w:rPr>
          <w:rFonts w:ascii="Times New Roman" w:cs="Times New Roman" w:eastAsia="Times New Roman" w:hAnsi="Times New Roman"/>
          <w:sz w:val="18"/>
          <w:szCs w:val="18"/>
          <w:color w:val="auto"/>
        </w:rPr>
        <w:t>The global market for therapies for Gaucher disease, including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$1.65 billion in 2025, is forecasted to be approximately $1.6 billion in 2026 and is forecasted to grow at a compound annual growth rate (CAGR) of approximately 0.5% from 2025-2031.</w:t>
      </w:r>
    </w:p>
    <w:p>
      <w:pPr>
        <w:spacing w:after="0" w:line="15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Cerezyme and Vpriv.</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202"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Elfabrio, our second commercial product, was approved by the EC for marketing in the EU and by the FDA for marketing in the United States in May 2023 for adult patients with Fabry disease. Both approvals cover the 1 mg/kg E2W dosage.</w:t>
      </w:r>
    </w:p>
    <w:p>
      <w:pPr>
        <w:spacing w:after="0" w:line="9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March 5, 2026, the EC ratified the CHMP positive opinion issued in January 2026. The EC decision approves, in the EU, the 2 mg/kg E4W dosing regimen for pegunigalsidase alfa in Fabry disease adult patients stable with an ERT treatment. The CHMP’s positive opinion is the result of an appeal submitted after the CHMP issued a negative opinion in October 2025.</w:t>
      </w:r>
    </w:p>
    <w:p>
      <w:pPr>
        <w:spacing w:after="0" w:line="13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Since the approvals by the FDA and the EMA, Elfabrio has been approved for marketing in more than 10 additional markets for long-term enzyme replacement therapy in adult patients with a confirmed diagnosis of Fabry disease.</w:t>
      </w:r>
    </w:p>
    <w:p>
      <w:pPr>
        <w:spacing w:after="0" w:line="161" w:lineRule="exact"/>
        <w:rPr>
          <w:sz w:val="20"/>
          <w:szCs w:val="20"/>
          <w:color w:val="auto"/>
        </w:rPr>
      </w:pPr>
    </w:p>
    <w:p>
      <w:pPr>
        <w:ind w:left="60" w:right="279"/>
        <w:spacing w:after="0" w:line="225" w:lineRule="auto"/>
        <w:rPr>
          <w:sz w:val="20"/>
          <w:szCs w:val="20"/>
          <w:color w:val="auto"/>
        </w:rPr>
      </w:pPr>
      <w:r>
        <w:rPr>
          <w:rFonts w:ascii="Times New Roman" w:cs="Times New Roman" w:eastAsia="Times New Roman" w:hAnsi="Times New Roman"/>
          <w:sz w:val="18"/>
          <w:szCs w:val="18"/>
          <w:color w:val="auto"/>
        </w:rPr>
        <w:t>Fabry disease, also one of the most common LSDs, is a serious x-linked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62" w:lineRule="exact"/>
        <w:rPr>
          <w:sz w:val="20"/>
          <w:szCs w:val="20"/>
          <w:color w:val="auto"/>
        </w:rPr>
      </w:pPr>
    </w:p>
    <w:p>
      <w:pPr>
        <w:ind w:left="60" w:right="159"/>
        <w:spacing w:after="0" w:line="224" w:lineRule="auto"/>
        <w:rPr>
          <w:sz w:val="20"/>
          <w:szCs w:val="20"/>
          <w:color w:val="auto"/>
        </w:rPr>
      </w:pPr>
      <w:r>
        <w:rPr>
          <w:rFonts w:ascii="Times New Roman" w:cs="Times New Roman" w:eastAsia="Times New Roman" w:hAnsi="Times New Roman"/>
          <w:sz w:val="18"/>
          <w:szCs w:val="18"/>
          <w:color w:val="auto"/>
        </w:rPr>
        <w:t>The global market for therapies for Fabry disease, that includes agalsidase alfa, agalsidase beta,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$2.3 billion in 2026 and is forecasted to grow at a CAGR of 6.3% from 2025-2031 reaching approximately $3.2 billion in annual sales in 2031.</w:t>
      </w:r>
    </w:p>
    <w:p>
      <w:pPr>
        <w:spacing w:after="0" w:line="158" w:lineRule="exact"/>
        <w:rPr>
          <w:sz w:val="20"/>
          <w:szCs w:val="20"/>
          <w:color w:val="auto"/>
        </w:rPr>
      </w:pPr>
    </w:p>
    <w:p>
      <w:pPr>
        <w:ind w:left="60" w:right="79"/>
        <w:spacing w:after="0" w:line="242"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marketed ERTs for Fabry disease are agalsidase alfa (Takeda’s (Shire)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beta (Sanofi Genzyme’s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pegunigalsidase alfa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comorbidities such as pain can have a significant impact on the psychological well-being of Fabry patients and their social functioning. Fabry disease often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 for Elfabrio</w:t>
      </w:r>
    </w:p>
    <w:p>
      <w:pPr>
        <w:spacing w:after="0" w:line="18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Our clinical development program for Elfabrio, or PRX-102, was designed to show that PRX-102 has a potential clinical benefit in all adult Fabry patient populations when compared to two marketed Fabry disease enzymes, agalsidase alfa and agalsidase beta.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Phase 3 clinical program included three individual studies; the BALANCE study, the BRIDGE study and the BRIGHT study. In the Phase 3 clinical program overall, two potential dosing regimens for PRX-102 were analyzed; 1 mg/kg E2W, with the potential for improved efficacy and safety offering a potential alternative to existing enzyme replacement therapies, and 2 mg/kg E4W. In addition, the Phase 3 clinical trials, a dose range finding study program included two extension studies in which subjects that participated in our Phase 1/2 clinical trials and Phase 3 clinical trials had the opportunity to enroll and continue to be treated with PRX-102.</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Extension Studies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Two long-term open-label extension studies were available for patients who completed the BALANCE, BRIDGE, and BRIGHT studies, and the extension of the Phase 1/2 study. Overall, 126 patients who participated in our PRX-102 clinical program initially opted, with the advice of the treating physician, to enroll in one of the extension studies: 97 patients in the 1 mg/kg E2W extension study (PB-102-F60, NCT03566017) (10 patients who completed an extension study from the Phase 1/2 study, 18 patients who completed the BRIDGE study; 69 patients who completed the BALANCE study), and 29 patients who completed the BRIGHT study in the 2 mg/kg E4W extension study (PB-102-F51, NCT03614234). Two of the patients in the 2 mg/kg E4W extension study were treated with 1 mg/kg E2W.</w:t>
      </w:r>
    </w:p>
    <w:p>
      <w:pPr>
        <w:spacing w:after="0" w:line="14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After the approval of Elfabrio in the US and the EU, sponsorship and administration of the extension studies was transferred to Chiesi. Over time, and as Elfabrio is approved for marketing in different jurisdictions, patients routinely switch-out of the open-label extension studies. Most such patients have transferred to a commercial setting; others withdrew for other reasons. Accordingly, the 1 mg/kg E2W dosage extension study is now closed as most patients have transferred to commercial or expanded access programs. In addition, the US-based patients that enrolled in the 2 mg/kg E4W dosage extension study are now being treated with Elfabrio on a commercial basis; EU-based patients remain on the extension study.</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Over the course of the PRX-102 clinical development program, 142 Fabry disease subjects, in the aggregate, were exposed to treatment with PRX-102. Patients contributing to the integrated safety dataset included subjects from the Phase 1/2 study, each of the BALANCE, BRIDGE and BRIGHT studies, and the Phase 3 extension studies. The safety and immunogenicity profile of PRX-102 are in line with the safety and immunogenicity profiles of other ERTs.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Pediatric FLY Study</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Chiesi is sponsoring a clinical trial entitled “Multi-Centre, Open-label Trial to Assess the Safety, Pharmacodynamics, Efficacy and Pharmacokinetics of pegunigalsidase alfa in Patients From 2 Years to Less Than 18 Years of Age With Confirmed Fabry Disease” (NCT06328608). Recruitment is ongoing. The design of the study is based on the Initial Pediatric Study Plan (iPSP) agreed to with the FDA and the paediatric investigation plan (PIP) for Elfabrio, which has been accepted, as amended, by the Paediatric Committee (PDCO) of the EMA. The study involves the 1 mg/kg E2W dosage regimen.</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Japanese RISE Study</w:t>
      </w:r>
    </w:p>
    <w:p>
      <w:pPr>
        <w:spacing w:after="0" w:line="18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 xml:space="preserve">Chiesi is currently recruiting patients for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7"/>
          <w:szCs w:val="17"/>
          <w:i w:val="1"/>
          <w:iCs w:val="1"/>
          <w:color w:val="auto"/>
        </w:rPr>
        <w:t>RISE</w:t>
      </w:r>
      <w:r>
        <w:rPr>
          <w:rFonts w:ascii="Times New Roman" w:cs="Times New Roman" w:eastAsia="Times New Roman" w:hAnsi="Times New Roman"/>
          <w:sz w:val="17"/>
          <w:szCs w:val="17"/>
          <w:color w:val="auto"/>
        </w:rPr>
        <w:t xml:space="preserve"> study (NCT05710692). The aim of the </w:t>
      </w:r>
      <w:r>
        <w:rPr>
          <w:rFonts w:ascii="Times New Roman" w:cs="Times New Roman" w:eastAsia="Times New Roman" w:hAnsi="Times New Roman"/>
          <w:sz w:val="17"/>
          <w:szCs w:val="17"/>
          <w:i w:val="1"/>
          <w:iCs w:val="1"/>
          <w:color w:val="auto"/>
        </w:rPr>
        <w:t>RISE</w:t>
      </w:r>
      <w:r>
        <w:rPr>
          <w:rFonts w:ascii="Times New Roman" w:cs="Times New Roman" w:eastAsia="Times New Roman" w:hAnsi="Times New Roman"/>
          <w:sz w:val="17"/>
          <w:szCs w:val="17"/>
          <w:color w:val="auto"/>
        </w:rPr>
        <w:t xml:space="preserve"> study is to evaluate the safety and efficacy of pegunigalsidase alfa in Japanese patients (adults and adolescents) affected by Fabry disease. It is planned that a total of approximately 16 male and female Fabry disease patients between the ages of 13 and 70 years will be enrolled in the study which is being conducted in Japan. The study will evaluate both the 1 mg/kg E2W and the 2 mg/kg E4W dosage regimens.</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 – Clinical Programs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PRX-115 is our proprietary recombinant PEGylated uricase (urate oxidase) – a chemically modified enzyme under development for the potential treatment of patients with uncontrolled gout.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Times New Roman" w:cs="Times New Roman" w:eastAsia="Times New Roman" w:hAnsi="Times New Roman"/>
          <w:sz w:val="17"/>
          <w:szCs w:val="17"/>
          <w:color w:val="auto"/>
        </w:rPr>
        <w:t>Currently, we are actively recruiting for the RELEASE study, a Phase 2 clinical trial of PRX-115 entitled “A Multicenter, Randomized, Double-Blind, Placebo-Controlled, Phase 2 Study Assessing the Efficacy, Safety, and Dosing Regimen Selection of Multiple Intravenous Infusions of PRX-115 With and Without Methotrexate Versus Placebo in Adult Patients with Gout.” The RELEASE study is a multicenter, randomized, double-blind, placebo-controlled Phase 2 study assessing the efficacy, safety, and dosing regimen selection of multiple IV infusions of PRX-115 over 24 weeks, with or without the immunomodulator methotrexate (MTX), versus the respective placebos in adult patients with gout. Participants will receive PRX-115 by intravenous (IV) infusions according to different treatment schedules, with and without MTX. We expect to enroll approximately 150 adult patients in the study in clinical sites located in the United States, Georgia, and Israel.</w:t>
      </w:r>
    </w:p>
    <w:p>
      <w:pPr>
        <w:spacing w:after="0" w:line="14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 projected 11.9 million adults in the United States alone. Based on market research we have commissioned, we estimate that approximately 25% of the gout population in the US and Western Europe does not have their gout controlled. Some of those patients cannot be treated with existing therapies; others stop treatment with existing therapies due to adverse events. In addition, such research presents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occurs in a combination known as metabolic syndrome.</w:t>
      </w:r>
    </w:p>
    <w:p>
      <w:pPr>
        <w:spacing w:after="0" w:line="14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Uncontrolled gout is when serum urate (sUA) levels are above the maximum medically appropriate level (6.8 mg/dL), as well as tophi formation and/or flares that cannot be treated with available urate lowering therapies. Currently available Urate-lowering therapies (ULTs) can be effective in treating gout. However, factors such as low adherence, under dosing, disease progression that causes high patient burden or patients that are not suitable for available therapy, require new, effective and safe therapies to treat these underserved uncontrolled gout patients.</w:t>
      </w:r>
    </w:p>
    <w:p>
      <w:pPr>
        <w:spacing w:after="0" w:line="14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uricase enzyme, which does not exist naturally in humans, converts urate to allantoin, which is easily eliminated through urine. PRX-115, our recombinant uricase enzyme, expressed via our ProCellEx system, is designed to lower urate levels and improve clinical manifestation of the disease while having low immunogenicity and increased half-life of the drug in the blood. Pre-clinical data demonstrates long half-life, reduced immunogenic risk and high specific activity support the potential of PRX-115 to be a safe and effective treatment for patients with uncontrolled gout.</w:t>
      </w:r>
    </w:p>
    <w:p>
      <w:pPr>
        <w:spacing w:after="0" w:line="15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completed a Phase 1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FIH study. The FIH study was conducted at New Zealand Clinical Research (NZCR) under the New Zealand Medicines and Medical Devices Safety Authority (MedSafe) and the Health and Disability Ethics Committee (HDEC) guidelines. The completed study included eight sequential dosing cohorts, each composed of eight subjects (six active and two placebo), a 3:1 ratio. Subjects in each cohort, males and females aged 18 through 65, received a single dose of PRX-115 and were analyzed for safety, pharmacokinetics (PK), pharmacodynamics (PD) (concentrations of plasma urate) and immunogenicity for 85 days. Overall, 64 randomized subjects were enrolled across the eight cohorts; 48 subjects were treated with PRX– 115 and 16 subjects were treated with placebo.</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results from the full FIH study are as follows:</w:t>
      </w:r>
    </w:p>
    <w:p>
      <w:pPr>
        <w:spacing w:after="0" w:line="185" w:lineRule="exact"/>
        <w:rPr>
          <w:sz w:val="20"/>
          <w:szCs w:val="20"/>
          <w:color w:val="auto"/>
        </w:rPr>
      </w:pPr>
    </w:p>
    <w:p>
      <w:pPr>
        <w:ind w:left="720" w:right="6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Detectable PRX-115 levels were observed in plasma for up to 12 weeks from subjects in cohorts 6, 7, and 8. See Figure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139700</wp:posOffset>
            </wp:positionV>
            <wp:extent cx="4448810" cy="258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4881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right="33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urate levels. The effect and duration of response were found to be dose dependent. Following a single dose, mean plasma urate levels remained below 6.0 mg/dL for up to 12 weeks at the highest doses. See Figure 2.</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131445</wp:posOffset>
            </wp:positionV>
            <wp:extent cx="4431665" cy="2846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3166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See Figure 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3. Overall Summary of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139700</wp:posOffset>
            </wp:positionV>
            <wp:extent cx="4749165" cy="154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*Number of subjects reporting at least one adverse event.</w:t>
      </w:r>
    </w:p>
    <w:p>
      <w:pPr>
        <w:spacing w:after="0" w:line="18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Only 25% of the subjects treated with PRX-115 in the study (12/48)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approximately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 Approximately 50% of the subjects developed ADAs. The incidence of ADAs showed a negative relationship with the applicable PRX-115 dose, with the highest incidence observed in Cohort 1 and lower incidences in the higher PRX-115 dose cohorts.</w:t>
      </w:r>
    </w:p>
    <w:p>
      <w:pPr>
        <w:spacing w:after="0" w:line="15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These results suggest that PRX-115 has the potential to be a promising treatment option for patients with gout. The results demonstrate that PRX-115 may offer an effective urate-lowering treatment with an added benefit of a potentially wide dosing interval, which may enhance patient compliance and treatment flexibility. Further studies are needed to confirm the long-term safety and efficacy of PRX-115 in the gout patient population.</w:t>
      </w:r>
    </w:p>
    <w:p>
      <w:pPr>
        <w:spacing w:after="0" w:line="145" w:lineRule="exact"/>
        <w:rPr>
          <w:sz w:val="20"/>
          <w:szCs w:val="20"/>
          <w:color w:val="auto"/>
        </w:rPr>
      </w:pPr>
    </w:p>
    <w:p>
      <w:pPr>
        <w:ind w:left="60" w:right="359"/>
        <w:spacing w:after="0" w:line="222"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urate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 tolerability in patients with refractory gout. Krystexxa is marketed only in the US.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 – Preclinical and Research Programs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4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Antisense oligonucleotide (ASO) therapies for rare renal indications</w:t>
      </w:r>
    </w:p>
    <w:p>
      <w:pPr>
        <w:spacing w:after="0" w:line="202" w:lineRule="exact"/>
        <w:rPr>
          <w:sz w:val="20"/>
          <w:szCs w:val="20"/>
          <w:color w:val="auto"/>
        </w:rPr>
      </w:pPr>
    </w:p>
    <w:p>
      <w:pPr>
        <w:ind w:left="60" w:right="219"/>
        <w:spacing w:after="0" w:line="239" w:lineRule="auto"/>
        <w:rPr>
          <w:sz w:val="20"/>
          <w:szCs w:val="20"/>
          <w:color w:val="auto"/>
        </w:rPr>
      </w:pPr>
      <w:r>
        <w:rPr>
          <w:rFonts w:ascii="Times New Roman" w:cs="Times New Roman" w:eastAsia="Times New Roman" w:hAnsi="Times New Roman"/>
          <w:sz w:val="18"/>
          <w:szCs w:val="18"/>
          <w:color w:val="auto"/>
        </w:rPr>
        <w:t>We are currently engaged in a collaborative research project with Secarna Pharmaceuticals GmbH &amp; Co. KG, or Secarna, through which we are partnering in the discovery of novel antisense oligonucleotide (ASO) therapies against multiple targets for rare renal indications. We have selected pharmaceutical targets with fundamental biological roles in rare renal indications, and Secarna plans to apply OligoCreator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its proprietary AI-empowered oligonucleotide discovery and development platform, to design and profile ASO candidates against those targets. It is our mutual goal to advance the programs from discovery stage to clinical trials. As part of the collaboration, Secarna granted to us an option to an exclusive, worldwide milestone and royalty bearing license to further develop, market, and commercialize therapeutic programs.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of Approved Products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Elelyso – Pfizer</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licensed to Pfizer the global rights to market and sell Elelyso in all markets, excluding Brazil, pursuant to the Amended Pfizer Agreement. Pursuant to such agreement we have agreed to sell drug substance to Pfizer for the production of Elelyso for a fixed cost, subject to certain terms and conditions, through 2030.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sales of Elelyso to Pfizer are made at a fixed price directly to Pfizer who maintains product in inventory, and we recognize revenue from those sales upon delivery. The timing of such sales does not directly reflect patient demand and, on a period-to-period basis, there may be variations in the orders placed by Pfizer resulting in variability in our period-to-period results. There may be periods during which no orders are placed by Pfizer, whether as a result of inventory de-stocking or other factors.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Alfataliglicerase – Fundação Oswaldo Cruz (Fiocruz)</w:t>
      </w:r>
    </w:p>
    <w:p>
      <w:pPr>
        <w:spacing w:after="0" w:line="20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that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We continue to sell BioManguinhos alfataliglicerase for a fixed price through purchase orders and, on a continuous basis, we discuss with Fiocruz potential steps to maximize sales of BioManguinhos alfataliglicerase to the Brazilian MoH.</w:t>
      </w:r>
    </w:p>
    <w:p>
      <w:pPr>
        <w:spacing w:after="0" w:line="14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sales of BioManguinhos alfataliglicerase to Fiocruz are made at a fixed price directly to Fiocruz who maintains product in inventory, and we recognize revenue from those sales upon delivery. The timing of such sales does not directly reflect patient demand and, on a period-to-period basis, there may be variations in the orders placed by Fiocruz resulting in variability in our period-to-period results. There may be periods during which no orders are placed by Fiocruz, whether as a result of inventory de-stocking or other factors.</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Elfabrio (pegunigalsidase alfa/PRX-102) – Chiesi Farmaceutici</w:t>
      </w:r>
    </w:p>
    <w:p>
      <w:pPr>
        <w:spacing w:after="0" w:line="189"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Elfabrio is commercialized worldwide by Chiesi under the Chiesi Agreements. Under the Chiesi Ex-US Agreement, we granted to Chiesi an exclusive license for all markets outside of the United States to commercialize pegunigalsidase alfa. At execution of the Chiesi Ex-US Agreement, Chiesi made an upfront, non-refundable, non-creditable payment to Protalix Ltd. of $25.0 million, followed by additional payments of $25.0 million to cover development costs in the aggregate. Protalix Ltd. currently remains eligible to receive additional payments of up to a maximum of $270.0 million,</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7"/>
          <w:szCs w:val="17"/>
          <w:color w:val="auto"/>
        </w:rPr>
        <w:t>in the aggregate and including the $25.0 million currently payable, subject to the satisfaction of certain regulatory and commercial milestones. Protalix Ltd. agreed to manufacture all of the pegunigalsidase alfa needed for all purposes under the agreement, subject to certain exceptions, and Chiesi agreed to purchase the pegunigalsidase alfa from Protalix Ltd., subject to certain terms and conditions. Chiesi is required to make payments to Protalix Ltd. ranging from 15% to 35% of its net sales under the Chiesi Ex-US Agreement, depending on the amount of annual sales, subject to certain terms and conditions, as consideration for product supply. The agreement shall remain in effect until the later of (i) the expiration of the last enforceable Protalix patent right thereunder or (ii)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anniversary of the launch on a country-by-country basis, subject to certain terms and conditions, unless earlier terminated in accordance with the terms and conditions thereof.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Chiesi US Agreement we granted to Chiesi the exclusive license to develop and commercialize pegunigalsidase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alfa in the United States. Protalix Ltd. received from Chiesi an upfront, non-refundable, non-creditable payment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$25.0 million from Chiesi and additional payments of $20.0 million to cover development costs. To date, we have received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complete amount of such development costs, and, following the approval of Elfabrio by the FDA, we received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milestone payment equal to $20.0 million. Protalix Ltd. currently remains eligible to receive additional payments of up to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maximum of $740.0 million, in the aggregate, subject to the satisfaction of certain regulatory and commercial milestones.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Chiesi is required to make payments to Protalix Ltd. ranging from 15% to 40% of its net sales under the Chiesi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to Protalix Ltd., depending on the amount of annual sales, subject to certain terms and conditions,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consideration for product supply. The agreement shall remain in effect until the later of (i) the expiration of the last</w:t>
      </w:r>
    </w:p>
    <w:p>
      <w:pPr>
        <w:ind w:left="60"/>
        <w:spacing w:after="0" w:line="181" w:lineRule="auto"/>
        <w:rPr>
          <w:sz w:val="20"/>
          <w:szCs w:val="20"/>
          <w:color w:val="auto"/>
        </w:rPr>
      </w:pPr>
      <w:r>
        <w:rPr>
          <w:rFonts w:ascii="Times New Roman" w:cs="Times New Roman" w:eastAsia="Times New Roman" w:hAnsi="Times New Roman"/>
          <w:sz w:val="18"/>
          <w:szCs w:val="18"/>
          <w:color w:val="auto"/>
        </w:rPr>
        <w:t>enforceable Protalix patent right thereunder or (ii)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launch in the US, unless earlier terminated in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accordance with the terms and conditions thereof.</w:t>
      </w:r>
    </w:p>
    <w:p>
      <w:pPr>
        <w:spacing w:after="0" w:line="16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manufacture Elfabrio drug substance and, after the fill\finish process is complete, we sell the resulting drug product to Chiesi under both agreements. Operationally, Chiesi conducts its own internal commercial forecasting to guide inventory needs. To date, Chiesi has placed bulk orders for Elfabrio. As a result, the orders we receive from Chiesi may not be timed in relation to Chiesi’s pace of patient acquisition and retention. Accordingly, our sales of Elfabrio to Chiesi may not reflect patient demand for Elfabrio as we sell the fulfilled orders to Chiesi’s inventory.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grows both inside the US and outside the US.</w:t>
      </w:r>
    </w:p>
    <w:p>
      <w:pPr>
        <w:spacing w:after="0" w:line="15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Under the F/F Agreement, we agreed to supply Chiesi with drug substance for pegunigalsidase alfa and, following relevant technology and technical information transfer activities, Chiesi has agreed, among other things, to provide us with commercial fill/finish services for pegunigalsidase alfa, including to support the anticipated global launch of pegunigalsidase alfa. The Letter Agreement changed the obligations of both us and Chiesi under the Chiesi Agreements with respect to, among other things, the evaluation, selection and establishment of an initial alternate source of commercial fill/finish services for pegunigalsidase alfa.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 Subsequently, in November 2024, we agreed that a different Chiesi facility may act as a secondary supplier of such services and that the F/F Agreement shall have an initial term of 10 years, unless terminated earlier in accordance with the terms thereof. Prior to expiration of the initial term, the term may be extended by mutual agreement for an additional period of seven years upon mutual written agreement.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a robust patent portfolio, which is a key element of our overall strategy. We work to continually enhance, strengthen, and protect our intellectual property and now hold a broad portfolio of approximately 70 patents globally, including in Europe, the US, Israel and additional countries worldwide. Our patents are designed to protect our proprietary technology, proprietary products and product candidates, and their methods of use. Additionally, we have approximately 45 pending patent applications.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2025, we received the following:</w:t>
      </w:r>
    </w:p>
    <w:p>
      <w:pPr>
        <w:spacing w:after="0" w:line="198" w:lineRule="exact"/>
        <w:rPr>
          <w:sz w:val="20"/>
          <w:szCs w:val="20"/>
          <w:color w:val="auto"/>
        </w:rPr>
      </w:pPr>
    </w:p>
    <w:p>
      <w:pPr>
        <w:ind w:left="720" w:right="1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patents in each of USA, and Australia for the patent family named “Therapeutic Regimen For the Treatment of Fabry Using Stabilized Alpha-galactosidase, adding to the single previously granted patent in such family.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patent in USA for the patent family named “Removal of Constructs from Transformed Cells.”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competitive position and future success depend, in part, on our ability, and that of our licensees, to obtain and leverage the intellectual property rights covering our product candidates, know-how, methods, processes and other technologies, to protect our trade secrets, to prevent others from using our intellectual property and to operate without infringing on the intellectual property rights of third parties. We seek to protect our competitive position by filing United States, EU, Israeli and other foreign patent applications covering our technology, including both new technology and improvements to existing technology. Our patent strategy includes obtaining patents on methods of production, compositions of matter and methods of use. We also rely on know-how, continuing technological innovation, licensing and partnership opportunities to develop and maintain our competitive position. With respect to Elfabrio, we continuously seek to have the patent term extended in those countries in which it has been approved for marketing.</w:t>
      </w:r>
    </w:p>
    <w:p>
      <w:pPr>
        <w:spacing w:after="0" w:line="16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As of December 31, 2025, our patent portfolio consisted of several patent families (consisting of patents and/or patent applications) covering our technology, protein expression methodologies and system, products and product candidates, as follows: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shd w:val="clear" w:color="auto" w:fill="CCEEFF"/>
          </w:tcPr>
          <w:p>
            <w:pPr>
              <w:spacing w:after="0"/>
              <w:rPr>
                <w:sz w:val="17"/>
                <w:szCs w:val="17"/>
                <w:color w:val="auto"/>
              </w:rPr>
            </w:pPr>
          </w:p>
        </w:tc>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Patent Name/Int. App. No.</w:t>
            </w:r>
          </w:p>
        </w:tc>
        <w:tc>
          <w:tcPr>
            <w:tcW w:w="240" w:type="dxa"/>
            <w:vAlign w:val="bottom"/>
            <w:vMerge w:val="restart"/>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Global Pending</w:t>
            </w:r>
          </w:p>
        </w:tc>
        <w:tc>
          <w:tcPr>
            <w:tcW w:w="940" w:type="dxa"/>
            <w:vAlign w:val="bottom"/>
            <w:shd w:val="clear" w:color="auto" w:fill="CCEEFF"/>
          </w:tcPr>
          <w:p>
            <w:pPr>
              <w:spacing w:after="0"/>
              <w:rPr>
                <w:sz w:val="17"/>
                <w:szCs w:val="17"/>
                <w:color w:val="auto"/>
              </w:rPr>
            </w:pPr>
          </w:p>
        </w:tc>
        <w:tc>
          <w:tcPr>
            <w:tcW w:w="2740" w:type="dxa"/>
            <w:vAlign w:val="bottom"/>
            <w:gridSpan w:val="2"/>
            <w:vMerge w:val="restart"/>
            <w:shd w:val="clear" w:color="auto" w:fill="CCEEFF"/>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Granted Jurisdictions</w:t>
            </w:r>
          </w:p>
        </w:tc>
        <w:tc>
          <w:tcPr>
            <w:tcW w:w="90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vMerge w:val="continue"/>
            <w:shd w:val="clear" w:color="auto" w:fill="CCEEFF"/>
          </w:tcPr>
          <w:p>
            <w:pPr>
              <w:spacing w:after="0"/>
              <w:rPr>
                <w:sz w:val="17"/>
                <w:szCs w:val="17"/>
                <w:color w:val="auto"/>
              </w:rPr>
            </w:pPr>
          </w:p>
        </w:tc>
        <w:tc>
          <w:tcPr>
            <w:tcW w:w="240" w:type="dxa"/>
            <w:vAlign w:val="bottom"/>
            <w:tcBorders>
              <w:top w:val="single" w:sz="8" w:color="CCEEFF"/>
            </w:tcBorders>
            <w:vMerge w:val="continue"/>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Jurisdictions</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gridSpan w:val="2"/>
            <w:vMerge w:val="continue"/>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Expiry</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Production of High Mannose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368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Russian Federation, Australia</w:t>
            </w:r>
          </w:p>
        </w:tc>
        <w:tc>
          <w:tcPr>
            <w:tcW w:w="66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2029(1)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Proteins in Plant Culture/PCT/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Il2004 000181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Large Scale Disposable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6"/>
              </w:rPr>
              <w:t>N/A</w:t>
            </w:r>
          </w:p>
        </w:tc>
        <w:tc>
          <w:tcPr>
            <w:tcW w:w="3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Australia, Canada, China, Europe, Hong</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Bioreactor/PCT/Il2008/000614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Kong, India, Israel, Republic of Korea,</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Russian Federation, Singapore, South</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Africa, USA, Brazil</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Stabilized Alpha-galactosidase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3680" w:type="dxa"/>
            <w:vAlign w:val="bottom"/>
            <w:gridSpan w:val="3"/>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Canada, South Africa, Russian Federation,</w:t>
            </w:r>
          </w:p>
        </w:tc>
        <w:tc>
          <w:tcPr>
            <w:tcW w:w="66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2031(3)</w:t>
            </w: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uses thereof/PCT/Il2011/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Singapore, Israel, India, New Zealand,</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000209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Republic of Korea, Australia, China,</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Japan, USA, Europe, Hong Kong, India,</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jc w:val="center"/>
              <w:ind w:right="1060"/>
              <w:spacing w:after="0"/>
              <w:rPr>
                <w:sz w:val="20"/>
                <w:szCs w:val="20"/>
                <w:color w:val="auto"/>
              </w:rPr>
            </w:pPr>
            <w:r>
              <w:rPr>
                <w:rFonts w:ascii="Times New Roman" w:cs="Times New Roman" w:eastAsia="Times New Roman" w:hAnsi="Times New Roman"/>
                <w:sz w:val="18"/>
                <w:szCs w:val="18"/>
                <w:color w:val="auto"/>
                <w:w w:val="99"/>
              </w:rPr>
              <w:t>Brazil</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Nucleic Acid Construct for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368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India, China, Republic of Korea, Japan,</w:t>
            </w:r>
          </w:p>
        </w:tc>
        <w:tc>
          <w:tcPr>
            <w:tcW w:w="66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2031(2)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Expression of Alpha-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Israel, Europe, Hong Kong, USA, Brazil</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galactosidase in Plants and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Plant Cells/PCT/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Il2011/000719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 Regimen For The</w:t>
            </w:r>
          </w:p>
        </w:tc>
        <w:tc>
          <w:tcPr>
            <w:tcW w:w="1800" w:type="dxa"/>
            <w:vAlign w:val="bottom"/>
            <w:gridSpan w:val="5"/>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Europe, Brazil, Japan,</w:t>
            </w:r>
          </w:p>
        </w:tc>
        <w:tc>
          <w:tcPr>
            <w:tcW w:w="3680" w:type="dxa"/>
            <w:vAlign w:val="bottom"/>
            <w:gridSpan w:val="3"/>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South Africa, New Zealand, Russian</w:t>
            </w:r>
          </w:p>
        </w:tc>
        <w:tc>
          <w:tcPr>
            <w:tcW w:w="60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Fabry Using</w:t>
            </w:r>
          </w:p>
        </w:tc>
        <w:tc>
          <w:tcPr>
            <w:tcW w:w="3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Canada, Israel,</w:t>
            </w:r>
          </w:p>
        </w:tc>
        <w:tc>
          <w:tcPr>
            <w:tcW w:w="36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Federation, USA, Chile, Mexico, Australia</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Stabilized Alpha-galactosidase/</w:t>
            </w:r>
          </w:p>
        </w:tc>
        <w:tc>
          <w:tcPr>
            <w:tcW w:w="1800" w:type="dxa"/>
            <w:vAlign w:val="bottom"/>
            <w:gridSpan w:val="5"/>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Republic of Korea,</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PCT/Il2018/050018</w:t>
            </w:r>
          </w:p>
        </w:tc>
        <w:tc>
          <w:tcPr>
            <w:tcW w:w="18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China, Hong Kong</w:t>
            </w:r>
          </w:p>
        </w:tc>
        <w:tc>
          <w:tcPr>
            <w:tcW w:w="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Dry Powder Formulations of</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Pr>
          <w:p>
            <w:pPr>
              <w:spacing w:after="0"/>
              <w:rPr>
                <w:sz w:val="17"/>
                <w:szCs w:val="17"/>
                <w:color w:val="auto"/>
              </w:rPr>
            </w:pPr>
          </w:p>
        </w:tc>
        <w:tc>
          <w:tcPr>
            <w:tcW w:w="2740" w:type="dxa"/>
            <w:vAlign w:val="bottom"/>
            <w:gridSpan w:val="2"/>
          </w:tcPr>
          <w:p>
            <w:pPr>
              <w:jc w:val="center"/>
              <w:ind w:right="1060"/>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6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DNase 1/PCT/Il2013/050094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DNase I Polypeptides,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jc w:val="center"/>
              <w:ind w:right="1080"/>
              <w:spacing w:after="0" w:line="198" w:lineRule="exact"/>
              <w:rPr>
                <w:sz w:val="20"/>
                <w:szCs w:val="20"/>
                <w:color w:val="auto"/>
              </w:rPr>
            </w:pPr>
            <w:r>
              <w:rPr>
                <w:rFonts w:ascii="Times New Roman" w:cs="Times New Roman" w:eastAsia="Times New Roman" w:hAnsi="Times New Roman"/>
                <w:sz w:val="18"/>
                <w:szCs w:val="18"/>
                <w:color w:val="auto"/>
                <w:w w:val="99"/>
              </w:rPr>
              <w:t>Europe, Israel, Brazil</w:t>
            </w:r>
          </w:p>
        </w:tc>
        <w:tc>
          <w:tcPr>
            <w:tcW w:w="60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Polynucleotides Encoding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Same, Methods of Producing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 I and uses thereof in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Therapy/PCT/ Il2013/050097</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Inhalable Liquid Formulations</w:t>
            </w: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6"/>
              </w:rPr>
              <w:t>N/A</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Israel, USA</w:t>
            </w:r>
          </w:p>
        </w:tc>
        <w:tc>
          <w:tcPr>
            <w:tcW w:w="15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DNase I/PCT/Il2013/050096</w:t>
            </w:r>
          </w:p>
        </w:tc>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of Constructs from</w:t>
            </w:r>
          </w:p>
        </w:tc>
        <w:tc>
          <w:tcPr>
            <w:tcW w:w="24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USA, Israel, New</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Japan, USA</w:t>
            </w:r>
          </w:p>
        </w:tc>
        <w:tc>
          <w:tcPr>
            <w:tcW w:w="15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2040</w:t>
            </w:r>
          </w:p>
        </w:tc>
      </w:t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Transformed</w:t>
            </w: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Zealand, Australia</w:t>
            </w: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Cells/PCT/IL2019/ 051266</w:t>
            </w:r>
          </w:p>
        </w:tc>
        <w:tc>
          <w:tcPr>
            <w:tcW w:w="2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8"/>
        </w:trPr>
        <w:tc>
          <w:tcPr>
            <w:tcW w:w="2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Long-Acting</w:t>
            </w:r>
          </w:p>
        </w:tc>
        <w:tc>
          <w:tcPr>
            <w:tcW w:w="2460" w:type="dxa"/>
            <w:vAlign w:val="bottom"/>
            <w:shd w:val="clear" w:color="auto" w:fill="CCEEFF"/>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w w:val="99"/>
              </w:rPr>
              <w:t>Canada, Israel, USA,</w:t>
            </w:r>
          </w:p>
        </w:tc>
        <w:tc>
          <w:tcPr>
            <w:tcW w:w="236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560" w:type="dxa"/>
            <w:vAlign w:val="bottom"/>
            <w:shd w:val="clear" w:color="auto" w:fill="CCEEFF"/>
          </w:tcPr>
          <w:p>
            <w:pPr>
              <w:jc w:val="center"/>
              <w:ind w:left="35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DNase/PCT/IL2021/051207</w:t>
            </w:r>
          </w:p>
        </w:tc>
        <w:tc>
          <w:tcPr>
            <w:tcW w:w="246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Japan, Europe, Hong</w:t>
            </w:r>
          </w:p>
        </w:tc>
        <w:tc>
          <w:tcPr>
            <w:tcW w:w="2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Kong, Republic of</w:t>
            </w:r>
          </w:p>
        </w:tc>
        <w:tc>
          <w:tcPr>
            <w:tcW w:w="2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25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9"/>
              </w:rPr>
              <w:t>Korea, China</w:t>
            </w:r>
          </w:p>
        </w:tc>
        <w:tc>
          <w:tcPr>
            <w:tcW w:w="2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198"/>
        </w:trPr>
        <w:tc>
          <w:tcPr>
            <w:tcW w:w="2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Dicer-Like Knock-Out Plant</w:t>
            </w:r>
          </w:p>
        </w:tc>
        <w:tc>
          <w:tcPr>
            <w:tcW w:w="2460" w:type="dxa"/>
            <w:vAlign w:val="bottom"/>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rPr>
              <w:t>Israel, USA, Japan,</w:t>
            </w:r>
          </w:p>
        </w:tc>
        <w:tc>
          <w:tcPr>
            <w:tcW w:w="236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center"/>
              <w:ind w:left="35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Cells/ PCT/IL2021/051194</w:t>
            </w: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Europe, Hong Kong,</w:t>
            </w: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Republic of Korea,</w:t>
            </w: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China</w:t>
            </w:r>
          </w:p>
        </w:tc>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8"/>
        </w:trPr>
        <w:tc>
          <w:tcPr>
            <w:tcW w:w="2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Uricase and Uses</w:t>
            </w:r>
          </w:p>
        </w:tc>
        <w:tc>
          <w:tcPr>
            <w:tcW w:w="2460" w:type="dxa"/>
            <w:vAlign w:val="bottom"/>
            <w:shd w:val="clear" w:color="auto" w:fill="CCEEFF"/>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rPr>
              <w:t>Japan, Canada, Brazil,</w:t>
            </w:r>
          </w:p>
        </w:tc>
        <w:tc>
          <w:tcPr>
            <w:tcW w:w="236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560" w:type="dxa"/>
            <w:vAlign w:val="bottom"/>
            <w:shd w:val="clear" w:color="auto" w:fill="CCEEFF"/>
          </w:tcPr>
          <w:p>
            <w:pPr>
              <w:jc w:val="center"/>
              <w:ind w:left="35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Thereof/PCT/IL2021/051305</w:t>
            </w:r>
          </w:p>
        </w:tc>
        <w:tc>
          <w:tcPr>
            <w:tcW w:w="246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USA, Israel, Mexico,</w:t>
            </w:r>
          </w:p>
        </w:tc>
        <w:tc>
          <w:tcPr>
            <w:tcW w:w="2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Europe, Republic of</w:t>
            </w:r>
          </w:p>
        </w:tc>
        <w:tc>
          <w:tcPr>
            <w:tcW w:w="2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25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9"/>
              </w:rPr>
              <w:t>Korea, China</w:t>
            </w:r>
          </w:p>
        </w:tc>
        <w:tc>
          <w:tcPr>
            <w:tcW w:w="2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198"/>
        </w:trPr>
        <w:tc>
          <w:tcPr>
            <w:tcW w:w="2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Methods of treating diseases</w:t>
            </w:r>
          </w:p>
        </w:tc>
        <w:tc>
          <w:tcPr>
            <w:tcW w:w="2460" w:type="dxa"/>
            <w:vAlign w:val="bottom"/>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w w:val="99"/>
              </w:rPr>
              <w:t>USA</w:t>
            </w:r>
          </w:p>
        </w:tc>
        <w:tc>
          <w:tcPr>
            <w:tcW w:w="236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associated with elevated uric</w:t>
            </w:r>
          </w:p>
        </w:tc>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acid</w:t>
            </w:r>
          </w:p>
        </w:tc>
        <w:tc>
          <w:tcPr>
            <w:tcW w:w="2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ind w:left="360" w:hanging="31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Australia expires in 2029.</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the United States expires in 2032.</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PTE/SPC applications were submitted for some of the patents.</w:t>
      </w:r>
    </w:p>
    <w:p>
      <w:pPr>
        <w:spacing w:after="0" w:line="180"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are aware of U.S. patents, and corresponding international counterparts of such patents, owned by third parties that contain claims covering methods of producing glucocerebrosidase.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large, established research and development, manufacturing, marketing, financial, technological personnel and managerial resources.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through collaborations with pharmaceutical and biotechnology companies.</w:t>
      </w:r>
    </w:p>
    <w:p>
      <w:pPr>
        <w:spacing w:after="0" w:line="165" w:lineRule="exact"/>
        <w:rPr>
          <w:sz w:val="20"/>
          <w:szCs w:val="20"/>
          <w:color w:val="auto"/>
        </w:rPr>
      </w:pPr>
    </w:p>
    <w:p>
      <w:pPr>
        <w:ind w:left="60" w:right="79"/>
        <w:spacing w:after="0" w:line="238" w:lineRule="auto"/>
        <w:rPr>
          <w:sz w:val="20"/>
          <w:szCs w:val="20"/>
          <w:color w:val="auto"/>
        </w:rPr>
      </w:pPr>
      <w:r>
        <w:rPr>
          <w:rFonts w:ascii="Times New Roman" w:cs="Times New Roman" w:eastAsia="Times New Roman" w:hAnsi="Times New Roman"/>
          <w:sz w:val="18"/>
          <w:szCs w:val="18"/>
          <w:color w:val="auto"/>
        </w:rPr>
        <w:t>With respect to Gaucher disease, we face competition primarily from two ERTs, Sanofi Genzyme’s Cerezyme and Takeda’s (Shire) Vpriv. In addition, Actelion markets a small molecule drug for the treatment of mild to moderate Type 1 Gaucher disease (Zavesca or miglustat), an oral treatment approved by the FDA only for patients for whom ERT is not a therapeutic option. In addition, Sanofi Genzyme markets a small molecule oral drug,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for Gaucher patients with certain CYP2D6 metabolizer status. We are aware of other treatments, such as venglustat which completed a Phase 3 clinical trial for the treatment of Type 3 Gaucher disease, and gene therapies in clinical development and later stage clinical development for the treatment of Gaucher disease.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18"/>
          <w:szCs w:val="18"/>
          <w:color w:val="auto"/>
        </w:rPr>
        <w:t>With respect to Fabry disease, we face competition primarily from Sanofi Genzyme (Fabrazyme), Takeda (Replagal) and Amicus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we are aware of other late clinical stage, early clinical stage and experimental drugs that are being developed by other companies for the treatment of Fabry disease. In particular, Sangamo Therapeutics, Inc. has initiated a rolling Biologics License Application (BLA) submission to the FDA for accelerated approval of ST-920, its gene therapy in development for the treatment of Fabry disease.</w:t>
      </w:r>
    </w:p>
    <w:p>
      <w:pPr>
        <w:spacing w:after="0" w:line="175"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With respect to uncontrolled gout, we face competition from Amgen Inc.’s Krystexxa, which is indicated for treatment of chronic gout in adult patients refractory to conventional therapy. In addition, we are aware of other clinical stage, early clinical stage and experimental refractory or chronic gout treatments. For example, Swedish Orphan Biovitrum AB (Sobi) has developed Pegadriscase (NASP) for the treatment of chronic refractory gout that recently completed a Phase 3 clinical trial, and the FDA has set a Prescription Drug User Fee Act (PDUFA) target action date in June 2026 for its review and decision on NASP. We are also aware of another product candidate that is the subject of a Phase 2 clinical trial for hyperuricemia in gout patients with advanced CKD.</w:t>
      </w:r>
    </w:p>
    <w:p>
      <w:pPr>
        <w:spacing w:after="0" w:line="14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also face potential competition to our ProCellEx system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A number of companies have developed or are developing alternative expression technologies. Examples include Crucell N.V.’s (acquired by Johnson &amp; Johnson) expression system based on human-cell technology, Dyadic International Inc.’s expression system based on a fungus, Pfenex Inc.’s (acquired by Ligand Pharmaceuticals Incorporated) bacteria-based expression system, and others. Companies developing alternate plant-based technologies include iBio, Inc., Medicago, Inc., and Eleva Biologics. Unlike ProCellEx, these alternate technologies are not cell-based. These companies base their product development on transgenic plants or whole plants.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use our manufacturing facility in Carmiel, Israel, which has approximately 1,466 sq/m of clean rooms built according to industry standards, to manufacture drug substance for Elfabrio and Elelyso for commercial purposes. We maintain an approximately 316 sq/m pilot plant for protein development and to manufacture supplies for clinical trials (Phase 1 and Phase 2). Elelyso, Elfabrio, PRX-115 and our other drug product candidates must be manufactured in a clean environment and in compliance with cGMPs set by the FDA and other relevant foreign regulatory authorities. We intend to use our manufacturing space to produce all of the drug substance needed in connection with the clinical trials for our other product candidates.</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manufacturing facility is an approved multi-product facility. Our facility’s current capacity can serve all of our current commercial and clinical needs and we are preparing to expand the manufacturing space within our current facility to add additional purification capabilities in anticipation of future needs with respect to the potential commercialization of PRX-115.</w:t>
      </w:r>
    </w:p>
    <w:p>
      <w:pPr>
        <w:spacing w:after="0" w:line="13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manufacturing facilities are subject to inspections by various regulatory authorities from time to time. We have undergone successful in-person and virtual inspections by the FDA, the Irish Medicines Board (under the EMA’s centralized marketing authorization procedure), the Brazilian National Health Surveillance Agency (ANVISA), the Israeli Ministry of Health, the Turkish Ministry of Health, the Australian Therapeutic Goods Administration (TGA), Health Canada, and the South Korean Ministry of Health and Welfare.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8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the raw materials that we require throughout the manufacturing process of Elfabrio and Elelyso, and our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43" w:lineRule="exact"/>
        <w:rPr>
          <w:sz w:val="20"/>
          <w:szCs w:val="20"/>
          <w:color w:val="auto"/>
        </w:rPr>
      </w:pPr>
    </w:p>
    <w:p>
      <w:pPr>
        <w:jc w:val="both"/>
        <w:ind w:left="60" w:right="459"/>
        <w:spacing w:after="0" w:line="312" w:lineRule="auto"/>
        <w:rPr>
          <w:sz w:val="20"/>
          <w:szCs w:val="20"/>
          <w:color w:val="auto"/>
        </w:rPr>
      </w:pPr>
      <w:r>
        <w:rPr>
          <w:rFonts w:ascii="Times New Roman" w:cs="Times New Roman" w:eastAsia="Times New Roman" w:hAnsi="Times New Roman"/>
          <w:sz w:val="17"/>
          <w:szCs w:val="17"/>
          <w:color w:val="auto"/>
        </w:rPr>
        <w:t>Development and regulatory approval of our pharmaceutical products are dependent upon our ability to procure active ingredients (DS) and certain packaging materials from sources approved by the FDA and other regulatory authorities.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FDA and other regulatory approval processes require manufacturers to specify their proposed suppliers of active ingredients (which is not relevant to our company), intermediate material and certain packaging materials in their applications. From time to time, we intend to continue to identify alternative approved suppliers to ensure the uninterrupted supply of necessary raw materials.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187"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The FDA regulates drugs under the U.S. Federal Food, Drug, and Cosmetic Act, or the FFDCA, and the implementing regulations thereto. Drugs are also subject to other federal, state and local statutes and regulations. Biologics are subject to regulation by the FDA under the FFDCA, Section 351 of the Public Health Service Act, and related regulations and other federal, state and local laws and regulations. Biological products include a wide variety of products including vaccines, blood and blood components, gene therapies, tissue and proteins. Unlike most prescription products made through chemical processes, biological products generally are made from human and/or animal materials. To be lawfully marketed in interstate commerce, a recombinant protein biologic product must be the subject of a BLA issued by the FDA on the basis of a demonstration that the product is safe, pure and potent, and that the facility in which the product is manufactured meets standards to assure that the product continues to be safe, pure and potent. The FDA has developed, and is continuously updating, the requirements and has issued documents concerning the regulation of cellular and tissue-based products. Manufacturers of cell and tissue-based products must comply with the FDA’s current good tissue practices, or cGTP, which are FDA regulations that govern the methods used in, and the facilities and controls used for, the manufacture of such products. The primary intent of the cGTP requirements is to ensure that cell and tissue-based products are manufactured in a manner designed to prevent the introduction, transmission and spread of communicable disease.</w:t>
      </w:r>
    </w:p>
    <w:p>
      <w:pPr>
        <w:spacing w:after="0" w:line="157"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and ensuring compliance with appropriate federal, state and local statutes and regulations in the United States, and foreign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product detention, total or partial suspension of production or distribution, injunctions, fines, refusals of government contracts, restitution, disgorgement or civil or criminal penalties. The process required by the FDA before a biological product or drug may be marketed in the United States generally involves the following:</w:t>
      </w:r>
    </w:p>
    <w:p>
      <w:pPr>
        <w:spacing w:after="0" w:line="148" w:lineRule="exact"/>
        <w:rPr>
          <w:sz w:val="20"/>
          <w:szCs w:val="20"/>
          <w:color w:val="auto"/>
        </w:rPr>
      </w:pPr>
    </w:p>
    <w:p>
      <w:pPr>
        <w:ind w:left="720" w:right="1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with certain studies conducted in accordance with Good Laboratory Practice regulations, or GLPs, and other applicable regulations;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3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21"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GCPs, to establish the safety and efficacy of a proposed drug candidate, and the safety, purity and potency of a proposed biological product candidate, for its intended use;</w:t>
      </w:r>
    </w:p>
    <w:p>
      <w:pPr>
        <w:spacing w:after="0" w:line="13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a new biological product or a new drug application, or NDA, for a new drug;</w:t>
      </w:r>
    </w:p>
    <w:p>
      <w:pPr>
        <w:spacing w:after="0" w:line="134" w:lineRule="exact"/>
        <w:rPr>
          <w:rFonts w:ascii="Times New Roman" w:cs="Times New Roman" w:eastAsia="Times New Roman" w:hAnsi="Times New Roman"/>
          <w:sz w:val="18"/>
          <w:szCs w:val="18"/>
          <w:color w:val="auto"/>
        </w:rPr>
      </w:pPr>
    </w:p>
    <w:p>
      <w:pPr>
        <w:jc w:val="both"/>
        <w:ind w:left="720" w:right="51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to assure that the facilities, methods and controls are adequate to preserve the drug’s or biologic’s identity, strength, quality and purity;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w:t>
      </w:r>
    </w:p>
    <w:p>
      <w:pPr>
        <w:spacing w:after="0" w:line="18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appropriate to the development stage,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review time is 30 days unless there are deficiencies and/or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begin or resume after the FDA has notified the sponsor that the investigation may proceed.</w:t>
      </w:r>
    </w:p>
    <w:p>
      <w:pPr>
        <w:spacing w:after="0" w:line="15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regulations. These regulations include the requirement that all subjects participating in the clinical trial provide their informed consent regarding the trial. Further, an IRB must review and approve the plan for any clinical trial before it commences at any institution. An IRB considers, among other things, whether the risks to individuals participating in the trials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Once an IND is in effect, each new clinical protocol and any amendments to the protocol must be submitted to the FDA for review, and to the IRBs for approval.</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ind w:left="720" w:right="27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is initially introduced into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and excretion. In the case of some products for severe or life-threatening diseases, especially when the product may be too inherently toxic to ethically administer to healthy volunteers, the initial human testing may be conducted in patients having the specific disease.</w:t>
      </w:r>
    </w:p>
    <w:p>
      <w:pPr>
        <w:spacing w:after="0" w:line="139" w:lineRule="exact"/>
        <w:rPr>
          <w:rFonts w:ascii="Times New Roman" w:cs="Times New Roman" w:eastAsia="Times New Roman" w:hAnsi="Times New Roman"/>
          <w:sz w:val="18"/>
          <w:szCs w:val="18"/>
          <w:color w:val="auto"/>
        </w:rPr>
      </w:pPr>
    </w:p>
    <w:p>
      <w:pPr>
        <w:jc w:val="both"/>
        <w:ind w:left="720" w:right="239" w:hanging="319"/>
        <w:spacing w:after="0" w:line="267"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Phase 2 clinical trials involve investigations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and the optimal dosage and schedule.</w:t>
      </w:r>
    </w:p>
    <w:p>
      <w:pPr>
        <w:spacing w:after="0" w:line="146"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Phase 3 clinical trials are undertaken to further evaluate dosage, clinical efficacy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trials are intended to establish the overall risk/benefit ratio of the product and provide an adequate basis for regulatory approval and product labeling.</w:t>
      </w:r>
    </w:p>
    <w:p>
      <w:pPr>
        <w:spacing w:after="0" w:line="141"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Post-approval studies, also called Phase IV trials, may be conducted after initial marketing approvals. These studies are used to obtain additional experience from the treatment of patients in the intended therapeutic indication and may be required by the FDA as part of the approval process.</w:t>
      </w:r>
    </w:p>
    <w:p>
      <w:pPr>
        <w:spacing w:after="0" w:line="13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side effects. Phase 1, Phase 2 and Phase 3 testing may not be completed successfully within any specified period, if at all. The FDA or the trial sponsor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may suspend or terminate a clinical trial at any time on various grounds, including a finding that the study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5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applicable product candidate does not undergo unacceptable deterioration over its shelf life.</w:t>
      </w:r>
    </w:p>
    <w:p>
      <w:pPr>
        <w:spacing w:after="0" w:line="14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product candidate, proposed labeling and other relevant information, are submitted to the FDA as part of an NDA or BLA, requesting approval to market the product. The submission of an NDA or BLA is subject to the payment of substantial user fees which may be waived under certain limited circumstances.</w:t>
      </w:r>
    </w:p>
    <w:p>
      <w:pPr>
        <w:spacing w:after="0" w:line="139"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and effort, and may not result in approval on a timely basis, if at all. The FDA may refuse to approve a BLA or NDA if the applicable regulatory criteria are not satisfied or may require additional clinical data or other data and information. Generally, it takes one to three years to obtain approval. If questions arise during the FDA review process, approval may take a significantly longer period of time.</w:t>
      </w:r>
    </w:p>
    <w:p>
      <w:pPr>
        <w:spacing w:after="0" w:line="15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or biologic’s safety and effectiveness after BLA or NDA approval and may require testing and surveillance programs to monitor the safety of approved products that have been commercialized. The FDA imposes other conditions, including distribution restrictions or other risk management mechanisms, including a risk evaluation and mitigation strategy, or REMS, which can materially affect the potential market and profitability of the product.</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or the PREA, requires a sponsor to conduct pediatric clinical trials for most biologics and drugs, for a new active ingredient, new indication, new dosage form, new dosing regimen or new route of administration. Under the PREA, original NDAs and BLAs and certain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data need to be collected before the pediatric clinical trials begin.</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0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or that affects more than 200,000 persons in the United States but that sales in the United States are not expected to recover the costs of developing and marketing a treatment drug. Orphan product designation does not convey any advantage in, or shorten the duration of, the regulatory review and approval process. Among the benefits of orphan drug designation are possible funding and tax savings to support clinical trials, other financial incentives and a waiver of the marketing application user fee.</w:t>
      </w:r>
    </w:p>
    <w:p>
      <w:pPr>
        <w:spacing w:after="0" w:line="148"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approve any other applications to market the same treatment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Competitors, however, may receive approval of different products for the indication for which the orphan product has exclusivity or obtain approval for the same product but for a different indication for which the orphan product has exclusivity. Orphan drug status in the EU has similar but not identical benefits in the EU.</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8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(a) the effective date of an IND and the submission date of a BLA or an NDA plus (b) the time between the submission date of a BLA or an NDA and the approval of that application. Only one patent applicable to an approved drug is eligible for the extension and the extension must be requested prior to expiration of the patent. The U.S. Patent and Trademark Office, or USPTO, in consultation with the FDA, reviews and approves the application for any patent term extension or restoration. We anticipate that we will apply for restorations of the patent term for certain of patents covering our product candidates.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Fast Track Designation; Breakthrough Therapy Designation</w:t>
      </w:r>
    </w:p>
    <w:p>
      <w:pPr>
        <w:spacing w:after="0" w:line="20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FDA has a fast track program that is designed to facilitate the development and expedite the review of drugs to treat serious conditions and fill an unmet medical need, the purpose being to make important new drugs available to patients earlier. A drug candidate that receives Fast Track designation from the FDA is eligible for some or all of the following: more frequent meetings with the FDA to discuss the drug’s development plan and ensure collection of appropriate data needed to support drug approval; more frequent written communication from the FDA about such things as the design of the proposed clinical trials; eligibility for the FDA’s Accelerated Approval and Priority Review, if relevant criteria are met; and eligibility for Rolling Review, which allows a drug company to submit completed sections of its BLA or NDA for review by the FDA, rather than waiting until every section of the BLA or NDA is completed before the entire application can be reviewed. BLA or NDA review usually does not begin until the drug company has submitted the entire application to the FDA.</w:t>
      </w:r>
    </w:p>
    <w:p>
      <w:pPr>
        <w:spacing w:after="0" w:line="154"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Accelerated Approval; Breakthrough Therapy Designation</w:t>
      </w:r>
    </w:p>
    <w:p>
      <w:pPr>
        <w:spacing w:after="0" w:line="20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Section 901 of the U.S. Food and Drug Administration Safety Innovations Act amends the FFDCA to allow the FDA to base Accelerated Approval for drugs for serious conditions that fill an unmet medical need on whether the drug has an effect on a surrogate or an intermediate clinical endpoint. A surrogate endpoint used for Accelerated Approval is a marker; that is, a laboratory measurement, radiographic image, physical sign or other measure, that is thought to predict clinical benefit, but is not itself a measure of clinical benefit. An intermediate clinical endpoint is a measure of a therapeutic effect that is considered reasonably likely to predict the clinical benefit of a drug, such as an effect on irreversible morbidity and mortality. The FDA bases its decision on whether to accept the proposed surrogate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intermediate clinical endpoint on the scientific support for that endpoint. Studies that demonstrate a drug’s effect on a surrogate or intermediate clinical endpoint must be “adequate and well controlled” as required by the FFDCA.</w:t>
      </w:r>
    </w:p>
    <w:p>
      <w:pPr>
        <w:spacing w:after="0" w:line="13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Under subpart H of the Accelerated Approval pathway,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which could adversely impact the timing of the commercial launch of the product.</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Drugs approved by the FDA are subject to continuing regulation by the FDA, including, among other things, record-keeping requirements, reporting of adverse effects with the product, reporting of changes in distributed products which would require field alert reports (FARs), drugs and biological product deviation reports (BPDRs) providing the FDA with updated safety and efficacy information, product sampling and distribution requirements, complying with certain electronic records and signature requirements and complying with FDA promotion and advertising requirements. In September 2007, the Food and Drug Administration Amendments Act of 2007 was enacted, giving the FDA enhanced post-marketing authority, including the authority to require post marketing studies and clinical trials (PMRs and PMCs), labeling changes based on new safety information, and compliance with risk evaluations and mitigation strategies (REMS), approved by the FDA. The FDA strictly regulates labeling, advertising, promotion and other types of information on products that are placed on the market. Drugs and biologics may be promoted only for the approved indications and in accordance with the provisions of the approved label. Further, manufacturers of drugs and biologics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6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manufacturing and distribution of approved drugs and biologics are required to register their establishments with the FDA and certain state agencies, and are subject to periodic unannounced inspections by the FDA and certain state agencies for compliance with cGMP, GTP applicable to biologics, and other laws. The cGMP requirements apply to all stages of the manufacturing process, including the production, processing, sterilization, packaging, labeling, storage and shipment of the drug. Manufacturers must establish validated systems to ensure that products meet specifications and regulatory standards, and test each product batch or lot prior to its release.</w:t>
      </w:r>
    </w:p>
    <w:p>
      <w:pPr>
        <w:spacing w:after="0" w:line="14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Discovery of previously unknown problems with a product subsequent to its approval, including adverse events of unanticipated severity or frequency, or with manufacturing processes, or failure to comply with regulatory requirements, may result in restrictions on the product or even complete withdrawal of the product from the market. Further, 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51"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From time to time, legislation is drafted, introduced and passed in Congress that could significantly change the statutory provisions governing the approval, manufacturing and marketing of products regulated by the FDA. In addition to new</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legislation, the FDA regulations and policies are often revised or reinterpreted by the agency in ways that may significantly affect our business and our development efforts. It is impossible to predict whether further legislative or FDA regulation or policy changes will be enacted or implemented and what the impact of such changes, if any, may be.</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Pharmaceutical products are subject to regulations and product registration requirements in many foreign countries,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4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Pharmaceutical products may not be imported into, or manufactured or marketed in, the State of Israel absent drug registration. The three basic criteria for the registration of pharmaceuticals in Israel is quality, safety and efficacy of the pharmaceutical product and the Israeli Ministry of Health requires pharmaceutical companies to conform to international developments and standards. Regulatory requirements are constantly changing in accordance with scientific advances as well as social and ethical values.</w:t>
      </w:r>
    </w:p>
    <w:p>
      <w:pPr>
        <w:spacing w:after="0" w:line="15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relevant legislation of the EU requires that medicinal products, including generic versions of previously approved products, and new strengths, dosage forms and formulations, of previously approved products, shall have a marketing authorization before they are placed on the market in the EU.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 regulations and must allow the reviewer to evaluate the quality, safety and efficacy of the medicinal product.</w:t>
      </w:r>
    </w:p>
    <w:p>
      <w:pPr>
        <w:spacing w:after="0" w:line="14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Orphan drug designation in the EU is granted to medicinal products intended for the diagnosis, prevention and treatment of life-threatening diseases and very serious conditions that affect not more than five in 10,000 people in the EU. Orphan drug designation is generally given to medicinal products that treat conditions for which no current therapy exists or are expected to bring a significant benefit to patients over existing therapies. To obtain marketing approval of a drug under EU regulatory systems, marketing authorization applications may be submitted either under a centralized, decentralized or national procedure. The centralized procedure provides for the grant of a single marketing authorization that is valid for all EU and EEA member states. The centralized procedure is compulsory for medicines produced by certain biotechnological processes, products designated as orphan medicinal products, and products with a new active substance indicated for the treatment of certain diseases, and optional for those products that are highly innovative or for which a centralized process is in the interest of patients. Products and product candidates that have received or will receive orphan designation in the EU qualify for this centralized procedure under which each product’s marketing authorization application will be submitted to the EMA.</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Third Party Payor Coverage and Reimbursement</w:t>
      </w:r>
    </w:p>
    <w:p>
      <w:pPr>
        <w:spacing w:after="0" w:line="20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Coverage and reimbursement status of any approved therapy carries uncertainty and risk for the market application holder. Commercialization of drug products in both the United States and foreign markets, our ability to commercialize our product and product candidates successfully, and the ability to attract commercialization partners, depends in significant part on the availability of adequate financial coverage and reimbursement from third party payors, including, in the United States, governmental payors such as Medicare, Medicaid and the Veterans Affairs Health programs, and private health insurers.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Each payor has its own process and standards for determining whether it will cover and reimburse a procedure or particular product. Private payors often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rely on the lead of the governmental payors in rendering coverage and reimbursement determinations. Therefore, achieving favorable CMS coverage and reimbursement is usually a significant gating issue for successful introduction of a new product. The competitive position most drug products will depend, in part, upon the extent of coverage and adequate reimbursement for such products and for the procedures in which such products are used. Prices at which we, our commercialization partners or our customers seek reimbursement for our product candidates may be subject to challenge, reduction or denial by the government and other payors.</w:t>
      </w:r>
    </w:p>
    <w:p>
      <w:pPr>
        <w:spacing w:after="0" w:line="16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Possible legislation at the federal and state levels in the United States focused on cost containment and price transparency may impact our ability, or the ability of our commercialization partners, to sell our products and product candidates for maximum profitably. It appears likely that the pressure on pharmaceutical pricing will continue, especially under the Medicare program, which may also increase our regulatory burdens and operating costs. Moreover, additional changes could be made to governmental healthcare programs that could significantly impact the success of our product and product candidates.</w:t>
      </w:r>
    </w:p>
    <w:p>
      <w:pPr>
        <w:spacing w:after="0" w:line="14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third-party payors also require pre-approval of coverage for new or innovative devices, biologics or drug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or the ability of our commercialization partners, to obtain adequate prices for our product candidates and operate profitably.</w:t>
      </w:r>
    </w:p>
    <w:p>
      <w:pPr>
        <w:spacing w:after="0" w:line="143"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and biologics,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8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the United States, our activities and those of our commercialization partners are potentially subject to regulation by various federal, state and local authorities in addition to the FDA, including the Centers for Medicare and Medicaid Services, other divisions of the U.S. Department of Health and Human Services (e.g., the Office of Inspector General), the U.S. Department of Justice and individual U.S. Attorney General offices within the Department of Justice, and state and local governments. These regulations include, among others:</w:t>
      </w:r>
    </w:p>
    <w:p>
      <w:pPr>
        <w:spacing w:after="0" w:line="143" w:lineRule="exact"/>
        <w:rPr>
          <w:sz w:val="20"/>
          <w:szCs w:val="20"/>
          <w:color w:val="auto"/>
        </w:rPr>
      </w:pPr>
    </w:p>
    <w:p>
      <w:pPr>
        <w:ind w:left="1040" w:right="19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government reimbursement programs that are false or fraudulent;</w:t>
      </w:r>
    </w:p>
    <w:p>
      <w:pPr>
        <w:spacing w:after="0" w:line="135" w:lineRule="exact"/>
        <w:rPr>
          <w:rFonts w:ascii="Times New Roman" w:cs="Times New Roman" w:eastAsia="Times New Roman" w:hAnsi="Times New Roman"/>
          <w:sz w:val="18"/>
          <w:szCs w:val="18"/>
          <w:color w:val="auto"/>
        </w:rPr>
      </w:pPr>
    </w:p>
    <w:p>
      <w:pPr>
        <w:jc w:val="both"/>
        <w:ind w:left="1040" w:right="73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39"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79"/>
        <w:spacing w:after="0" w:line="282" w:lineRule="auto"/>
        <w:rPr>
          <w:sz w:val="20"/>
          <w:szCs w:val="20"/>
          <w:color w:val="auto"/>
        </w:rPr>
      </w:pPr>
      <w:r>
        <w:rPr>
          <w:rFonts w:ascii="Times New Roman" w:cs="Times New Roman" w:eastAsia="Times New Roman" w:hAnsi="Times New Roman"/>
          <w:sz w:val="18"/>
          <w:szCs w:val="18"/>
          <w:color w:val="auto"/>
        </w:rPr>
        <w:t>information related to physician payments and other transfers of value and physician ownership and investment interests;</w:t>
      </w:r>
    </w:p>
    <w:p>
      <w:pPr>
        <w:spacing w:after="0" w:line="135" w:lineRule="exact"/>
        <w:rPr>
          <w:sz w:val="20"/>
          <w:szCs w:val="20"/>
          <w:color w:val="auto"/>
        </w:rPr>
      </w:pPr>
    </w:p>
    <w:p>
      <w:pPr>
        <w:ind w:left="1040" w:right="13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FFDCA, which among other things, strictly regulates drug and biologic product marketing, prohibits manufacturers from marketing drug products for off-label use and regulates the distribution of drug samples; and</w:t>
      </w:r>
    </w:p>
    <w:p>
      <w:pPr>
        <w:spacing w:after="0" w:line="135" w:lineRule="exact"/>
        <w:rPr>
          <w:rFonts w:ascii="Times New Roman" w:cs="Times New Roman" w:eastAsia="Times New Roman" w:hAnsi="Times New Roman"/>
          <w:sz w:val="18"/>
          <w:szCs w:val="18"/>
          <w:color w:val="auto"/>
        </w:rPr>
      </w:pPr>
    </w:p>
    <w:p>
      <w:pPr>
        <w:ind w:left="1040" w:right="279" w:hanging="315"/>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spacing w:after="0" w:line="148"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often are not preempted by federal laws, thus complicating compliance efforts.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Laws</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addition to FDA regulations, we are also subject to evolving federal, state and local environmental, health and safety laws and regulations. Compliance with environmental, health and safety laws and regulations has not had a material effect on our capital expenditures. Compliance with environmental, health and safety laws and regulations in the future may require additional capital expenditures.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Israeli Government Programs</w:t>
      </w:r>
    </w:p>
    <w:p>
      <w:pPr>
        <w:spacing w:after="0" w:line="20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 discussion may not be accepted by the tax authorities in question. This summary is based on laws and regulations in effect as of the date hereof, and should not be construed as legal or professional tax advice and does not cover all possible tax considerations.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income of Protalix Ltd., other than income from “Approved Enterprises,” is taxed in Israel at regular rates. Pursuant to the Economic Efficiency Law (Legislative Amendments for Implementing the Economic Policy for the 2017 and 2018 Budget Year), 2016, the corporate tax rate in 2018 and thereafter is 23%. Capital gains on the sale of assets are subject to capital gains tax according to the corporate tax rate in effect in the year which the assets are sold.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1959</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Law for the Encouragement of Capital Investments, 1959, as amended,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within Israel of the facility in which the investment is made and specific elections made by the grantee. In order to qualify for these incentives, an Approved Enterprise is required to comply with the requirements of the Investment Law, and Letter of approval received by Protalix Ltd.</w:t>
      </w:r>
    </w:p>
    <w:p>
      <w:pPr>
        <w:spacing w:after="0" w:line="148"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Protalix Ltd. will continue to enjoy the tax benefits under the pre-revision provisions of the Investment Law. If any new benefits are granted to Protalix Ltd. in the future, Protalix Ltd. will be subject to the provisions of the amended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Investment Law with respect to these new benefits. Therefore, the following discussion is a summary of the Investment Law prior to its amendment as well as the relevant changes contained in the new legislation.</w:t>
      </w:r>
    </w:p>
    <w:p>
      <w:pPr>
        <w:spacing w:after="0" w:line="13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Investment Law prior to its amendment, a company that wished to receive benefits had to receive approval from the Authority for the Investment and Development of the Industry and Economy,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4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 Approved Enterprise may elect to forego any entitlement to the grants otherwise available under the Investment Law and, instead, participate in an alternative benefits program under which the undistributed income (after deductions and offsets) from the Approved Enterprise is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and are contingent upon meeting the criteria set out in the certificate of approval. Income derived from activity that is not integral to the activity of the Approved Enterprises (including capital gain) does not enjoy these tax benefits.</w:t>
      </w:r>
    </w:p>
    <w:p>
      <w:pPr>
        <w:spacing w:after="0" w:line="15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company that has an Approved Enterprise program is eligible for further tax benefits, as an alternative to exemption,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23%, depending on the amount of the company’s shares held by non-Israeli shareholders.</w:t>
      </w:r>
    </w:p>
    <w:p>
      <w:pPr>
        <w:spacing w:after="0" w:line="16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If a company that has an Approved Enterprise program is a wholly-owned subsidiary of another company, the percentage of foreign investments is determined based on the percentage of foreign investment in the parent company. The tax rates and related levels of foreign investments with respect to a foreign investor’s company that has an Approved Enterprise program are set forth in the following table: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Foreign Ownership</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Rate of Reduced Tax</w:t>
            </w:r>
          </w:p>
        </w:tc>
      </w:tr>
      <w:tr>
        <w:trPr>
          <w:trHeight w:val="210"/>
        </w:trPr>
        <w:tc>
          <w:tcPr>
            <w:tcW w:w="7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25% but less than 49%</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 or more but less than 74%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 or more but less than 90%</w:t>
            </w:r>
          </w:p>
        </w:tc>
        <w:tc>
          <w:tcPr>
            <w:tcW w:w="16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 or more</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9"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color w:val="auto"/>
        </w:rPr>
        <w:t>Our original facility in Israel has been granted “Approved Enterprise” status, and it has elected to participate in the alternative benefits program. Under the terms of its Approved Enterprise program, the facility is located in a Zone A area and, therefore, the undistributed income from that Approved Enterprise will be tax exempt in Israel for a period of</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 years, commencing with the year in which taxable income is first generated from the relevant Approved Enterprise.</w:t>
      </w:r>
    </w:p>
    <w:p>
      <w:pPr>
        <w:spacing w:after="0" w:line="16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A company that has elected to participate in the alternative benefits program and that subsequently pays a dividend out of the income derived from the portion of its facilities that have been granted Approved Enterprise status during the tax exemption period will be subject to corporate tax in respect of the amount of dividend distributed at the rate that would have been applicable had the company not elected the alternative benefits program (generally 10% to 23%, depending on the extent to which non-Israeli shareholders hold such company’s shares). If the dividend is distributed within 12 years after the end of the benefits period (or, in the case of a foreign investor’s company, without time limitation), the dividend recipient is taxed at the reduced withholding tax rate of 20% applicable to dividends from approved enterprises, or at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lower rate under an applicable tax treaty. After this period, the withholding tax rate is 25% to 30%,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5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35"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benefits available to an Approved Enterprise are conditioned upon terms stipulated in the Investment Law and its regulations and the criteria set forth in the applicable certificate of approval. If Protalix Ltd. does not fulfill these conditions in whole or in part, the benefits can be canceled and Protalix Ltd. may be required to refund the benefits received, linked to the Israeli consumer price index with interest. In addition, if we increase our activities outside of Israel, for example, by future acquisitions, such increased activities generally may not be eligible for inclusion in Israeli tax benefit programs. We believe that Protalix Ltd. currently operates in compliance with all applicable conditions and criteria.</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several amendments have been made to the Investments Law which have enabled new alternative benefit tracks, subject to certain conditions. The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Investments Law. On December 29, 2016, Amendment 73 to the Investments Law, or the Investments Law Amendment, was published. This amendment sets new benefit tracks, inter alia, “Preferred Technological Enterprise” and “Special Preferred Technological Enterprise.” To date, we have elected not to have the Investments Law Amendment apply to our company.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Encouragement of Industrial Research, Development and Technology Innovation Law, 1984</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 date, Protalix Ltd. has received grants from the Office of the Chief Scientist of the Israeli Department of Labor, or the OCS, under the Israeli Law for the Encouragement of Industrial Research, Development and Technology Innovation, 1984, and related regulations, or the Research Law. On January 1, 2016, the Israeli government established the National Authority for Technological Innovation, or NATI, which replaced many of the functions of the OCS. For purposes of clarity, references to NATI will include the OCS. NATI grants may be made available, from time to time, to finance a portion of Protalix Ltd.’s research and development expenditures in Israel. As of December 31, 2025, NATI approved grants in respect of Protalix Ltd.’s continuing operations totaling approximately $53.2 million (before interest, as described below), measured from inception. Protalix Ltd. is required to repay up to 100% of grants actually received (plus interest at the LIBOR rate applied to the grants received on or after January 1, 1999) to NATI through payments of royalties at a rate of 3% to 6% of the revenues generated from NATI-funded project, depending on the period in which revenues were generated. As of December 31, 2025, Protalix Ltd. either paid or accrued royalties payable of $20.8 million, and Protalix Ltd.’s contingent liability to NATI with respect to grants received was approximately $32.4 million.</w:t>
      </w:r>
    </w:p>
    <w:p>
      <w:pPr>
        <w:spacing w:after="0" w:line="16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Under the Research Law, recipients of grants from NATI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150% of the grant amounts plus interest), depending on the manufacturing volume that is performed outside of Israel, as well as at a possibly increased royalty rate.</w:t>
      </w:r>
    </w:p>
    <w:p>
      <w:pPr>
        <w:spacing w:after="0" w:line="14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The payments to NATI may result in up to 600% of the grant amounts plus interest.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of any such transfer, if requested, will be granted.</w:t>
      </w:r>
    </w:p>
    <w:p>
      <w:pPr>
        <w:spacing w:after="0" w:line="16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Under the Research Law and the regulations promulgated thereunder, the NATI Council may allow the transfer outside of Israel of know-how derived from an approved program and the related manufacturing rights in limited circumstances which are currently as follows:</w:t>
      </w:r>
    </w:p>
    <w:p>
      <w:pPr>
        <w:spacing w:after="0" w:line="135" w:lineRule="exact"/>
        <w:rPr>
          <w:sz w:val="20"/>
          <w:szCs w:val="20"/>
          <w:color w:val="auto"/>
        </w:rPr>
      </w:pPr>
    </w:p>
    <w:p>
      <w:pPr>
        <w:ind w:left="1040" w:right="139" w:hanging="315"/>
        <w:spacing w:after="0" w:line="25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know-how itself to a non-affiliated third party, provided that upon such sale the owner of the know-how pays to NATI an amount, in cash, as set forth in the Research Law (and the regulations promulgated thereunder).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46" w:lineRule="exact"/>
        <w:rPr>
          <w:rFonts w:ascii="Times New Roman" w:cs="Times New Roman" w:eastAsia="Times New Roman" w:hAnsi="Times New Roman"/>
          <w:sz w:val="18"/>
          <w:szCs w:val="18"/>
          <w:color w:val="auto"/>
        </w:rPr>
      </w:pPr>
    </w:p>
    <w:p>
      <w:pPr>
        <w:jc w:val="both"/>
        <w:ind w:left="1040" w:right="13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 company which is the owner of know-how, pursuant to which the company ceases to be an Israeli company, provided that upon such sale, the owner of the know-how makes a cash payment to NATI as set forth in the Research Law (and the regulations promulgated thereunder).</w:t>
      </w:r>
    </w:p>
    <w:p>
      <w:pPr>
        <w:spacing w:after="0" w:line="148" w:lineRule="exact"/>
        <w:rPr>
          <w:rFonts w:ascii="Times New Roman" w:cs="Times New Roman" w:eastAsia="Times New Roman" w:hAnsi="Times New Roman"/>
          <w:sz w:val="18"/>
          <w:szCs w:val="18"/>
          <w:color w:val="auto"/>
        </w:rPr>
      </w:pPr>
    </w:p>
    <w:p>
      <w:pPr>
        <w:ind w:left="1040" w:right="3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exchange of know-how such that in exchange for the transfer of know-how outside of Israel, the recipient of the know-how transfers other know-how to the company in Israel in a manner in which NATI is convinced that the Israeli economy realizes a greater, overall benefit from the exchange of know-how.</w:t>
      </w:r>
    </w:p>
    <w:p>
      <w:pPr>
        <w:spacing w:after="0" w:line="13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Research Committee may, in special cases, approve the transfer of manufacture or of manufacturing rights of a product developed within the framework of the approved program or which results therefrom, outside of Israel.</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State of Israel does not own intellectual property rights in technology developed with NATI funding and there is no restriction on the export of products manufactured using technology developed with NATI funding. The technology is, however, subject to transfer of technology and manufacturing rights restrictions as described above. For a description of such restrictions, please see “</w:t>
      </w:r>
      <w:r>
        <w:rPr>
          <w:rFonts w:ascii="Times New Roman" w:cs="Times New Roman" w:eastAsia="Times New Roman" w:hAnsi="Times New Roman"/>
          <w:sz w:val="18"/>
          <w:szCs w:val="18"/>
          <w:u w:val="single" w:color="auto"/>
          <w:color w:val="0000EE"/>
        </w:rPr>
        <w:t>Risk Factors—Risks Relating to Our Operations in Israel</w:t>
      </w:r>
      <w:r>
        <w:rPr>
          <w:rFonts w:ascii="Times New Roman" w:cs="Times New Roman" w:eastAsia="Times New Roman" w:hAnsi="Times New Roman"/>
          <w:sz w:val="18"/>
          <w:szCs w:val="18"/>
          <w:color w:val="auto"/>
        </w:rPr>
        <w:t>.” NATI approval is not required for the export of any products resulting from the research or development or for the licensing of any technology in the ordinary course of business.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1969</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and incorporated in Israel, that derives 90% or more of its income in any tax year (other than specified kinds of passive income such as capital gains, interest and dividends) from an “Industrial Enterprise” operating in Israel (including Judea &amp; Samaria territories and the Gaza strip), that it owns. An “Industrial Enterprise” is defined as an enterprise whose major activity in a given tax year is industrial production.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198"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over an eight-year period for tax purposes;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equipment and buildings;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conditions, an election to file consolidated tax returns with other related Israeli Industrial Companies;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w:t>
      </w:r>
    </w:p>
    <w:p>
      <w:pPr>
        <w:spacing w:after="0" w:line="18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Benefits for Research and Development</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Under specified conditions, Israeli tax laws allow a tax deduction by a company for research and development expenditures, including capital expenditures, for the year in which such expenditures are incurred. These expenditures must relate to scientific research and development projects and must be approved by NATI.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Research and development expenses which were not approved shall be deductible over a period of three years.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of December 31, 2025, we had 226 employees, all of whom are full time employees, and of which 25 have a Ph.D. or an M.D. in their respective scientific fields. We believe that our relations with our employees are good. We believe that our success will greatly depend on our ability to identify, attract and retain capable employees. The Israeli Ministry of Labor and Welfare is authorized to make certain industry-wide collective bargaining agreements, or Expansion Orders, that apply to types of industries or employees including ours.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w:t>
      </w:r>
      <w:r>
        <w:rPr>
          <w:rFonts w:ascii="Times New Roman" w:cs="Times New Roman" w:eastAsia="Times New Roman" w:hAnsi="Times New Roman"/>
          <w:sz w:val="18"/>
          <w:szCs w:val="18"/>
          <w:u w:val="single" w:color="auto"/>
          <w:color w:val="0000EE"/>
        </w:rPr>
        <w:t>Risk Factors—We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depend upon key employees and consultants in a competitive market for skilled personnel. If we are unable to attract and retain key personnel, it could adversely affect our ability to develop and market our products</w:t>
      </w:r>
      <w:r>
        <w:rPr>
          <w:rFonts w:ascii="Times New Roman" w:cs="Times New Roman" w:eastAsia="Times New Roman" w:hAnsi="Times New Roman"/>
          <w:sz w:val="18"/>
          <w:szCs w:val="18"/>
          <w:color w:val="000000"/>
        </w:rPr>
        <w: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chart showing the number of people we employed at the times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7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Employees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89"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the State of Florida in April 1992, and reincorporated in the State of Delaware in March 2016. Protalix Ltd., our wholly-owned subsidiary and sole operating unit, is an Israeli company and was incorporated in Israel in 1993.</w:t>
      </w:r>
    </w:p>
    <w:p>
      <w:pPr>
        <w:spacing w:after="0" w:line="141" w:lineRule="exact"/>
        <w:rPr>
          <w:sz w:val="20"/>
          <w:szCs w:val="20"/>
          <w:color w:val="auto"/>
        </w:rPr>
      </w:pPr>
    </w:p>
    <w:p>
      <w:pPr>
        <w:ind w:left="60" w:right="539"/>
        <w:spacing w:after="0" w:line="217" w:lineRule="auto"/>
        <w:rPr>
          <w:sz w:val="20"/>
          <w:szCs w:val="20"/>
          <w:color w:val="auto"/>
        </w:rPr>
      </w:pPr>
      <w:r>
        <w:rPr>
          <w:rFonts w:ascii="Times New Roman" w:cs="Times New Roman" w:eastAsia="Times New Roman" w:hAnsi="Times New Roman"/>
          <w:sz w:val="18"/>
          <w:szCs w:val="18"/>
          <w:color w:val="auto"/>
        </w:rPr>
        <w:t>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registered trademark. Each of the other trademarks, trade names or service marks appearing in this Annual Report on Form 10-K belongs to its respective holder.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Our main corporate website address is http://www.protalix.com.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The Commission maintains an Internet site that contains reports, proxy and information statements and other information regarding issuers that file electronically with the Commission at</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www.sec.gov.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 Interested persons may sign up on our website to automatically receive e-mail alerts when we post financial information and issue press releases, and to receive information about upcoming events.</w:t>
      </w:r>
    </w:p>
    <w:p>
      <w:pPr>
        <w:spacing w:after="0" w:line="16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stockholder who requests a copy by addressing a request 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Snunit Street, Science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Carmiel 2161401,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Gilad Mamlok, 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other information included in this Annual Report on Form 10-K. Our business, financial condition and results of operations could be adversely affected by any of these risks.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results of operations and financial condition. Furthermore, additional risks and uncertainties are described under other captions in this Annual Report on Form 10-K. If any of these risks occur, the value of our common stock could decline. A summary of the risk factors included in this Item 1A are set forth below followed by a full set of risk factors described in greater detail. For further details on our forward-looking statements, see “</w:t>
      </w:r>
      <w:r>
        <w:rPr>
          <w:rFonts w:ascii="Times New Roman" w:cs="Times New Roman" w:eastAsia="Times New Roman" w:hAnsi="Times New Roman"/>
          <w:sz w:val="18"/>
          <w:szCs w:val="18"/>
          <w:i w:val="1"/>
          <w:iCs w:val="1"/>
          <w:u w:val="single" w:color="auto"/>
          <w:color w:val="0000EE"/>
        </w:rPr>
        <w:t>Cautionary Statement Regarding Forward-Looking Statements</w:t>
      </w:r>
      <w:r>
        <w:rPr>
          <w:rFonts w:ascii="Times New Roman" w:cs="Times New Roman" w:eastAsia="Times New Roman" w:hAnsi="Times New Roman"/>
          <w:sz w:val="18"/>
          <w:szCs w:val="18"/>
          <w:i w:val="1"/>
          <w:iCs w:val="1"/>
          <w:color w:val="auto"/>
        </w:rPr>
        <w:t>” on page 1.</w:t>
      </w:r>
    </w:p>
    <w:p>
      <w:pPr>
        <w:spacing w:after="0" w:line="1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89" w:lineRule="exact"/>
        <w:rPr>
          <w:sz w:val="20"/>
          <w:szCs w:val="20"/>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heavily on the generation of revenues from the sales of Elfabrio and Elelyso.</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products or future product candidates may cause serious adverse events or undesirable side effects.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safety issues regarding our products that were not known at the time of approval are discovered.</w:t>
      </w:r>
    </w:p>
    <w:p>
      <w:pPr>
        <w:spacing w:after="0" w:line="184" w:lineRule="exact"/>
        <w:rPr>
          <w:rFonts w:ascii="Times New Roman" w:cs="Times New Roman" w:eastAsia="Times New Roman" w:hAnsi="Times New Roman"/>
          <w:sz w:val="18"/>
          <w:szCs w:val="18"/>
          <w:color w:val="auto"/>
        </w:rPr>
      </w:pPr>
    </w:p>
    <w:p>
      <w:pPr>
        <w:ind w:left="60" w:right="139" w:firstLine="314"/>
        <w:spacing w:after="0" w:line="282"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patients, third party payors and others in the medical community might not accept and use our current or future products.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not be available for our current or future products in all territories.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9" w:lineRule="exact"/>
        <w:rPr>
          <w:sz w:val="20"/>
          <w:szCs w:val="20"/>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commercial operating history.</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supply drug substance to Chiesi or Pfizer.</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enhance our portfolio of product candidates.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providers may experience manufacturing problems.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final processing of our products and product candidates exposes us to a number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w:t>
      </w:r>
    </w:p>
    <w:p>
      <w:pPr>
        <w:spacing w:after="0" w:line="166"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by competitors may render our products or technologies obsolete or non-competitive.</w:t>
      </w:r>
    </w:p>
    <w:p>
      <w:pPr>
        <w:spacing w:after="0" w:line="184" w:lineRule="exact"/>
        <w:rPr>
          <w:rFonts w:ascii="Times New Roman" w:cs="Times New Roman" w:eastAsia="Times New Roman" w:hAnsi="Times New Roman"/>
          <w:sz w:val="18"/>
          <w:szCs w:val="18"/>
          <w:color w:val="auto"/>
        </w:rPr>
      </w:pPr>
    </w:p>
    <w:p>
      <w:pPr>
        <w:ind w:left="60" w:right="619" w:firstLine="314"/>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w:t>
      </w:r>
    </w:p>
    <w:p>
      <w:pPr>
        <w:spacing w:after="0" w:line="134"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used by our third-party contractors or consultants, may fail or suffer security breaches and expose our company to liabilities.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 carryforwards may be limited.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9" w:lineRule="exact"/>
        <w:rPr>
          <w:sz w:val="20"/>
          <w:szCs w:val="20"/>
          <w:color w:val="auto"/>
        </w:rPr>
      </w:pPr>
    </w:p>
    <w:p>
      <w:pPr>
        <w:ind w:left="60" w:right="159" w:firstLine="314"/>
        <w:spacing w:after="0" w:line="282"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the necessary U.S., EMA, or other worldwide regulatory approvals to commercialize our drug candidates in a timely manner, if at all.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regulatory approvals with respect to any drug candidate.</w:t>
      </w:r>
    </w:p>
    <w:p>
      <w:pPr>
        <w:spacing w:after="0" w:line="198" w:lineRule="exact"/>
        <w:rPr>
          <w:rFonts w:ascii="Times New Roman" w:cs="Times New Roman" w:eastAsia="Times New Roman" w:hAnsi="Times New Roman"/>
          <w:sz w:val="18"/>
          <w:szCs w:val="18"/>
          <w:color w:val="auto"/>
        </w:rPr>
      </w:pPr>
    </w:p>
    <w:p>
      <w:pPr>
        <w:ind w:left="60" w:right="21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trials are very expensive, time-consuming and difficult to design and implement and may result in unforeseen costs.</w:t>
      </w:r>
    </w:p>
    <w:p>
      <w:pPr>
        <w:spacing w:after="0" w:line="121" w:lineRule="exact"/>
        <w:rPr>
          <w:rFonts w:ascii="Times New Roman" w:cs="Times New Roman" w:eastAsia="Times New Roman" w:hAnsi="Times New Roman"/>
          <w:sz w:val="18"/>
          <w:szCs w:val="18"/>
          <w:color w:val="auto"/>
        </w:rPr>
      </w:pPr>
    </w:p>
    <w:p>
      <w:pPr>
        <w:ind w:left="60" w:right="179" w:firstLine="314"/>
        <w:spacing w:after="0" w:line="266"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w:t>
      </w:r>
    </w:p>
    <w:p>
      <w:pPr>
        <w:spacing w:after="0" w:line="135" w:lineRule="exact"/>
        <w:rPr>
          <w:rFonts w:ascii="Times New Roman" w:cs="Times New Roman" w:eastAsia="Times New Roman" w:hAnsi="Times New Roman"/>
          <w:sz w:val="18"/>
          <w:szCs w:val="18"/>
          <w:color w:val="auto"/>
        </w:rPr>
      </w:pPr>
    </w:p>
    <w:p>
      <w:pPr>
        <w:ind w:left="60" w:right="9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or patients may discontinue their participation in our clinical trials.</w:t>
      </w:r>
    </w:p>
    <w:p>
      <w:pPr>
        <w:spacing w:after="0" w:line="134" w:lineRule="exact"/>
        <w:rPr>
          <w:rFonts w:ascii="Times New Roman" w:cs="Times New Roman" w:eastAsia="Times New Roman" w:hAnsi="Times New Roman"/>
          <w:sz w:val="18"/>
          <w:szCs w:val="18"/>
          <w:color w:val="auto"/>
        </w:rPr>
      </w:pPr>
    </w:p>
    <w:p>
      <w:pPr>
        <w:ind w:left="60" w:right="29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third-party service providers in connection with our clinical trials expose us to risks.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02" w:lineRule="exact"/>
        <w:rPr>
          <w:sz w:val="20"/>
          <w:szCs w:val="20"/>
          <w:color w:val="auto"/>
        </w:rPr>
      </w:pPr>
    </w:p>
    <w:p>
      <w:pPr>
        <w:ind w:left="700" w:hanging="326"/>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operate our business, which may not be available on favorable terms, or</w:t>
      </w:r>
    </w:p>
    <w:p>
      <w:pPr>
        <w:spacing w:after="0" w:line="38"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all.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89" w:lineRule="exact"/>
        <w:rPr>
          <w:sz w:val="20"/>
          <w:szCs w:val="20"/>
          <w:color w:val="auto"/>
        </w:rPr>
      </w:pPr>
    </w:p>
    <w:p>
      <w:pPr>
        <w:ind w:left="60" w:right="139" w:firstLine="314"/>
        <w:spacing w:after="0" w:line="282" w:lineRule="auto"/>
        <w:tabs>
          <w:tab w:leader="none" w:pos="7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or enforce our intellectual property rights or secure rights to third party patents, and the terms of certain of our patents are limited or have expired.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89" w:lineRule="exact"/>
        <w:rPr>
          <w:sz w:val="20"/>
          <w:szCs w:val="20"/>
          <w:color w:val="auto"/>
        </w:rPr>
      </w:pPr>
    </w:p>
    <w:p>
      <w:pPr>
        <w:ind w:left="700" w:hanging="32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affected by military, political and economic conditions in Israel.</w:t>
      </w:r>
    </w:p>
    <w:p>
      <w:pPr>
        <w:spacing w:after="0" w:line="184" w:lineRule="exact"/>
        <w:rPr>
          <w:rFonts w:ascii="Times New Roman" w:cs="Times New Roman" w:eastAsia="Times New Roman" w:hAnsi="Times New Roman"/>
          <w:sz w:val="18"/>
          <w:szCs w:val="18"/>
          <w:color w:val="auto"/>
        </w:rPr>
      </w:pPr>
    </w:p>
    <w:p>
      <w:pPr>
        <w:jc w:val="both"/>
        <w:ind w:left="60" w:right="359" w:firstLine="314"/>
        <w:spacing w:after="0" w:line="312" w:lineRule="auto"/>
        <w:tabs>
          <w:tab w:leader="none" w:pos="70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Israeli government grants we have received for certain research and development expenditures restrict our ability to manufacture products and transfer technologies outside of Israel and require us to satisfy specified conditions.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9" w:lineRule="exact"/>
        <w:rPr>
          <w:sz w:val="20"/>
          <w:szCs w:val="20"/>
          <w:color w:val="auto"/>
        </w:rPr>
      </w:pPr>
    </w:p>
    <w:p>
      <w:pPr>
        <w:ind w:left="60" w:right="7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future sales of our common stock could reduce our stock price.</w:t>
      </w:r>
    </w:p>
    <w:p>
      <w:pPr>
        <w:spacing w:after="0" w:line="121"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changing regulation of corporate governance and public disclosure may result in additional expenses or divert management’s attention.</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our organizational documents contain certain anti-takeover provisions.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provide for limits on our stockholders’ ability to obtain a favorable judicial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forum.</w:t>
      </w:r>
    </w:p>
    <w:p>
      <w:pPr>
        <w:spacing w:after="0" w:line="166" w:lineRule="exact"/>
        <w:rPr>
          <w:rFonts w:ascii="Times New Roman" w:cs="Times New Roman" w:eastAsia="Times New Roman" w:hAnsi="Times New Roman"/>
          <w:sz w:val="18"/>
          <w:szCs w:val="18"/>
          <w:color w:val="auto"/>
        </w:rPr>
      </w:pPr>
    </w:p>
    <w:p>
      <w:pPr>
        <w:ind w:left="3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98"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heavily on the generation of revenues from the sales of Elfabrio and Elelyso. Any failure to successfully commercialize Elfabrio will have a material adverse effect on our business, results of operations, and financial condition.</w:t>
      </w:r>
    </w:p>
    <w:p>
      <w:pPr>
        <w:spacing w:after="0" w:line="13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Elfabrio, and in the past, on the development of Elelyso. Our ability to generate significant product revenues in the future from sales of Elfabrio depends on Chiesi’s successful commercialization of Elfabrio, which we do not control and may not be able to effectively influence, and on the actions and decisions of foreign regulatory authorities. Chiesi may experience delays in, or be unable to achieve, the commercial introduction of Elfabrio globally. Similarly, we generate revenues from sales of Elelyso which are depend on Pfizer’s efforts (except in Brazil), which we do not control. Sales of BioManguinhos alfataliglicerase in Brazil are controlled by Fiocruz. The successful worldwide commercialization of Elfabrio and Elelyso depends on several factors, including the following:</w:t>
      </w:r>
    </w:p>
    <w:p>
      <w:pPr>
        <w:spacing w:after="0" w:line="151" w:lineRule="exact"/>
        <w:rPr>
          <w:sz w:val="20"/>
          <w:szCs w:val="20"/>
          <w:color w:val="auto"/>
        </w:rPr>
      </w:pPr>
    </w:p>
    <w:p>
      <w:pPr>
        <w:ind w:left="60" w:right="219" w:firstLine="638"/>
        <w:spacing w:after="0" w:line="289" w:lineRule="auto"/>
        <w:tabs>
          <w:tab w:leader="none" w:pos="13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Chiesi’s commercial strategy and its execution of that strategy, including its pricing strategy, its development and maintenance of successful sales and marketing organizations, and the effectiveness of its efforts to obtain adequate third-party reimbursements and, to a lesser extent, Pfizer’s and Fiocruz’s commercial efforts;</w:t>
      </w:r>
    </w:p>
    <w:p>
      <w:pPr>
        <w:spacing w:after="0" w:line="130" w:lineRule="exact"/>
        <w:rPr>
          <w:rFonts w:ascii="Times New Roman" w:cs="Times New Roman" w:eastAsia="Times New Roman" w:hAnsi="Times New Roman"/>
          <w:sz w:val="17"/>
          <w:szCs w:val="17"/>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Chiesi and Pfizer of the scope of the countries in which our products are approved for</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w:t>
      </w:r>
    </w:p>
    <w:p>
      <w:pPr>
        <w:spacing w:after="0" w:line="166" w:lineRule="exact"/>
        <w:rPr>
          <w:rFonts w:ascii="Times New Roman" w:cs="Times New Roman" w:eastAsia="Times New Roman" w:hAnsi="Times New Roman"/>
          <w:sz w:val="18"/>
          <w:szCs w:val="18"/>
          <w:color w:val="auto"/>
        </w:rPr>
      </w:pPr>
    </w:p>
    <w:p>
      <w:pPr>
        <w:ind w:left="60" w:right="839" w:firstLine="638"/>
        <w:spacing w:after="0" w:line="282"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cGMP compliance of our manufacturing facility or establishing manufacturing arrangements with third parties;</w:t>
      </w:r>
    </w:p>
    <w:p>
      <w:pPr>
        <w:spacing w:after="0" w:line="121"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with Fabry disease and Gaucher disease to switch from other treatments to Elfabrio or Elelyso, as the case may be;</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approved treatments of Fabry disease and Gaucher disease;</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acceptable safety and efficacy profile of Elfabrio and Elelyso; and</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these Risk Factors.</w:t>
      </w:r>
    </w:p>
    <w:p>
      <w:pPr>
        <w:spacing w:after="0" w:line="198"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Any failure to continue or expand the commercialization of either Elfabrio or Elelyso globally or the experience of significant delays in doing so may have a material adverse effect on our business, results of operations, and financial condition.</w:t>
      </w:r>
    </w:p>
    <w:p>
      <w:pPr>
        <w:spacing w:after="0" w:line="131"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Any current products or future product candidates may cause serious adverse events, or SAEs, undesirable side effects or have other properties that could halt their clinical development, prevent, delay, or cause the withdrawal of their regulatory approval, limit their commercial potential, or result in material negative consequences.</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with most infused products, use of our products or any current or future product candidates could be associated with undesirable side effects or adverse events which can vary in severity and frequency. From time to time, we have observed serious adverse events in clinical studies of our products and product candidates. For example, while conducting clinical trials of Elfabrio, we have observed treatable anaphylactic reactions. Specifically with respect to Elfabrio, as indicated in the boxed warning with which it was approved by the FDA, patients treated with Elfabrio have experienced hypersensitivity reactions, including anaphylaxis. There are postmarketing requirements under the FFDCA included with the approval of Elfabrio by the FDA. For example, the FDA requires that a worldwide descriptive study be conducted that collects prospective and retrospective data in women and their offspring exposed to Elfabrio during pregnancy and/or lactation to assess risk of pregnancy and material complications, adverse effects on the developing fetus and neonate, and adverse effects on the infant. Furthermore, the approval of pharmaceutical products generally includes requirements related to the preparation of a Risk Evaluation and Mitigation Strategy, or REMS, or a risk management plan as required by the EMA, which could include a medication guide outlining the risks of such side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effects for distribution to patients, a communication plan for healthcare providers and/or other elements to assure safe use. For example, Chiesi must follow a risk management plan agreed upon with the EMA with respect to Elfabrio, which includes risk minimization measures in connection with risks associated with hypersensitivity reactions and possible medication errors in the home infusion setting.</w:t>
      </w:r>
    </w:p>
    <w:p>
      <w:pPr>
        <w:spacing w:after="0" w:line="153"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Our product candidates, if approved, may also be subject to certain post-authorization reporting requirements. As an example, the EMA has required that Chiesi submit pharmacovigilance documents intended to provide post-authorization evaluation of Elfabrio’s risk-benefit balance at defined time points after authorization, beginning within six months of authorization, and that an educational program about home administration be agreed upon with the National Competent Authority (as defined by the EMA) prior to the use of Elfabrio in the home setting.</w:t>
      </w:r>
    </w:p>
    <w:p>
      <w:pPr>
        <w:spacing w:after="0" w:line="14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Any of the foregoing, including the boxed warning, could prevent us or our commercialization partners from achieving or maintaining market acceptance of a product or a particular product candidate and could materially harm our business, results of operations, and prospects, and could adversely impact our financial condition, results of operations, ability to raise additional financing or the market price of our common stock.</w:t>
      </w:r>
    </w:p>
    <w:p>
      <w:pPr>
        <w:spacing w:after="0" w:line="13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If safety issues regarding our products that were not known at the time of approval are discovered, or if we or the applicable marketing authorization holder fails to comply with continuing U.S. and applicable foreign regulations, commercialization efforts for our products could be adversely affected and the products could lose their approval or their sales could be suspended.</w:t>
      </w:r>
    </w:p>
    <w:p>
      <w:pPr>
        <w:spacing w:after="0" w:line="153"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Drug products remain subject to continuing regulatory oversight after they are approved for marketing, including the review of additional safety information. Drugs are more widely used by patients once approved for sale and, therefore, side-effects and other problems may be observed after approval that were not seen or anticipated, or were not as prevalent or severe, during clinical trials or nonclinical studies.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our stock price to decline or experience periods of volatility and may have a material adverse effect on our business, results of operations, and financial condition.</w:t>
      </w:r>
    </w:p>
    <w:p>
      <w:pPr>
        <w:spacing w:after="0" w:line="151"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If we or the marketing authorization holder, or MAH, of any of our products fail to comply with applicable continuing regulatory requirements, we or such MAH may be subject to fines and/or criminal prosecutions, and the product may become subject to suspension or withdrawal of regulatory approval, product recalls and seizures and operating restrictions. In addition, the manufacturers we or an MAH engage to produce a product and the manufacturing facilities in which the product is made are subject to periodic review and inspection by the FDA and foreign regulatory authorities. If problems are identified during the review or inspection of these manufacturers or manufacturing facilities, it could result in the facility becoming unable to manufacture the product or a determination that inventories are not safe for commercial sale, which may have a material adverse effect on our business, results of operations, and financial condition.</w:t>
      </w:r>
    </w:p>
    <w:p>
      <w:pPr>
        <w:spacing w:after="0" w:line="147"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color w:val="auto"/>
        </w:rPr>
        <w:t>If physicians, patients, third party payors and others in the medical community do not accept and use Elfabrio, Elelyso or any other future products, our ability to generate revenue from product sales will be materially impaired.</w:t>
      </w:r>
    </w:p>
    <w:p>
      <w:pPr>
        <w:spacing w:after="0" w:line="10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Physicians and patients, and other healthcare providers, may not accept and use Elfabrio, Elelyso or any other products we may develop in the future. Future acceptance and use of any of our products will depend upon a number of factors including:</w:t>
      </w:r>
    </w:p>
    <w:p>
      <w:pPr>
        <w:spacing w:after="0" w:line="135" w:lineRule="exact"/>
        <w:rPr>
          <w:sz w:val="20"/>
          <w:szCs w:val="20"/>
          <w:color w:val="auto"/>
        </w:rPr>
      </w:pPr>
    </w:p>
    <w:p>
      <w:pPr>
        <w:ind w:left="1040" w:right="1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physicians, patients, third party payors and others in the medical community about the safety and effectiveness of Elfabrio or Elelyso, or any future product, if any;</w:t>
      </w:r>
    </w:p>
    <w:p>
      <w:pPr>
        <w:spacing w:after="0" w:line="12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our products’ approved labeling, including the boxed warning associated with Elfabrio in the United States;</w:t>
      </w:r>
    </w:p>
    <w:p>
      <w:pPr>
        <w:spacing w:after="0" w:line="134"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benefits of Elfabrio or Elelyso, or any future product, if any relative to competing products and products under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relative to competing products and products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98"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marketing and distribution efforts by Chiesi, Pfizer and any other relevant licensees and distributors;</w:t>
      </w:r>
    </w:p>
    <w:p>
      <w:pPr>
        <w:spacing w:after="0" w:line="12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Elfabrio or Elelyso, or any future product, if any, or concerning competing products and treatments;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products and competing products.</w:t>
      </w:r>
    </w:p>
    <w:p>
      <w:pPr>
        <w:spacing w:after="0" w:line="19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Elfabrio, Elelyso or any other future products are smaller than we believe they are, our revenues may be adversely affected and our business may suffer.</w:t>
      </w:r>
    </w:p>
    <w:p>
      <w:pPr>
        <w:spacing w:after="0" w:line="118"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To date, our development efforts have focused mainly on relatively rare disorders with relatively small patient populations, in particular Gaucher disease and Fabry disease. Estimation of the prevalence of these diseases are based on studies of small subsets of the population of specific geographic areas and are often inexact and prone to error.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products or product candidates are smaller than we believe they are, our revenues may be adversely affected and our business may suffer.</w:t>
      </w:r>
    </w:p>
    <w:p>
      <w:pPr>
        <w:spacing w:after="0" w:line="127"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color w:val="auto"/>
        </w:rPr>
        <w:t>Coverage and reimbursement may not be available for Elfabrio, Elelyso, or any other future products in all territories, which could diminish sales of our products or adversely affect the profitably of such sales.</w:t>
      </w:r>
    </w:p>
    <w:p>
      <w:pPr>
        <w:spacing w:after="0" w:line="13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Market acceptance and sales of Elfabrio, Elelyso or any other future products, if any,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individual governments and other third-party payors is a time consuming (six to 12 months or longer) and costly process that requires our collaborators or us, as the case may be, to provide supporting scientific, clinical and cost-effectiveness data for the use of our products, if and when approved, to every payor. Data sufficient to gain acceptance with respect to coverage and reimbursement might not be available, or post-marketing studies may be required in order to demonstrate the cost-effectiveness of approved products, if any, to such payors’ satisfaction. Such studies might require our collaborators or us to commit a significant amount of management time and financial and other resources.</w:t>
      </w:r>
    </w:p>
    <w:p>
      <w:pPr>
        <w:spacing w:after="0" w:line="15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a payor determines that an approved product is eligible for reimbursement, the payor may impose coverage limitations that preclude payment for some uses that are approved by the FDA or other regulatory authorities. For example, the U.S. Inflation Reduction Act allows Medicare to negotiate the prices of the prescription drugs. Such initiatives and legislation may cause added pricing pressure on our products. Proposals that could impact coverage and reimbursement of our products, including giving states more flexibility to manage drugs covered under the Medicaid program and permitting the re-importation of prescription medications from other countries, could have a material adverse effect by limiting our products’ use and coverage. To the extent that private insurers or managed care programs in the United States or elsewhere follow Medicaid coverage and payment developments, they could use the enactment of these increased rebates to exert pricing pressure on our products, and the adverse effects may be magnified by their adoption of lower payment schedules. In addition, full reimbursement may not be available for high priced products. Moreover, eligibility for coverage does not imply that any approved product will be reimbursed in all cases or at a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that allows us to make a profit or even cover our costs. Limited reimbursement amounts may reduce the demand for, or the price of, Elfabrio, Elelyso or any other future products. If coverage and reimbursement are not available or are available only to limited levels, the sales of Elfabrio, Elelyso or other future products, if any, may be diminished or we may not be able to sell such products profitably.</w:t>
      </w:r>
    </w:p>
    <w:p>
      <w:pPr>
        <w:spacing w:after="0" w:line="153"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addition, coverage or reimbursement generally may be revoked or modified. For example, pharmaceutical product reimbursement can change relatively easily because payers control coverage. In the EU, coverage or reimbursement decisions face the potential of revocation or modification through reassessment, price renegotiation or conditional reimbursement frameworks. Any renovation or reduction in the coverage or reimbursement of our products may have a material adverse effect on our business, results of operations, and financial condition.</w:t>
      </w:r>
    </w:p>
    <w:p>
      <w:pPr>
        <w:spacing w:after="0" w:line="143"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35"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4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All marketing activities associated with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4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pacing w:after="0" w:line="1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43" w:lineRule="exact"/>
        <w:rPr>
          <w:sz w:val="20"/>
          <w:szCs w:val="20"/>
          <w:color w:val="auto"/>
        </w:rPr>
      </w:pPr>
    </w:p>
    <w:p>
      <w:pPr>
        <w:ind w:left="60" w:right="339"/>
        <w:spacing w:after="0" w:line="289" w:lineRule="auto"/>
        <w:rPr>
          <w:sz w:val="20"/>
          <w:szCs w:val="20"/>
          <w:color w:val="auto"/>
        </w:rPr>
      </w:pPr>
      <w:r>
        <w:rPr>
          <w:rFonts w:ascii="Times New Roman" w:cs="Times New Roman" w:eastAsia="Times New Roman" w:hAnsi="Times New Roman"/>
          <w:sz w:val="17"/>
          <w:szCs w:val="17"/>
          <w:color w:val="auto"/>
        </w:rPr>
        <w:t>We are unable to predict whether we could be subject to actions under any of these or other fraud and abuse laws, or the impact of such actions. Moreover, to the extent that Elfabrio, Elelyso or any other future products, if any, are sold in a foreign country, we and our collaborators may be subject to similar foreign laws and regulations. If we or any of our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commercial operating history which may limit the ability of investors to make an informed investment decision.</w:t>
      </w:r>
    </w:p>
    <w:p>
      <w:pPr>
        <w:spacing w:after="0" w:line="11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Elfabrio and Elelyso are our only commercial products both of which are marketed by our commercialization partners. Our operations to date have been limited to acquiring, developing and securing our proprietary technology and undertaking, through third parties, preclinical and clinical trials of our drug candidates and advancing our drug candidates through the regulatory approval processes. These operations provide a limited basis for investors to assess our ability to commercialize our drug candidates and whether to invest in our company.</w:t>
      </w:r>
    </w:p>
    <w:p>
      <w:pPr>
        <w:spacing w:after="0" w:line="15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Any failure by us to supply drug substance to Chiesi or Pfizer may have a material adverse effect on our business, results of operations, and financial condition.</w:t>
      </w:r>
    </w:p>
    <w:p>
      <w:pPr>
        <w:spacing w:after="0" w:line="11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agreed to sell drug substance to Pfizer and Chiesi for the production of Elelyso and Elfabrio, respectively. With respect to Elelyso, our drug substance supply commitment is until 2030, subject to certain terms and conditions. As part of that obligation, we agreed to substantial financial penalties if we fail to comply with the supply commitments, or are delayed in doing so. The amounts of the penalties depend on when any such failure occurs and for how long it persists, if at all, and other considerations. Any failure to comply with the supply commitments to Pfizer and/or Chiesi may have a material adverse effect on our business, results of operations, and financial condition.</w:t>
      </w:r>
    </w:p>
    <w:p>
      <w:pPr>
        <w:spacing w:after="0" w:line="143" w:lineRule="exact"/>
        <w:rPr>
          <w:sz w:val="20"/>
          <w:szCs w:val="20"/>
          <w:color w:val="auto"/>
        </w:rPr>
      </w:pPr>
    </w:p>
    <w:p>
      <w:pPr>
        <w:ind w:left="60" w:right="559"/>
        <w:spacing w:after="0" w:line="291" w:lineRule="auto"/>
        <w:rPr>
          <w:sz w:val="20"/>
          <w:szCs w:val="20"/>
          <w:color w:val="auto"/>
        </w:rPr>
      </w:pPr>
      <w:r>
        <w:rPr>
          <w:rFonts w:ascii="Times New Roman" w:cs="Times New Roman" w:eastAsia="Times New Roman" w:hAnsi="Times New Roman"/>
          <w:sz w:val="17"/>
          <w:szCs w:val="17"/>
          <w:b w:val="1"/>
          <w:bCs w:val="1"/>
          <w:color w:val="auto"/>
        </w:rPr>
        <w:t>Our strategy, in certain cases, is to enter into collaboration agreements with third parties to develop product candidates. Failure to enter into such agreements, or non-compliance by us or our collaborators with such agreements, may have a material adverse effect on our business, results of operations, and financial condition.</w:t>
      </w:r>
    </w:p>
    <w:p>
      <w:pPr>
        <w:spacing w:after="0" w:line="13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strategy, in certain cases, is to enter into arrangements with pharmaceutical companies to develop additional product candidates. Our future revenues may depend, in part, on our ability to enter into and maintain arrangements with our existing partners and other companies having sales, marketing and distribution capabilities and the ability of such companies to successfully market and pharmaceutical products on a global scale. Under these arrangements, we may grant to our partners rights to license and commercialize pharmaceutical products developed under the applicable agreements, as we have done with Elfabrio and Elelyso. Commercialization, marketing, distribution and other similar alliances with respect to our products and product candidates will subject us to a number of risks. We may be required to relinquish important rights to our products or product candidates, and the rights of our partners may limit our flexibility in considering alternatives for the commercialization of our products and product candidates. Our partners may control key decisions relating to the development of the products and we may depend on our partners’ expertise and dedication of sufficient time and resources to develop and commercialize our products and product candidates. Our partners may experience financial difficulties which adversely affect their efforts with respect to our product and product candidates. If we or any of our current or future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49"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color w:val="auto"/>
        </w:rPr>
        <w:t>Fiocruz is not complying, and we expect they will continue to not comply, with the terms and conditions of the Brazil Agreement.</w:t>
      </w:r>
    </w:p>
    <w:p>
      <w:pPr>
        <w:spacing w:after="0" w:line="118" w:lineRule="exact"/>
        <w:rPr>
          <w:sz w:val="20"/>
          <w:szCs w:val="20"/>
          <w:color w:val="auto"/>
        </w:rPr>
      </w:pPr>
    </w:p>
    <w:p>
      <w:pPr>
        <w:ind w:left="60" w:right="339"/>
        <w:spacing w:after="0" w:line="289" w:lineRule="auto"/>
        <w:rPr>
          <w:sz w:val="20"/>
          <w:szCs w:val="20"/>
          <w:color w:val="auto"/>
        </w:rPr>
      </w:pPr>
      <w:r>
        <w:rPr>
          <w:rFonts w:ascii="Times New Roman" w:cs="Times New Roman" w:eastAsia="Times New Roman" w:hAnsi="Times New Roman"/>
          <w:sz w:val="17"/>
          <w:szCs w:val="17"/>
          <w:color w:val="auto"/>
        </w:rPr>
        <w:t>We do not control and may not be able to effectively influence Fiocruz’s ability to distribute BioManguinhos alfataliglicerase in Brazil. Fiocruz has not complied with the purchase requirements of the Brazil Agreement in the past, and we expect Fiocruz will continue to not comply and may otherwise materially breach the agreement. Continued non-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compliance may result in our decision to terminate the agreement, and may have a material adverse effect on our business, results of operations, and financial condition.</w:t>
      </w:r>
    </w:p>
    <w:p>
      <w:pPr>
        <w:spacing w:after="0" w:line="13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face the risk of lower than anticipated purchases of BioManguinhos alfataliglicerase by the Brazilian MoH. In addition, we may fail to supply the intended amounts on time, if at all. We also cannot accurately predict the amount of revenues we will generate under the Brazil Agreement in future periods, if any. Any failure by the Brazilian MoH to purchase BioManguinhos alfataliglicerase or by Fiocruz to distribute BioManguinhos alfataliglicerase in Brazil, or the experience of significant delays in any of the foregoing, may have a material adverse effect on our business, results of operations, and financial condition.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have limited experience in selling, marketing or distributing products and limited internal capability to do so.</w:t>
      </w:r>
    </w:p>
    <w:p>
      <w:pPr>
        <w:spacing w:after="0" w:line="189"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We currently have very limited sales, marketing or distribution capabilities and no experience in building a sales force and distribution capabilities. Currently, the distribution of our commercial products are performed by Pfizer, Chiesi, and Fiocruz (in Brazil). The commercialization of a product requires the commitment of significant financial and managerial resources to develop a marketing and sales force with technical expertise and with supporting distribution capabilities. If we elect to commercialize our products directly and without strategic partners we may be unable to recruit and retain adequate numbers of effective sales and marketing personnel. In addition, such sales personnel might not access an adequate number of physicians or persuade them to prescribe our products, or may lack complementary products to offer to such physicians. Commercialization by such sales personnel may expose our company to unforeseen costs and expenses.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are unable to enhance our portfolio of product candidates, our business may be adversely affected.</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 key element of our business strategy is to establish a portfolio of product candidates, particularly in the rare and orphan disease spaces, as targets for development and eventual commercialization. We seek to do so through our internal research programs and strategic collaborations. Research programs to identify new product candidates require substantial technical, financial and human resources, whether or not any product candidates are ultimately identified. A research program may initially show promise in identifying a potential product candidate, yet fail to immediately yield the product candidate for clinical development for many reasons, including the following:</w:t>
      </w:r>
    </w:p>
    <w:p>
      <w:pPr>
        <w:spacing w:after="0" w:line="147"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not capable of being produced in commercial quantities at an acceptable cost, or at all;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84"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after further study, be shown to have harmful side effects or other characteristics that indicate it is unlikely to be effective or otherwise does not meet applicable regulatory approval.</w:t>
      </w:r>
    </w:p>
    <w:p>
      <w:pPr>
        <w:spacing w:after="0" w:line="9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failure or delay in the establishment of a portfolio of product candidates may have a material adverse effect on our business, results of operations, and financial condition.</w:t>
      </w:r>
    </w:p>
    <w:p>
      <w:pPr>
        <w:spacing w:after="0" w:line="131" w:lineRule="exact"/>
        <w:rPr>
          <w:sz w:val="20"/>
          <w:szCs w:val="20"/>
          <w:color w:val="auto"/>
        </w:rPr>
      </w:pPr>
    </w:p>
    <w:p>
      <w:pPr>
        <w:ind w:left="60" w:right="739"/>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our products is an exacting and complex process, and any manufacturing problems encountered by us or certain of our providers may have a material adverse effect on our business, results of operations, and financial condition.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services and materials providers, including our fill and finish service providers, may face manufacturing or quality control problems causing product production and shipment delays or a situation where we or the provider may not be able to maintain compliance with the FDA’s cGMP requirements, or those of foreign regulators, necessary to continue manufacturing. We or any such third-party manufacturer might be unable to formulate and manufacture our products in the volume and of the quality required to meet our preclinical, clinical and commercial needs. If we engage any contract manufacturers, such manufacturers may not perform as agreed or may not remain in the contract manufacturing business for the time required to supply our preclinical, clinical or commercial needs. In addition, we and contract manufacturers are subject to the rules and regulations of the FDA and comparable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foreign regulatory authorities and face the risk that any of those authorities may find that they are not in compliance with applicable regulations. To date, our current facility has passed audits by the FDA and a number of other regulatory authorities but remains subject to audit by other foreign regulatory authorities. There can be no assurance that we or our contract manufacturers will be able to comply, or continue to comply, with FDA or foreign regulatory manufacturing requirements, and the failure to so comply, or continue to comply, may have a material adverse effect on our business, results of operations, and financial condition.</w:t>
      </w:r>
    </w:p>
    <w:p>
      <w:pPr>
        <w:spacing w:after="0" w:line="156"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parties for final processing of Elfabrio, Elelyso, and our other product candidates, which exposes us to a number of risks that may delay development, regulatory approval, and commercialization of Elfabrio, Elelyso, or our other product candidates or result in higher product costs.</w:t>
      </w:r>
    </w:p>
    <w:p>
      <w:pPr>
        <w:spacing w:after="0" w:line="13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have no experience in the final filling and freeze drying steps of the drug manufacturing process. We rely on third-party service providers in the United States and Europe to perform fill and finish activities for Elelyso and Elfabrio, and have engaged other parties for our other product candidates. The number of potential fill and finish services providers is limited and we face the risk of being unable to identify manufacturers and/or replacement manufacturers on acceptable terms or at all. In addition, the FDA and other regulatory authorities, as applicable, must approve any manufacturer and/or replacement manufacturer, including us.</w:t>
      </w:r>
    </w:p>
    <w:p>
      <w:pPr>
        <w:spacing w:after="0" w:line="14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Any failure to identify and maintain fill and finish service providers could delay our preclinical and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4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1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Our products compete, and our products candidates will compete, with existing therapies and therapies under development by our competitors. Our commercial opportunities may be reduced or eliminated if our competitors develop and market products that are less expensive, more effective or safer than our products. Other companies have drug candidates in various stages of preclinical or clinical development to treat diseases for which we are also seeking to develop products. Some of these potential competing drugs are further advanced in development than our drug candidates and may be commercialized earlier. See “</w:t>
      </w:r>
      <w:r>
        <w:rPr>
          <w:rFonts w:ascii="Times New Roman" w:cs="Times New Roman" w:eastAsia="Times New Roman" w:hAnsi="Times New Roman"/>
          <w:sz w:val="18"/>
          <w:szCs w:val="18"/>
          <w:u w:val="single" w:color="auto"/>
          <w:color w:val="0000EE"/>
        </w:rPr>
        <w:t>Business – Competition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49"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and other regulatory authorities;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w:t>
      </w:r>
    </w:p>
    <w:p>
      <w:pPr>
        <w:spacing w:after="0" w:line="18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products which would have a material adverse effect on our business,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3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 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have a material adverse effect on our business, results of operations, and financial condition.</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color w:val="auto"/>
        </w:rPr>
        <w:t>If we acquire companies, products, or technologies, we may face integration risks and costs associated with those acquisitions that could potentially negatively impact our business, results of operations and financial condition.</w:t>
      </w:r>
    </w:p>
    <w:p>
      <w:pPr>
        <w:spacing w:after="0" w:line="95"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results of operations, and financial condition.</w:t>
      </w:r>
    </w:p>
    <w:p>
      <w:pPr>
        <w:spacing w:after="0" w:line="157"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1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especially our President and Chief Executive Officer, Dror Bashan, as well as the Chairman of our Board of Directors, Eliot R. Forster, Ph.D.,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30 to 180 days. The loss of any of these persons’ services may adversely affect our ability to develop and market our products and obtain necessary regulatory approvals. Further, we do not maintain key-man life insurance.</w:t>
      </w:r>
    </w:p>
    <w:p>
      <w:pPr>
        <w:spacing w:after="0" w:line="14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56"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color w:val="auto"/>
        </w:rPr>
        <w:t>Under current U.S. and Israeli laws, we may not be able to enforce employees’ covenants not to compete and therefore may be unable to prevent our competitors from benefiting from the expertise of some of our former employees.</w:t>
      </w:r>
    </w:p>
    <w:p>
      <w:pPr>
        <w:spacing w:after="0" w:line="134"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laws, we may be unable to enforce these agreements against most of our employees and it may be difficult for us to restrict our competitors from gaining the expertise our former employees acquired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2025,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5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However, for as long as we are a non-accelerated filer, our independent registered public accounting firm will not be required to attest to the effectiveness of our internal control over financial reporting pursuant to Section 404. An independent assessment of the effectiveness of our internal control could identify deficiencies in internal control over financial reporting that our management’s assessment might not. Undetected material weaknesses in our internal controls could lead to financial statement restatements and require us to incur the expense of remediation.</w:t>
      </w:r>
    </w:p>
    <w:p>
      <w:pPr>
        <w:spacing w:after="0" w:line="143"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used by our third-party contractors or consultants, may fail or suffer security breaches, resulting in liability and harm to our reputation, which could negatively affect our business, results of operation and financial condition. We may face liability if we breach our obligations related to the protection, security, nondisclosure of confidential information or disclosure of sensitive data or fail or are perceived to fail to comply with applicable data protection laws and regulations, or consumer protection laws, regulations and standards.</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 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Further, the global data protection landscape is rapidly evolving, and we are or may become subject to numerous local and foreign laws, requirements, and regulations governing the collection, use, disclosure, retention, and security of personal data, such as information that we may collect about individuals worldwide.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local or foreign laws or regulation, our internal policies and procedures or our contracts governing our processing of personal information could result in negative publicity, government investigations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and enforcement actions, claims by third parties and damage to our reputation, any of which could have a material adverse effect on our business, results of operations, and financial condition.</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failure to adhere to or successfully implement processes in response to changing regulatory requirements in this area could result in legal liability or impairment to our reputation in the marketplace, which could have a material adverse effect on our business, results of operations, and financial condition.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be subject to securities class action litigation.</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Any such litigation, could result in substantial costs and divert management’s attention and resources, which could have a material adverse effect on our business, results of operations, and financial condition.</w:t>
      </w:r>
    </w:p>
    <w:p>
      <w:pPr>
        <w:spacing w:after="0" w:line="15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product liability claims are brought against us, it may result in reduced demand for our products and product candidates or damages that exceed our insurance coverage.</w:t>
      </w:r>
    </w:p>
    <w:p>
      <w:pPr>
        <w:spacing w:after="0" w:line="118" w:lineRule="exact"/>
        <w:rPr>
          <w:sz w:val="20"/>
          <w:szCs w:val="20"/>
          <w:color w:val="auto"/>
        </w:rPr>
      </w:pPr>
    </w:p>
    <w:p>
      <w:pPr>
        <w:jc w:val="both"/>
        <w:ind w:left="60" w:right="259"/>
        <w:spacing w:after="0" w:line="255" w:lineRule="auto"/>
        <w:rPr>
          <w:sz w:val="20"/>
          <w:szCs w:val="20"/>
          <w:color w:val="auto"/>
        </w:rPr>
      </w:pPr>
      <w:r>
        <w:rPr>
          <w:rFonts w:ascii="Times New Roman" w:cs="Times New Roman" w:eastAsia="Times New Roman" w:hAnsi="Times New Roman"/>
          <w:sz w:val="18"/>
          <w:szCs w:val="18"/>
          <w:color w:val="auto"/>
        </w:rPr>
        <w:t>The use and marketing of our products and product candidates, including in connection with clinical trials, exposes us to product liability or similar claims if the use or misuse of those products or product candidates cause injury or disease, or results in adverse effects. We presently carry product liability and clinical trial liability insurance with coverages of up to $10.0 million per occurrence and $10.0 million in the aggregate, an amount we consider reasonable and customary.</w:t>
      </w:r>
    </w:p>
    <w:p>
      <w:pPr>
        <w:spacing w:after="0" w:line="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However, this insurance coverage includes various deductibles, limitations and exclusions from coverage, and in any event might not fully cover any potential claims. In the future, we may need to obtain additional product liability and clinical trial liability coverage;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the availability of funds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ability to utilize net operating loss carryforwards may be limited.</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NOL carryforwards as of December 31, 2025, are equal to approximately $219.8 million, of which approximately $20.0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or any other limitation on our utilization of NOLs, could have a material adverse effect on our business, results of operations, and financial condition.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structure may create U.S. federal income tax inefficiencies.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subsidiaries which could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are a holding company with no operations of our own.</w:t>
      </w:r>
    </w:p>
    <w:p>
      <w:pPr>
        <w:spacing w:after="0" w:line="20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Accordingly, our ability to conduct our operations, service any current or future debt and pay dividends, if any, is dependent upon the earnings from the business conducted by</w:t>
      </w: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Protalix Ltd. The distribution of those earnings or advances or other distributions of funds by our subsidiaries to us, as well as our receipt of such funds, are contingent upon the earnings of Protalix Ltd. and are subject to various business considerations and U.S. and Israeli laws. If Protalix Ltd. is unable to make sufficient distributions or advances to us, or if there are limitations on our ability to receive such distributions or advances, we may not have the cash resources necessary to conduct our corporate operations or service our debt which would have a material adverse effect on our business, results of operations, and financial condition.</w:t>
      </w:r>
    </w:p>
    <w:p>
      <w:pPr>
        <w:spacing w:after="0" w:line="14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Outbreaks of contagious disease or similar public health threats could materially and adversely affect our business, results of operations and financial condition.</w:t>
      </w:r>
    </w:p>
    <w:p>
      <w:pPr>
        <w:spacing w:after="0" w:line="118"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Outbreaks of contagious disease or other adverse public health developments worldwide could have a material adverse effect on our business, financial condition and results of operations. Outbreaks of contagious disease or other adverse public health developments could affect our business in a number of ways, including but not limited to:</w:t>
      </w:r>
    </w:p>
    <w:p>
      <w:pPr>
        <w:spacing w:after="0" w:line="149"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restrictions on our employees’ ability to work effectively due to illness;</w:t>
      </w:r>
    </w:p>
    <w:p>
      <w:pPr>
        <w:spacing w:after="0" w:line="184"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or disruptions at our facilities or the facilities of our contract manufacturers or suppliers could adversely affect our ability to timely meet our customer’s orders and negatively impact our supply chain;</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contagious disease could cause delays or disruptions in our supply chain;</w:t>
      </w:r>
    </w:p>
    <w:p>
      <w:pPr>
        <w:spacing w:after="0" w:line="198" w:lineRule="exact"/>
        <w:rPr>
          <w:rFonts w:ascii="Times New Roman" w:cs="Times New Roman" w:eastAsia="Times New Roman" w:hAnsi="Times New Roman"/>
          <w:sz w:val="18"/>
          <w:szCs w:val="18"/>
          <w:color w:val="auto"/>
        </w:rPr>
      </w:pPr>
    </w:p>
    <w:p>
      <w:pPr>
        <w:ind w:left="1040" w:right="319" w:hanging="315"/>
        <w:spacing w:after="0" w:line="289" w:lineRule="auto"/>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to meet their respective obligations to us, or significant disruptions in their ability to do so, which may be caused by their own financial or operational difficulties, could have an adverse impact on our business, financial condition or results of operations; and</w:t>
      </w:r>
    </w:p>
    <w:p>
      <w:pPr>
        <w:spacing w:after="0" w:line="117" w:lineRule="exact"/>
        <w:rPr>
          <w:rFonts w:ascii="Times New Roman" w:cs="Times New Roman" w:eastAsia="Times New Roman" w:hAnsi="Times New Roman"/>
          <w:sz w:val="17"/>
          <w:szCs w:val="17"/>
          <w:color w:val="auto"/>
        </w:rPr>
      </w:pPr>
    </w:p>
    <w:p>
      <w:pPr>
        <w:ind w:left="1040" w:right="3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contagious disease or other adverse public health developments could also exacerbate other risks discussed elsewhere in these Risk Factors, any of which could have a material adverse effect on us.</w:t>
      </w:r>
    </w:p>
    <w:p>
      <w:pPr>
        <w:spacing w:after="0" w:line="117"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costs and business operations could be adversely affected by climate-related events and increasing regulatory requirements and security.</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effects of climate change (such as drought, flooding, heat waves, wildfires, increased storm severity, and sea level rise, etc.) could affect our ability to continue our operations and cause delays in the development of our existing drug candidates, manufacturing and shipment, all of which could cause reputational harm or otherwise have an adverse effect on our business, results of operation and financial condition. In addition, the impacts of climate change on the global economy and our industry are rapidly evolving. Changing market dynamics, global policy developments and the increasing frequency and impact of extreme weather events on critical infrastructure across different countries could have the potential to disrupt our business, the business of our third-party suppliers and the business of our customers, and may cause us to experience higher attrition, losses, and additional costs to maintain or resume operations. We also expect to face increasing regulatory requirements and regulatory scrutiny related to climate matters, resulting in higher associated compliance costs. Failure to uphold, meet, or make timely forward progress against our public commitments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and goals related to climate action could adversely affect our reputation with suppliers and customers, financial performance, or the ability to recruit and retain talent.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5"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3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To commercialize our drug candidates worldwide, we need FDA approval, EMA approval, and approvals from other countries’ regulators to commercialize our drug candidates elsewhere, as applicable. Approvals of marketing authorization applications worldwide generally requires that we demonstrate that the subject drug candidate is safe and effective for its intended use which requires significant research, animal or preclinical trials and human or clinical tests trials. Satisfaction of the regulatory requirements of the FDA, EMA, and other countries’ regulatory authorities typically takes many years, depends upon the type, complexity and novelty of the drug candidate and requires substantial resources for research, development and testing. The results of preclinical and clinical trials of our product candidates may fail to demonstrate that the candidates are safe and effective for their intended uses.</w:t>
      </w:r>
    </w:p>
    <w:p>
      <w:pPr>
        <w:spacing w:after="0" w:line="16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4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regulatory approval for such product candidate will be obtained or maintained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regulatory submission, preclinical studies, clinical trials,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or our partners intend to charge for our products is also subject to approval.</w:t>
      </w:r>
    </w:p>
    <w:p>
      <w:pPr>
        <w:spacing w:after="0" w:line="15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Failure to obtain approval of the FDA, EMA, or comparable foreign authorities of any of our product candidates in a timely manner, if at all, will severely undermine our business, results of operations, and financial condition by decreasing our ability to generate product revenues from the sales of such product candidates. If we or our partners fail to comply with the regulatory requirements in international markets and/or receive applicable marketing approvals, the target market will be reduced and our ability to realize the full market potential of our product candidates will be harmed, which may have a material adverse effect on our prospects, business, results of operations, and financial condition.</w:t>
      </w:r>
    </w:p>
    <w:p>
      <w:pPr>
        <w:spacing w:after="0" w:line="156"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18"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39"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monetary penalties;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8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FDA’s or other foreign regulatory authorities’ approving, or the refusal of any regulatory authority to approve, any drug candidate;</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manufacturing or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pacing w:after="0" w:line="18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135"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FDA certain adverse experiences associated with use of the drug candidate;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approvals for certain modifications to the drug candidate or its labeling or claims.</w:t>
      </w:r>
    </w:p>
    <w:p>
      <w:pPr>
        <w:spacing w:after="0" w:line="19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47"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Delays in obtaining regulatory approvals with respect to any drug candidate may materially and adversely affect our prospects, business, results of operations and financial condition.</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Delays in obtaining regulatory approvals with respect to any drug candidate may:</w:t>
      </w:r>
    </w:p>
    <w:p>
      <w:pPr>
        <w:spacing w:after="0" w:line="185"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such drug candidate;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any regulatory-related milestone payments payable under outstanding collaboration agreements;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perform costly procedures with respect to such drug candidate;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diminish any competitive advantages that we may have with respect to such drug candidate.</w:t>
      </w:r>
    </w:p>
    <w:p>
      <w:pPr>
        <w:spacing w:after="0" w:line="185"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Delays in the approval process for any drug candidate may have a material adverse effect upon our prospects, business, results of operations, and financial condition.</w:t>
      </w:r>
    </w:p>
    <w:p>
      <w:pPr>
        <w:spacing w:after="0" w:line="131"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Preclinical and clinical trials are very expensive, time-consuming, and difficult to design and implement and may result in unforeseen costs, which may have a material adverse effect on our business, results of operations, and financial condition.</w:t>
      </w:r>
    </w:p>
    <w:p>
      <w:pPr>
        <w:spacing w:after="0" w:line="13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Preclinical and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could cause us to abandon or repeat preclinical studies or clinical trials. The clinical trial process is also time-consuming. Failure or delay in the commencement or completion of our clinical trials may be caused by several factors, including:</w:t>
      </w:r>
    </w:p>
    <w:p>
      <w:pPr>
        <w:spacing w:after="0" w:line="143"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particularly with respect to trials of rare diseases;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98"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applicable regulatory bodies over our trial protocols, the interpretation of data from preclinical studies or clinical trials or conduct and control of clinical trials;</w:t>
      </w:r>
    </w:p>
    <w:p>
      <w:pPr>
        <w:spacing w:after="0" w:line="12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patient population participating in a clinical trial may not be sufficiently broad or representative to assess efficacy and safety for our target population;</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98"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and institutional review boards to follow our clinical protocols;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PRX-115 and PRX-119 are still in clinical and preclinical development and their risk of failure is high. Failure or delay can occur at any time during the preclinical or clinical trial process. Success in preclinical testing and early clinical trials does not ensure that later clinical trials will generate the same results or otherwise provide adequate data to demonstrate the safety and effectiveness of a product candidate. Preclinical tests and Phase 1 and Phase 2 clinical trials are primarily designed to test safety, to study pharmacokinetics and pharmacodynamics, and to understand the side effects of product candidates at various doses and regimens. Success in preclinical studies and early clinical trials does not ensure that later large-scale efficacy trials will be successful nor does it predict final results. Our product candidates may fail to show the required safety and effectiveness through clinical trials despite positive results in preclinical studies or having successfully advanced through initial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Any failure or delay in commencement or completion of any clinical trials of our product candidates will have a material adverse effect on our business, results of operations, and financial condition. In addition, we, the FDA or other regulatory authorities may suspend a clinical trial at any time if it appears that participants in the trial are being exposed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5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 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BLAs and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4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14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published.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15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14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Some of the diseases or disorders that our drug candidates under evaluation are intended to treat are relatively rare and we expect only a subset of the patients with these diseases to be eligible for our clinical trials. Our clinical trials generally mandate that a patient cannot be involved in another clinical trial for the same indication. Therefore, subjects that participate in ongoing clinical trials for products that are competitive with our drug candidates are not available for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clinical trials. An inability to enroll a sufficient number of patients for any of our clinical trials would result in significant delays or may require us to abandon one or more clinical trials altogether. In addition, patients who enroll in our clinical trials may discontinue their participation at any time during the study as a result of a number of factors, related to the trials or not, including withdrawing their consent, experiencing adverse clinical events, which may or may not be judged related to our drug candidates, or due to personal reasons, such as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5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Our clinical trials depend upon third-party service providers and, accordingly, the results of our clinical trials and such research activities are subject to delays and other risks which are, to a certain extent, beyond our control, which could impair our clinical development programs and our competitive position.</w:t>
      </w:r>
    </w:p>
    <w:p>
      <w:pPr>
        <w:spacing w:after="0" w:line="134"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prioritize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pacing w:after="0" w:line="150"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color w:val="auto"/>
        </w:rPr>
        <w:t>We have limited experience in regulatory affairs compared to our larger competitors, and some of our drug candidates may be based on new technologies. These factors may affect our ability or the time we require to obtain necessary regulatory approvals.</w:t>
      </w:r>
    </w:p>
    <w:p>
      <w:pPr>
        <w:spacing w:after="0" w:line="148"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We have limited experience in filing and prosecuting the applications necessary to gain regulatory approvals for medical devices and drug candidates compared to certain large, multinational pharmaceutical companies with whom we compete. Moreover, some of the drug candidates that are likely to result from our development programs may be based on new technologies that have not been extensively tested in humans. The regulatory requirements governing these types of drug candidates may not be well defined or more rigorous than for conventional products. As a result, we may experience a longer regulatory process in obtaining regulatory approvals of any products that we develop, which may have a material adverse effect on our business, results of operations, and financial condition.</w:t>
      </w:r>
    </w:p>
    <w:p>
      <w:pPr>
        <w:spacing w:after="0" w:line="144"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color w:val="auto"/>
        </w:rPr>
        <w:t>Uncertainty surrounding and future changes to healthcare law in the United States and other United States Government related mandates may adversely affect our business.</w:t>
      </w:r>
    </w:p>
    <w:p>
      <w:pPr>
        <w:spacing w:after="0" w:line="11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the U.S. and in some foreign jurisdictions there has been, and continues to be, significant legislative and regulatory changes and proposed changes regarding the healthcare system that could prevent or delay marketing approval of product candidates, restrict or regulate post-approval activities, and affect the profitable sale of product candidates. This legislation and regulatory activity have created uncertainty as to whether the industry will continue to experience fundamental change as a result of regulatory reform or legislative reform. There is significant interest among legislators and regulators in promoting changes in healthcare systems with the stated goals of containing healthcare costs, improving quality and/or expanding access.</w:t>
      </w:r>
    </w:p>
    <w:p>
      <w:pPr>
        <w:spacing w:after="0" w:line="16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In the coming years, additional changes could be made to U.S. governmental healthcare programs and U.S. healthcare laws that could significantly impact the success of our products. We cannot predict what other legislation relating to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business or to the health care industry may be enacted, or what effect such legislation or other regulatory actions may have on our business, prospects, operating results, and financial condition.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meet the continued market capitalization-based listing requirement or other continued listing requirements of the NYSE American.</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 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 affect the liquidity of our common stock which would have a material adverse effect on our business, results of operations, and financial condition.</w:t>
      </w:r>
    </w:p>
    <w:p>
      <w:pPr>
        <w:spacing w:after="0" w:line="16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capital to operate our business, which may not be available on favorable terms, or at all, and which will have a dilutive effect on our stockholders.</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Although for the years ended December 31, 2023 and 2024, we ended the fiscal year with positive net incomes, we generally have completed our fiscal years, including the year ended December 31, 2025, with a net loss as we were focused on the development of Elelyso, Elfabrio and now PRX-115. Our net losses were primarily the result of expenses incurred through a combination of research and development activities and expenses supporting those activities, which includes share-based compensation expense. We may incur losses in future fiscal years as we continue to execute on our strategic goals as drug development and commercialization is very capital intensive. We expect to continue to incur significant operating expenditures as we progress with the clinical development of PRX-115, and we anticipate that our expenses will increase in the foreseeable future as we seek to in-license additional technologies, continue to undertake preclinical development and clinical trials for our current and new drug candidates and seek regulatory approvals for our drug candidates.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4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Currently, our sources of potential revenues are from product sales, royalties, and commercial milestone payments generated from Pfizer, Fiocruz and Chiesi. In the past, we have also generated revenues from research and development services and milestone and other payments we received in connection with our agreements with our commercialization partners, and generated capital from equity and debt offerings and other sources. The revenues we generate from royalties and commercial milestone payments and other sources may not be sufficient to fund our planned operations and capital expenditures. Accordingly, we may need to finance future cash needs through corporate collaboration, licensing, or similar arrangements, public or private equity offerings or debt financings. If we are unable to secure additional financing in the future on acceptable terms, or at all, we may be unable to expand our portfolio of product candidates,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equity securities, which will have a dilutive effect on our stockholders.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9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r>
        <w:rPr>
          <w:rFonts w:ascii="Times New Roman" w:cs="Times New Roman" w:eastAsia="Times New Roman" w:hAnsi="Times New Roman"/>
          <w:sz w:val="16"/>
          <w:szCs w:val="16"/>
          <w:b w:val="1"/>
          <w:bCs w:val="1"/>
          <w:color w:val="auto"/>
        </w:rPr>
        <w:t>.</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45 pending patent applications. However, the filing of a patent application does not mean that there will be a resulting patent, or that any patent eventually issued will be as broad as requested in the patent application or sufficient to protect our technology. Any modification required to a current patent application may delay the approval of such patent application which may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depends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our products and product candidates. However, we cannot predict:</w:t>
      </w:r>
    </w:p>
    <w:p>
      <w:pPr>
        <w:spacing w:after="0" w:line="149" w:lineRule="exact"/>
        <w:rPr>
          <w:sz w:val="20"/>
          <w:szCs w:val="20"/>
          <w:color w:val="auto"/>
        </w:rPr>
      </w:pPr>
    </w:p>
    <w:p>
      <w:pPr>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84"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licensed patents and patent applications; or</w:t>
      </w:r>
    </w:p>
    <w:p>
      <w:pPr>
        <w:spacing w:after="0" w:line="12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13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we held, or had license rights to, approximately 70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47"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Furthermore, the term of our patents is limited. For example, the patents we hold relating to our ProCellEx protein expression system recently expired and the patents covering Elelyso have expired or are expiring in the next few years, depending on the jurisdiction.</w:t>
      </w:r>
    </w:p>
    <w:p>
      <w:pPr>
        <w:spacing w:after="0" w:line="131"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3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policy is to enter into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to protect in part by confidentiality agreements with our employees, contractors, consultants, advisors and others. Despite the protective measures we employ, we still face the risk that:</w:t>
      </w:r>
    </w:p>
    <w:p>
      <w:pPr>
        <w:spacing w:after="0" w:line="135"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may have a material adverse effect on our business and competitive position.</w:t>
      </w:r>
    </w:p>
    <w:p>
      <w:pPr>
        <w:spacing w:after="0" w:line="11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34"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60"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processes to avoid infringement;</w:t>
      </w:r>
    </w:p>
    <w:p>
      <w:pPr>
        <w:spacing w:after="0" w:line="18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the patents held by others, which could cause us to lose the use of one or more of our drug candidates;</w:t>
      </w:r>
    </w:p>
    <w:p>
      <w:pPr>
        <w:spacing w:after="0" w:line="13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management resources; or</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Any costs incurred in connection with such events or the inability to sell our products may have a material adverse effect on our business, results of operations, and financial condition.</w:t>
      </w:r>
    </w:p>
    <w:p>
      <w:pPr>
        <w:spacing w:after="0" w:line="13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meet requirements under our license agreements, we could lose the rights to our products, which could have a material adverse effect on our business.</w:t>
      </w:r>
    </w:p>
    <w:p>
      <w:pPr>
        <w:spacing w:after="0" w:line="11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expect to enter into licensing agreements with third-parties with respect to the intellectual property rights necessary to expand our product candidate pipeline. Such license agreements generally require that we make payments and satisfy performance obligations in order to maintain our rights under the agreements, and remain in effect either throughout the life of the patents that are the subject of the agreements, or with respect to other licensed technology, for a number of years after the first commercial sale of the relevant product.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9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political, economic, and military conditions in Israel.</w:t>
      </w:r>
    </w:p>
    <w:p>
      <w:pPr>
        <w:spacing w:after="0" w:line="118"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Our executive office and operations are located in the State of Israel. Accordingly, military, economic, and geopolitical conditions in Israel and the surrounding region could directly and adversely affect our business. Any armed conflicts,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political instability, terrorism, cyberattacks, or any other hostilities involving Israel or the interruption or curtailment of trade between Israel and its present trading partners could adversely affect our operations. Since October 2023, Israel has suffered from missile and other similar attacks and has been engaged in military activity on a number of fronts, including with the Hamas in the Gaza Strip, Hezbollah in Lebanon, Iran, the Houthis terrorist group that controls parts of Yemen, and others, and both civilian and military targets in Israel have been attacked. Such clashes may escalate in the future into a greater regional conflict. In October 2025, Israel and Hamas entered into a ceasefire agreement intended to permanently end the war between Israel and Hamas. However, there are no assurances regarding continued compliance with such agreement. While the conflict created and continues to create heightened security concerns, disruptions to business operations, and economic instability within Israel, the ceasefire may contribute to improved regional stability. However, the security situation remains fluid and any renewed military actions, restrictions, or government-imposed measures could have a material adverse effect on our business, results of operations, and financial condition. On February 28, 2026, the US and Israeli militaries commenced air-based campaigns in Iran which have resulted in a larger regional event and has resulted in increased missile and similar attacks on civilian and military targets in Israel and in other countries in the region. This has resulted in global security concerns that may result in a greater or lasting regional conflict. It is currently not possible to predict the duration or severity of the ongoing conflict or its effects on our business, results of operations, and financial conditions.</w:t>
      </w:r>
    </w:p>
    <w:p>
      <w:pPr>
        <w:spacing w:after="0" w:line="16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facilities are in range of certain of the rockets that are being fired from Lebanon and elsewhere. As of the issuance of this Annual Report on Form 10-K, the impact of the current conflicts has not had an adverse effect on our operations. To mitigate the risk of loss due to the military operations, we have elected to store manufactured drug substance in multiple locations, both within and outside of Israel. Our insurance policies do not cover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Any damage to our facilities as a result of war or other hostile action may have a material adverse effect on our business, results of operations, and financial condition.</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Ongoing and revived hostilities or other Israeli political or economic factors, could prevent or delay shipments of our products, harm our operations and product development, interrupt or delay our clinical activities, and cause any future sales to decrease. If hostilities disrupt the ongoing operation of our facilities or the airports and seaports on which we depend to import and export our supplies, materials, drug substance and other products, our business, results of operations, and financial condition may be materially and adversely affected.</w:t>
      </w:r>
    </w:p>
    <w:p>
      <w:pPr>
        <w:spacing w:after="0" w:line="14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Parties with whom we do business may sometimes decline to travel to Israel during periods of heightened unrest or tension, forcing us to make alternative arrangements when necessary to meet our business partners face to face. 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 In addition, several countries, principally in the Middle East, restrict doing business with Israel, and additional countries may impose restrictions on doing business with Israel and Israeli companies whether as a result of hostilities in the region or otherwise. Moreover, there have been increased efforts by organizations and movements to cause companies and consumers to boycott Israeli goods.</w:t>
      </w:r>
    </w:p>
    <w:p>
      <w:pPr>
        <w:spacing w:after="0" w:line="161"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our personnel to perform military service which could have a material adverse effect on our business.</w:t>
      </w:r>
    </w:p>
    <w:p>
      <w:pPr>
        <w:spacing w:after="0" w:line="118"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To date, we have not suffered any disruptions to our operations from the absence of employees in connection with the current military actions. However, we continue to face the risk that our operations could be disrupted by the absence of a significant number of our employees related to military service or the absence for extended periods of military service of one or more of our key employees. Any such disruption may have a material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79"/>
        <w:spacing w:after="0" w:line="317" w:lineRule="auto"/>
        <w:rPr>
          <w:sz w:val="20"/>
          <w:szCs w:val="20"/>
          <w:color w:val="auto"/>
        </w:rPr>
      </w:pPr>
      <w:r>
        <w:rPr>
          <w:rFonts w:ascii="Times New Roman" w:cs="Times New Roman" w:eastAsia="Times New Roman" w:hAnsi="Times New Roman"/>
          <w:sz w:val="17"/>
          <w:szCs w:val="17"/>
          <w:b w:val="1"/>
          <w:bCs w:val="1"/>
          <w:color w:val="auto"/>
        </w:rPr>
        <w:t>A certain portion of our expenses is incurred in non-U.S. Dollar currencies, including New Israeli Shekels and the Euro, and, accordingly, our results of operations may be seriously harmed by currency fluctuations and inflation.</w:t>
      </w:r>
    </w:p>
    <w:p>
      <w:pPr>
        <w:spacing w:after="0" w:line="10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report our financial statements in U.S. dollars, our functional currency. Although most of our expenses are incurred in U.S. dollars, we pay a portion of our expenses in foreign currencies, including New Israeli Shekel and the Euro, and as a result, we are exposed to risk to the extent that the inflation rates in the jurisdictions in which we operate exceed the rate of devaluation of the applicable local currencies in relation to the U.S. dollar, or if the timing of these devaluations lags behind inflation in such jurisdictions. In that event, the U.S. dollar cost of our operations in Israel, and other such jurisdictions, will increase, and our U.S. dollar-measured results of operations will be adversely affected. To the extent that the value of any such foreign currency, including the NIS or the Euro,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 Euro or other foreign currencies in which we incur expenses. These measures, however, may not adequately protect us from material adverse effects.</w:t>
      </w:r>
    </w:p>
    <w:p>
      <w:pPr>
        <w:spacing w:after="0" w:line="14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tax benefits available to us require that we meet several conditions and may be terminated or reduced in the future, which would increase our taxes.</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61"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The Israeli government grants we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4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the past, our research and development efforts were financed, in part, through grants that we received from NATI. We, therefore, must comply with the requirements of the Research Law. 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600% of the grant amounts plus interest), depending on the manufacturing volume that is performed outside of Israel, as well as a possibly increased royalty rate. This restriction may impair our ability to outsource manufacturing or engage in similar arrangements for those products or technologies.</w:t>
      </w:r>
    </w:p>
    <w:p>
      <w:pPr>
        <w:spacing w:after="0" w:line="151"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of any such transfer, if requested, will be granted.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5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outside the U.S.</w:t>
      </w:r>
    </w:p>
    <w:p>
      <w:pPr>
        <w:spacing w:after="0" w:line="13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majority of our directors and all of our executive officers are residents of either Israel or other non-U.S. countries, and accordingly, most of their assets and our assets are located outside the United States. Service of process upon us or our non-U.S. resident directors and officers and enforcement of judgments against us or our non-U.S. resident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resident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resident officers and directors.</w:t>
      </w:r>
    </w:p>
    <w:p>
      <w:pPr>
        <w:spacing w:after="0" w:line="14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Moreover, among other reasons, including but not limited to, fraud or absence of due process, or the existence of a judgment which is at variance with another judgment that was given in the same matter if a suit in the same matter between the same parties was pending before a court or tribunal in Israel, an Israeli court will not enforce a non-Israeli judgment if it was given in a state whose laws do not provide for the enforcement of judgments of Israeli courts (subject to exceptional cases) or if its enforcement is likely to prejudice the sovereignty or security of the State of Israel.</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18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volatility. The securities of life sciences companies often experience significant volatility in connection with clinical trial and regulatory announcements.</w:t>
      </w:r>
    </w:p>
    <w:p>
      <w:pPr>
        <w:spacing w:after="0" w:line="135"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anticipate that the market price of our common stock is likely to continue to fluctuate significantly in response to numerous factors, some of which are beyond our control, such as:</w:t>
      </w:r>
    </w:p>
    <w:p>
      <w:pPr>
        <w:spacing w:after="0" w:line="121"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sales of Elfabrio;</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BioManguinhos alfataliglicerase in Brazil;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the studies of our product candidates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intellectual property rights and regulatory approvals;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such as the local military conflict.</w:t>
      </w:r>
    </w:p>
    <w:p>
      <w:pPr>
        <w:spacing w:after="0" w:line="13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sales of our common stock could reduce our stock price.</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or if we sell a substantial amount of our common stock in any public or private offering, the market price of our common stock could decrease significantly. The perception in the public market that our existing stockholders might sell shares of common stock may also depress the trading price of our common stock.</w:t>
      </w:r>
    </w:p>
    <w:p>
      <w:pPr>
        <w:spacing w:after="0" w:line="153"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A substantial majority of our outstanding shares of our common stock are freely tradable without restriction or further registration under the federal securities laws. In addition, we may sell additional shares of our common stock in the future to raise capital. At December 31, 2025, there were outstanding options to purchase common stock issued covering approximately 8.3 million shares of our common stock with a weighted average exercise price of $1.76 per share. Also at December 31, 2025, there were 2,092,933 shares of common stock available for future for issuance in connection with future grants of incentives under our Amended and Restated Protalix BioTherapeutics, Inc. 2006 Stock Incentive Plan, as amended. The issuance and sale of substantial amounts of common stock, or the perception that such issuances and sales may occur, could adversely affect the market price of our common stock and impair our ability to raise capital through the sale of additional equity securities.</w:t>
      </w:r>
    </w:p>
    <w:p>
      <w:pPr>
        <w:spacing w:after="0" w:line="144" w:lineRule="exact"/>
        <w:rPr>
          <w:sz w:val="20"/>
          <w:szCs w:val="20"/>
          <w:color w:val="auto"/>
        </w:rPr>
      </w:pPr>
    </w:p>
    <w:p>
      <w:pPr>
        <w:jc w:val="both"/>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18"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Furthermore, if any analyst ceases to cover us, we could lose visibility in the market, which in turn could cause the market price of our common stock to decline.</w:t>
      </w:r>
    </w:p>
    <w:p>
      <w:pPr>
        <w:spacing w:after="0" w:line="150"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3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laws, rules, regulations, and standards including the rules promulgated by the national securities exchanges, including the NYSE American, to which we are subject are changed and/or amended from time to time. New or changed laws, rules,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 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may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Delaware law and our organizational documents contain certain provisions, including anti-takeover provisions that limit the ability of our stockholders to take certain actions and could delay or discourage takeover attempts that stockholders may consider favorable.</w:t>
      </w:r>
    </w:p>
    <w:p>
      <w:pPr>
        <w:spacing w:after="0" w:line="175"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Our organizational documents and Delaware General Corporation Law, or the DGCL, contain provisions that could have the effect of rendering more difficult, delaying, or preventing an acquisition that our stockholders may consider favorable. Among other things, our organizational documents include the following provisions or features:</w:t>
      </w:r>
    </w:p>
    <w:p>
      <w:pPr>
        <w:spacing w:after="0" w:line="176" w:lineRule="exact"/>
        <w:rPr>
          <w:sz w:val="20"/>
          <w:szCs w:val="20"/>
          <w:color w:val="auto"/>
        </w:rPr>
      </w:pPr>
    </w:p>
    <w:p>
      <w:pPr>
        <w:ind w:left="720" w:right="179" w:hanging="319"/>
        <w:spacing w:after="0" w:line="253"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at any time without any further action on the part of our stockholders, authorize the issuance of a series of preferred stock, including “blank check” preferred stock, and to fix and determine the voting rights, rights of redemption and other rights and preferences of preferred stock. Any series of such preferred stock, could, for example, grant to holders, among other terms, the preferred right to our assets upon liquidation, the right to receive dividend payments before dividends are distributed to the holders of our common stock and the right to the redemption of the preferred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The issuance of preferred stock may impede a takeover of our company and may prevent a transaction that is favorable to our stockholders.</w:t>
      </w:r>
    </w:p>
    <w:p>
      <w:pPr>
        <w:spacing w:after="0" w:line="194" w:lineRule="exact"/>
        <w:rPr>
          <w:rFonts w:ascii="Times New Roman" w:cs="Times New Roman" w:eastAsia="Times New Roman" w:hAnsi="Times New Roman"/>
          <w:sz w:val="18"/>
          <w:szCs w:val="18"/>
          <w:color w:val="auto"/>
        </w:rPr>
      </w:pPr>
    </w:p>
    <w:p>
      <w:pPr>
        <w:jc w:val="both"/>
        <w:ind w:left="720" w:right="33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175"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Any provision of our organizational documents or the DGCL that has the effect of delaying or deterring a change in control could limit the opportunity for our stockholders to receive a related premium for their common stock and could also affect the price that some investors are willing to pay for our common stock.</w:t>
      </w:r>
    </w:p>
    <w:p>
      <w:pPr>
        <w:spacing w:after="0" w:line="172"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color w:val="auto"/>
        </w:rPr>
        <w:t>Our Amended and Restated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5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or our Bylaws, provide that, unless we consent to the selection of an alternative forum, the Court of Chancery of the State of Delaware (or, if the Court of Chancery does not have jurisdiction, another State court in Delaware or the federal district court for the District of Delaware) is the sole and exclusive forum for (i) any derivative action or proceeding brought on our behalf, (ii) any action asserting a claim of breach of fiduciary duty owed by any of our directors, stockholders, officers or other employees to us or to our stockholders, (iii) any action asserting a claim arising pursuant to the DGCL or our Certificate of Incorporation, as amended, or our Bylaws, or (iv) any action asserting a claim governed by the internal affairs doctrine.</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or the Exchange Act against any person in connection with any offering of the corporation’s securities.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Bylaws to be inapplicable or unenforceable in an action, we may incur additional costs associated with resolving such action in other jurisdictions, which may have a material adverse effect on our business, results of operations, and financial condition.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operations include the creation, collection and maintenance of sensitive information, including proprietary and confidential business information, intellectual property, third-party information and employee information. To protect this information, we use external and internal services to managed detection and response services to monitor our network infrastructure and associated endpoints for possible cybersecurity threats on a constant basis. In addition, we use multi-factor authentication (MFA) for external use, perform penetration testing and engage third parties to assess the effectiveness of our cybersecurity practices. We conduct a thorough risk assessment by identifying critical assets, recognizing potential threats and vulnerabilities, and implement strategies to mitigate these risks and their possible impacts. We establish incident response plans and provide cybersecurity and phishing training to our employees and monitor their activity to ensure adherence to our security protocols. A material cyber-attack on our systems, or any other third-party partners or vendors and their key operating systems, may interrupt our ability to operate our business, damage our reputation, or result in monetary damages.</w:t>
      </w:r>
    </w:p>
    <w:p>
      <w:pPr>
        <w:spacing w:after="0" w:line="15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have implemented a Data Protection Policy, or the DPP, in order to establish the high-level direction for properly managing the use, privacy, security, retention, and disposal of our information, data and assets, and to manage identified material cybersecurity risks. The DPP was prepared using relevant guidance issued and technology standards that are used across various industries. It applies to all entities who are using our equipment and resources, including but not limited to, employees and temporary workers. Our Senior Director, Information Technology, is a certified information security officer (CISO). He is primarily responsible for implementing and overseeing the DPP and identifying, measuring, monitoring, and reporting on key enterprise-wide risks, including cybersecurity risks.</w:t>
      </w:r>
    </w:p>
    <w:p>
      <w:pPr>
        <w:spacing w:after="0" w:line="16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Our DPP includes an incident response process that includes reporting thresholds and follows standardized identification and authentication practices. If an incident is identified, it is documented by our Senior Director, Information Technology, who is required to report the incident to management.</w:t>
      </w:r>
    </w:p>
    <w:p>
      <w:pPr>
        <w:spacing w:after="0" w:line="13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work with third-party service providers that monitor our systems on a continuous, round-the-clock basis, and assist us to identify, assess and manage cybersecurity risks, including professional SEIM SOC and other services firms, threat intelligence service providers, cybersecurity consultants, cybersecurity software providers, managed cybersecurity service providers, and penetration testing.</w:t>
      </w:r>
    </w:p>
    <w:p>
      <w:pPr>
        <w:spacing w:after="0" w:line="13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No risks from cybersecurity threats have occurred that have materially affected or are reasonably likely to materially affect our business, results of operations or financial condition.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our management, including our Senior Director, Information Technology, who reports to our Sr. Vice President, Operations. Management is also responsible for hiring appropriate personnel, integrating cybersecurity considerations into our overall risk management strategy, and for communicating key priorities to employees, as well as for approving budgets, helping prepare for cybersecurity incidents, approving cybersecurity processes, and reviewing security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assessments and other security-related reports. Our incident response process involves management, who participates in our disclosure controls and procedures.</w:t>
      </w:r>
    </w:p>
    <w:p>
      <w:pPr>
        <w:spacing w:after="0" w:line="135"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Our incident response process is designed to escalate certain cybersecurity incidents and vulnerabilities to members of management depending on the circumstances, including work with our incident response team to help the company mitigate and remediate cybersecurity incidents of which they are notified. In addition, our incident response processes include reporting to our Board of Directors for certain cybersecurity incidents.</w:t>
      </w:r>
    </w:p>
    <w:p>
      <w:pPr>
        <w:spacing w:after="0" w:line="13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Management is involved with our efforts to prevent, detect, and mitigate cybersecurity incidents by overseeing preparation of cybersecurity policies and procedures, testing incident response plans and engaging vendors to conduct penetration tests. Management participates in cybersecurity incident response efforts by being a member of the incident response team and helping direct our response to cybersecurity incidents.</w:t>
      </w:r>
    </w:p>
    <w:p>
      <w:pPr>
        <w:spacing w:after="0" w:line="13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Our Chief Financial Officer and IT consultant provide periodic briefings to the Board of Directors regarding our cybersecurity risks and activities, including any recent cybersecurity incidents and related responses, if any, cybersecurity systems testing, activities of third parties, and the like.</w:t>
      </w:r>
    </w:p>
    <w:p>
      <w:pPr>
        <w:spacing w:after="0" w:line="15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Risk Factors – Our internal computer systems, or those used by our third-party contractors or consultants, may fail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suffer security breaches, resulting in liability and harm to our reputation, which could negatively affect our business, results of operation and financial condition. We may face liability if we breach our obligations related to the protection, security, nondisclosure of confidential information or disclosure of sensitive data or fail or are perceived to fail to comply with applicable data protection laws and regulations, or consumer protection laws, regulations and standards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Our headquarters, including a manufacturing facility, executive offices and other facilities, are located in Carmiel, Israel. We also maintain a U.S. corporate office in Hackensack, New Jersey. Our facilities in Israel currently contain approximately 1,466 sq/m of manufacturing space and 316 sq/m for a pilot plant, 1,057 sq/m for offsite warehouse space and approximately 4,400 sq/m of laboratories, front warehouse and office space, and are leased at a rate of approximately $90,000 per month. In addition, we are entitled to use an additional 1,347 sq/m in the same facility, which we may utilize in connection with any future expansion of our manufacturing facilities. Our facilities are equipped with the requisite laboratory services required to conduct our business, and we believe that the existing facilities are adequate to meet our needs for the foreseeable future. Our original lease for the facility was in effect until 2016 and included three options to extend the leases for additional five-year periods. The leases have been amended to provide that the third option period for all leases will end on December 31, 2031, and will be associated with a uniform rent increase equal to 7.5%. Thereafter, each lease will extend automatically, on an individual basis, for up to four additional five-year periods unless we provide the lessor with six months’ advance notice that we do not intend that any individual option extension become effective. Each option to renew a lease in each of the four option periods shall include a rent increase equal to 5% of the rent payable for the applicable previous option period.</w:t>
      </w:r>
    </w:p>
    <w:p>
      <w:pPr>
        <w:spacing w:after="0" w:line="19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“PLX.” In 2023, we decided to voluntarily delist our common stock from the Tel Aviv Stock Exchange.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As of March 1, 2026, there were approximately 96 holders of record of our common stock. A substantially greater number of holders of our common stock are “street name” or beneficial holders, whose shares are held of record by banks, brokers, and other financial institutions.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To date, we have not declared or paid any cash dividends on our common stock. We do not anticipate paying any dividends on our common stock in the foreseeable future.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8,274,278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2,092,933</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8,274,278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2,092,933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The MD&amp;A is provided as a supplement to, and should be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 forward-looking statements that involve risks and uncertainties. You should read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0" w:right="219"/>
        <w:spacing w:after="0" w:line="233"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discovery, development, production and commercialization of innovative therapeutics for rare diseases with significant unmet needs. We are the first and only company to gain FDA approval of a protein produced through plant cell-based expression in suspension.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unique, proprietary plant cell-based protein expression system represents a new method for developing recombinant proteins in an industrial-scale manner.</w:t>
      </w:r>
    </w:p>
    <w:p>
      <w:pPr>
        <w:spacing w:after="0" w:line="16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We believe our treatments of interest will address both genetic and non-genetic diseases. We currently intend to use our ProCellEx platform and PEGylation capabilities, as well as other modalities such as small molecules and antibodies, to take advantage of highly innovative opportunities. We are also exploring novel platform technologies.</w:t>
      </w:r>
    </w:p>
    <w:p>
      <w:pPr>
        <w:spacing w:after="0" w:line="147" w:lineRule="exact"/>
        <w:rPr>
          <w:sz w:val="20"/>
          <w:szCs w:val="20"/>
          <w:color w:val="auto"/>
        </w:rPr>
      </w:pPr>
    </w:p>
    <w:p>
      <w:pPr>
        <w:jc w:val="both"/>
        <w:ind w:left="60" w:right="259"/>
        <w:spacing w:after="0" w:line="258" w:lineRule="auto"/>
        <w:rPr>
          <w:sz w:val="20"/>
          <w:szCs w:val="20"/>
          <w:color w:val="auto"/>
        </w:rPr>
      </w:pPr>
      <w:r>
        <w:rPr>
          <w:rFonts w:ascii="Times New Roman" w:cs="Times New Roman" w:eastAsia="Times New Roman" w:hAnsi="Times New Roman"/>
          <w:sz w:val="18"/>
          <w:szCs w:val="18"/>
          <w:color w:val="auto"/>
        </w:rPr>
        <w:t>Consistent with this strategy. we are developing PEGylated uricase, or PRX-115, for the treatment of uncontrolled gout, Long Acting (LA) DNase I, or PRX-119, for the treatment of NETs-related diseases, and a number of other technologies and preclinical assets. We have completed a Phase 1 First-in-Human clinical trial of PRX-115. Currently, we are actively recruiting for, and the first patients have been randomized in the RELEASE study, a Phase 2 clinical trial of PRX-115 for the treatment of uncontrolled gout.</w:t>
      </w:r>
    </w:p>
    <w:p>
      <w:pPr>
        <w:spacing w:after="0" w:line="149" w:lineRule="exact"/>
        <w:rPr>
          <w:sz w:val="20"/>
          <w:szCs w:val="20"/>
          <w:color w:val="auto"/>
        </w:rPr>
      </w:pPr>
    </w:p>
    <w:p>
      <w:pPr>
        <w:ind w:left="60" w:right="439"/>
        <w:spacing w:after="0" w:line="201" w:lineRule="auto"/>
        <w:rPr>
          <w:sz w:val="20"/>
          <w:szCs w:val="20"/>
          <w:color w:val="auto"/>
        </w:rPr>
      </w:pPr>
      <w:r>
        <w:rPr>
          <w:rFonts w:ascii="Times New Roman" w:cs="Times New Roman" w:eastAsia="Times New Roman" w:hAnsi="Times New Roman"/>
          <w:sz w:val="18"/>
          <w:szCs w:val="18"/>
          <w:color w:val="auto"/>
        </w:rPr>
        <w:t>To date, we have successfully developed two commercial ERTs: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older with Gaucher disease and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w:t>
      </w:r>
    </w:p>
    <w:p>
      <w:pPr>
        <w:spacing w:after="0" w:line="157" w:lineRule="exact"/>
        <w:rPr>
          <w:sz w:val="20"/>
          <w:szCs w:val="20"/>
          <w:color w:val="auto"/>
        </w:rPr>
      </w:pPr>
    </w:p>
    <w:p>
      <w:pPr>
        <w:ind w:left="60" w:right="359"/>
        <w:spacing w:after="0" w:line="274" w:lineRule="auto"/>
        <w:rPr>
          <w:sz w:val="20"/>
          <w:szCs w:val="20"/>
          <w:color w:val="auto"/>
        </w:rPr>
      </w:pPr>
      <w:r>
        <w:rPr>
          <w:rFonts w:ascii="Times New Roman" w:cs="Times New Roman" w:eastAsia="Times New Roman" w:hAnsi="Times New Roman"/>
          <w:sz w:val="17"/>
          <w:szCs w:val="17"/>
          <w:color w:val="auto"/>
        </w:rPr>
        <w:t>Our first product, Elelyso, an ERT for the treatment of patients with Gaucher disease, was first approved by the FDA in May 2012 and is now approved for marketing in more than 40 markets including Brazil, Israel and others. It is not approved for marketing in the EU. We have granted the marketing rights to Elelyso globally, excluding Brazil, to Pfizer through an exclusive licensing agreement. We maintain the distribution rights to Elelyso in Brazil, where it is currently marketed as BioManguinhos alfataliglicerase, through the Brazil Agreement. In 2025, we generated $18.2 million from sales of Elelyso to Pfizer and $11.1 million from sales of BioManguinhos alfataliglicerase to the Brazilian MoH.</w:t>
      </w:r>
    </w:p>
    <w:p>
      <w:pPr>
        <w:spacing w:after="0" w:line="13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Elfabrio, our second commercial product, an ERT for the treatment of Fabry disease, was approved by the EC for marketing in the EU and by the FDA for marketing in the United States in May 2023 for adult patients. Both approvals cover the 1 mg/kg E2W dosage. Subsequently, it has been approved in more than 10 additional markets. Commercialization of Elfabrio is governed by the Chiesi Agreements. In 2025, we generated $22.5 million from sales of Elfabrio to Chiesi.</w:t>
      </w:r>
    </w:p>
    <w:p>
      <w:pPr>
        <w:spacing w:after="0" w:line="15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On March 5, 2026, the EC ratified the CHMP positive opinion issued in January 2026. The EC decision approves, in the EU, the 2 mg/kg E4W dosing regimen for Elfabrio in Fabry disease adult patients stable with an ERT treatment.</w:t>
      </w:r>
    </w:p>
    <w:p>
      <w:pPr>
        <w:spacing w:after="0" w:line="12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continuously evaluate potential strategic marketing partnerships as well as collaboration programs with biotechnology and pharmaceutical companies and academic research institutions. Except with respect to Elfabrio and Elelyso, we hold the worldwide commercialization rights to our other proprietary development candidates.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product pipeline currently includes, among other candidates:</w:t>
      </w:r>
    </w:p>
    <w:p>
      <w:pPr>
        <w:spacing w:after="0" w:line="198" w:lineRule="exact"/>
        <w:rPr>
          <w:sz w:val="20"/>
          <w:szCs w:val="20"/>
          <w:color w:val="auto"/>
        </w:rPr>
      </w:pPr>
    </w:p>
    <w:p>
      <w:pPr>
        <w:ind w:left="380" w:right="13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our plant cell-expressed recombinant PEGylated uricase (urate oxidase) – a chemically modified enzyme to treat uncontrolled gout; and</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our plant cell-expressed PEGylated recombinant human DNase I product candidate which we have designed for long and customized systemic circulation in the bloodstream for NETs-related diseases.</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our ability to implement the necessary regulatory steps required to obtain such approvals, and demonstrate the safety and efficacy of its product candidates. We cannot reasonably predict the outcome of these activities.</w:t>
      </w:r>
    </w:p>
    <w:p>
      <w:pPr>
        <w:spacing w:after="0" w:line="14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have completed a Phase 1 First-in-Human clinical trial of PRX-115. This study included 64 adult male and female subjects in a dose escalation design with eight sequential dosing cohorts, each composed of eight subjects (six active and two placebo) which is now complete. The results are summarized in Item 1 of this annual report on Form 10-K. Currently, we are actively recruiting patients for, and the first patients have been randomized in, the RELEASE study.</w:t>
      </w:r>
    </w:p>
    <w:p>
      <w:pPr>
        <w:spacing w:after="0" w:line="13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On February 27, 2023, we entered into that certain At The Market Offering Agreement, as may be amended from time to time, or the 2023 Sales Agreement, with H.C. Wainwright &amp; Co., LLC, as our sales agent, or the Agent, for the sale of up to $20.0 million of our common stock </w:t>
      </w:r>
      <w:r>
        <w:rPr>
          <w:rFonts w:ascii="Times New Roman" w:cs="Times New Roman" w:eastAsia="Times New Roman" w:hAnsi="Times New Roman"/>
          <w:sz w:val="18"/>
          <w:szCs w:val="18"/>
          <w:color w:val="212529"/>
        </w:rPr>
        <w:t>from time to time</w:t>
      </w:r>
      <w:r>
        <w:rPr>
          <w:rFonts w:ascii="Times New Roman" w:cs="Times New Roman" w:eastAsia="Times New Roman" w:hAnsi="Times New Roman"/>
          <w:sz w:val="18"/>
          <w:szCs w:val="18"/>
          <w:color w:val="auto"/>
        </w:rPr>
        <w:t>. Subsequently, on March 17, 2025, we entered into an amendment to the 2023 Sales Agreement pursuant to which the aggregate gross sales price of shares of common stock available for sale under the 2023 Sales Agreement was increased by $20.0 million. As of December 31, 2025, approximately $15.7 million in shares of common stock remain available to be sold under the 2023 Sales Agreement.</w:t>
      </w:r>
    </w:p>
    <w:p>
      <w:pPr>
        <w:spacing w:after="0" w:line="14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Under each of the Chiesi Agreements, Chiesi made an upfront payment to Protalix Ltd. of $25.0 million in connection with the execution of each agreement and Protalix Ltd. received additional payments of $25.0 million under the Chiesi Ex-US Agreement, and $20.0 million under the Chiesi US Agreement, to cover pegunigalsidase alfa development costs, all of which have been received in full. Protalix Ltd. currently remains eligible to receive additional payments of up to a maximum of $270.0 million, in the aggregate and including the $25.0 million currently payable, subject to the satisfaction of certain regulatory and commercial milestones under the Chiesi Ex-US Agreement. Under the Chiesi US Agreement, Protalix Ltd. currently remains eligible to receive additional payments of up to a maximum of $740.0 million, in the aggregate, subject to the satisfaction of certain regulatory and commercial milestones. Following the approval of Elfabrio by the FDA, we received a milestone payment equal to $20.0 million.</w:t>
      </w:r>
    </w:p>
    <w:p>
      <w:pPr>
        <w:spacing w:after="0" w:line="161"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Under the terms of the Chiesi Agreements, Chiesi is solely responsible for the global commercialization and medical programs of Elfabrio, including patient acquisition and retention, and distribution of Elfabrio to patients. We manufacture Elfabrio drug substance and, after the fill\finish process is complete, we sell the resulting drug product to Chiesi. Operationally, Chiesi conducts its own internal commercial forecasting to guide inventory needs. To date, Chiesi has placed bulk orders for Elfabrio. As a result, the orders we receive from Chiesi may not be timed precisely to Chiesi’s pace of patient acquisition and retention. Accordingly, our sales of Elfabrio to Chiesi may not reflect patient demand for Elfabrio as we sell the fulfilled orders to Chiesi’s inventory.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increases globally. The consideration for Protalix Ltd. is based on the drug product supplied to Chiesi and the average selling price of the drug product in each relevant territory multiplied by payments as described in the relevant agreement. Under the Chiesi Ex-US Agreement, the price payable to us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5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October 2015, Protalix Ltd. and Pfizer entered into the Amended Pfizer Agreement, pursuant to which we sold to Pfizer our share in the collaboration created under our original agreement with Pfizer for the commercialization of Elelyso. As part of the sale, we agreed to transfer our rights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to Elelyso in Israel to Pfizer while gaining full rights to it in Brazil. Under the Amended Pfizer Agreement, Pfizer is entitled to all of the revenues, and is responsible for 100% of expenses globally for Elelyso, excluding Brazil where we are responsible for all expenses and retain all revenues.</w:t>
      </w:r>
    </w:p>
    <w:p>
      <w:pPr>
        <w:spacing w:after="0" w:line="149"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On June 18, 2013, we entered into the Brazil Agreement. Fiocruz’s purchases of BioManguinhos alfataliglicerase to date under such agreement have been significantly below certain agreed-upon purchase milestones and, accordingly, we have the right to terminate the Brazil Agreement. Notwithstanding the termination right, we are, at this time, continuing to supply BioManguinhos alfataliglicerase to Fiocruz and patients continue to be treated with BioManguinhos alfataliglicerase in Brazil.</w:t>
      </w:r>
    </w:p>
    <w:p>
      <w:pPr>
        <w:spacing w:after="0" w:line="14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sales of Elelyso to Pfizer and Fiocruz are made at a fixed price directly to Pfizer and Fiocruz who maintain product in inventory, and we recognize revenue from those sales upon delivery. As with the sales to Chiesi, the timing of such sales does not directly reflect patient demand and, on a period-to-period basis, there may be variations in the orders placed by each of Pfizer and Fiocruz resulting in variability in our period-to-period results. There may be periods during which no orders are placed by either Pfizer or Fiocruz, whether as a result of inventory de-stocking or other factors.</w:t>
      </w:r>
    </w:p>
    <w:p>
      <w:pPr>
        <w:spacing w:after="0" w:line="143"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Because our operations are conducted in the State of Israel, the business and operations may be directly affected by economic, political, geopolitical and military conditions in Israel. Since October 2023, Israel has suffered from missile and other similar attacks and has been engaged in military activity on a number of fronts, including with the Hamas in the Gaza Strip, Hezbollah in Lebanon, Iran, the Houthis terrorist group that controls parts of Yemen, and others, and both civilian and military targets in Israel have been attacked. Such clashes may escalate in the future into a greater regional conflict. In October 2025, Israel and Hamas entered into a ceasefire agreement intended to permanently end the war between Israel and Hamas. However, there are no assurances regarding continued compliance with such agreement. While the conflict created and continues to create heightened security concerns, disruptions to business operations, and economic instability within Israel, the ceasefire may contribute to improved regional stability. However, the security situation remains fluid and any renewed military actions, restrictions, or government-imposed measures could have a material adverse effect on our business, results of operations, and financial condition. On February 28, 2026, the US and Israeli militaries commenced air-based campaigns in Iran which have resulted in a larger regional event and has resulted in increased missile and similar attacks on civilian and military targets in Israel and in other countries in the region. This has resulted in global security concerns that may result in a greater or lasting regional conflict The security situation remains fluid and any renewed military actions, restrictions, or government-imposed measures could adversely affect our business, operations, and financial condition. Our facilities are deemed an “essential enterprise” which means they operate or can be operated for the purposes of state defense or public security or for the maintenance of essential supplies or services, allowing us to maintain operations during emergencies. We have elected to store manufactured drug substance in multiple locations, both within and outside of Israel, to mitigate the risk of loss. As of the issuance of these financial statements, the impact of the military action has not had an adverse effect on our operations. See “</w:t>
      </w:r>
      <w:r>
        <w:rPr>
          <w:rFonts w:ascii="Times New Roman" w:cs="Times New Roman" w:eastAsia="Times New Roman" w:hAnsi="Times New Roman"/>
          <w:sz w:val="18"/>
          <w:szCs w:val="18"/>
          <w:u w:val="single" w:color="auto"/>
          <w:color w:val="0000EE"/>
        </w:rPr>
        <w:t>Risk Factors—Significant parts of our operations are located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Israel and, therefore, our results may be adversely affected by political, economic, and military conditions in Israel</w:t>
      </w:r>
      <w:r>
        <w:rPr>
          <w:rFonts w:ascii="Times New Roman" w:cs="Times New Roman" w:eastAsia="Times New Roman" w:hAnsi="Times New Roman"/>
          <w:sz w:val="18"/>
          <w:szCs w:val="18"/>
          <w:color w:val="000000"/>
        </w:rPr>
        <w:t>.”</w:t>
      </w:r>
    </w:p>
    <w:p>
      <w:pPr>
        <w:spacing w:after="0" w:line="161"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December 31, 2025 are sufficient to satisfy our capital needs for at least 12 months from the date that these financial statements are issued.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pacing w:after="0" w:line="14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carrying value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left="60" w:right="419"/>
        <w:spacing w:after="0" w:line="289" w:lineRule="auto"/>
        <w:rPr>
          <w:sz w:val="20"/>
          <w:szCs w:val="20"/>
          <w:color w:val="auto"/>
        </w:rPr>
      </w:pPr>
      <w:r>
        <w:rPr>
          <w:rFonts w:ascii="Times New Roman" w:cs="Times New Roman" w:eastAsia="Times New Roman" w:hAnsi="Times New Roman"/>
          <w:sz w:val="17"/>
          <w:szCs w:val="17"/>
          <w:color w:val="auto"/>
        </w:rPr>
        <w:t xml:space="preserve">Our primary sources of revenues include our sales of drug product to Chiesi under the Chiesi Agreements, of BioManguinhos alfataliglicerase to Brazil and of drug substance to Pfizer under our Amended Pfizer Agreement. For a discussion of our accounting treatment for revenue recognition, see </w:t>
      </w:r>
      <w:r>
        <w:rPr>
          <w:rFonts w:ascii="Times New Roman" w:cs="Times New Roman" w:eastAsia="Times New Roman" w:hAnsi="Times New Roman"/>
          <w:sz w:val="17"/>
          <w:szCs w:val="17"/>
          <w:u w:val="single" w:color="auto"/>
          <w:color w:val="0000EE"/>
        </w:rPr>
        <w:t>Note 1(t)</w:t>
      </w:r>
      <w:r>
        <w:rPr>
          <w:rFonts w:ascii="Times New Roman" w:cs="Times New Roman" w:eastAsia="Times New Roman" w:hAnsi="Times New Roman"/>
          <w:sz w:val="17"/>
          <w:szCs w:val="17"/>
          <w:color w:val="auto"/>
        </w:rPr>
        <w:t xml:space="preserve"> to our consolidated financial statements.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We estimate the degree to which deferred tax assets will result in a benefit, after consideration of all positive and negative evidence, and provide a valuation allowance for deferred tax assets that we believe more likely than not will not be realized. In situations in which we are able to determine that our deferred tax assets will be realized, that determination generally relies on future reversals of taxable temporary differences and expected future taxable income.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we reverse the related valuation allowance. The tax valuation allowance totaled approximately $50.4 million at December 31, 2025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to our consolidated financial statements for additional information). Should our actual future taxable income by tax jurisdiction vary from estimates, additional allowances or reversals thereof may be necessary.</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Significant judgment is required in evaluating our uncertain tax positions. In evaluating the exposure associated with our various tax filing positions, we record reserves for uncertain tax positions in accordance with U.S. GAAP based on the technical support for the positions and our past audit experience with similar positions. For those tax positions where it is more likely than not that a tax benefit will be sustained, we record the largest amount of tax benefit with a greater than 50% likelihood of being realized upon ultimate settlement with a taxing authority that has full knowledge of all relevant information. We believe our tax positions comply with applicable tax laws and we intend to defend our positions, no assurance can be given that the final tax outcome of these matters will not be different from that which is reflected in our historical income tax reserves and accruals.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Uncertain tax position totaled approximately $0.8 million at December 31, 2025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remain our primary expense in the near future as we continue to develop PRX-115 and our product candidates. Research and development expense consists of:</w:t>
      </w:r>
    </w:p>
    <w:p>
      <w:pPr>
        <w:spacing w:after="0" w:line="121" w:lineRule="exact"/>
        <w:rPr>
          <w:sz w:val="20"/>
          <w:szCs w:val="20"/>
          <w:color w:val="auto"/>
        </w:rPr>
      </w:pPr>
    </w:p>
    <w:p>
      <w:pPr>
        <w:ind w:left="1040" w:right="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associated with research and development activities, in particular with respect to the RELEASE study;</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third-party contract research organizations, investigative/clinical sites, and consultants;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development costs;</w:t>
      </w:r>
    </w:p>
    <w:p>
      <w:pPr>
        <w:spacing w:after="0" w:line="184"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travel, and related costs for the personnel involved in research and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relating to the advancement of product candidates through preclinical studies and clinical trials; and</w:t>
      </w:r>
    </w:p>
    <w:p>
      <w:pPr>
        <w:spacing w:after="0" w:line="198"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as well as laboratory and other supplies.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Expected Near Term Milestones</w:t>
            </w:r>
          </w:p>
        </w:tc>
      </w:tr>
      <w:tr>
        <w:trPr>
          <w:trHeight w:val="204"/>
        </w:trPr>
        <w:tc>
          <w:tcPr>
            <w:tcW w:w="28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PRX-115 – PEGylated Uricase</w:t>
            </w:r>
          </w:p>
        </w:tc>
        <w:tc>
          <w:tcPr>
            <w:tcW w:w="64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Phase I (completed)</w:t>
            </w:r>
          </w:p>
        </w:tc>
        <w:tc>
          <w:tcPr>
            <w:tcW w:w="3240" w:type="dxa"/>
            <w:vAlign w:val="bottom"/>
            <w:shd w:val="clear" w:color="auto" w:fill="CCEEFF"/>
          </w:tcPr>
          <w:p>
            <w:pPr>
              <w:jc w:val="center"/>
              <w:ind w:left="450"/>
              <w:spacing w:after="0" w:line="205" w:lineRule="exact"/>
              <w:rPr>
                <w:sz w:val="20"/>
                <w:szCs w:val="20"/>
                <w:color w:val="auto"/>
              </w:rPr>
            </w:pPr>
            <w:r>
              <w:rPr>
                <w:rFonts w:ascii="Times New Roman" w:cs="Times New Roman" w:eastAsia="Times New Roman" w:hAnsi="Times New Roman"/>
                <w:sz w:val="18"/>
                <w:szCs w:val="18"/>
                <w:color w:val="auto"/>
                <w:w w:val="99"/>
              </w:rPr>
              <w:t>Completion of enrollment in the</w:t>
            </w:r>
          </w:p>
        </w:tc>
      </w:tr>
      <w:tr>
        <w:trPr>
          <w:trHeight w:val="248"/>
        </w:trPr>
        <w:tc>
          <w:tcPr>
            <w:tcW w:w="2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32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RELEASE study</w:t>
            </w:r>
          </w:p>
        </w:tc>
      </w:tr>
      <w:tr>
        <w:trPr>
          <w:trHeight w:val="230"/>
        </w:trPr>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29"/>
        </w:trPr>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PRX-119 – Long Acting DNase I</w:t>
            </w:r>
          </w:p>
        </w:tc>
        <w:tc>
          <w:tcPr>
            <w:tcW w:w="64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Preclinical</w:t>
            </w:r>
          </w:p>
        </w:tc>
        <w:tc>
          <w:tcPr>
            <w:tcW w:w="32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IND-enabling studies</w:t>
            </w:r>
          </w:p>
        </w:tc>
      </w:tr>
      <w:tr>
        <w:trPr>
          <w:trHeight w:val="229"/>
        </w:trPr>
        <w:tc>
          <w:tcPr>
            <w:tcW w:w="2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30"/>
        </w:trPr>
        <w:tc>
          <w:tcPr>
            <w:tcW w:w="28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Secarna - novel ASO therapies</w:t>
            </w:r>
          </w:p>
        </w:tc>
        <w:tc>
          <w:tcPr>
            <w:tcW w:w="64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Discovery</w:t>
            </w:r>
          </w:p>
        </w:tc>
        <w:tc>
          <w:tcPr>
            <w:tcW w:w="32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Lead identification</w:t>
            </w:r>
          </w:p>
        </w:tc>
      </w:tr>
    </w:tbl>
    <w:p>
      <w:pPr>
        <w:spacing w:after="0" w:line="19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 anticipate incurring increasing costs in connection with the continued development of PRX-115 and PRX-119 and in the expansion of our pipeline. Our internal resources, employees and infrastructure are not tied to any individual research project and are typically deployed across all of our projects. We currently do not record and maintain research and development costs per project.</w:t>
      </w:r>
    </w:p>
    <w:p>
      <w:pPr>
        <w:spacing w:after="0" w:line="15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Our future research and development expenses for our product candidates will depend on the preclinical and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w:t>
      </w:r>
      <w:r>
        <w:rPr>
          <w:rFonts w:ascii="Times New Roman" w:cs="Times New Roman" w:eastAsia="Times New Roman" w:hAnsi="Times New Roman"/>
          <w:sz w:val="18"/>
          <w:szCs w:val="18"/>
          <w:u w:val="single" w:color="auto"/>
          <w:color w:val="0000EE"/>
        </w:rPr>
        <w:t>Risk Factors—We may not obtain the necessary U.S., EMA, or other worldwide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approvals to commercialize our drug candidates in a timely manner, if at all, which would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15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our primary expense in the future as we continue the advancement of our clinical trials and preclinical product development programs for our product candidates, in particular with respect to the RELEASE study. The lengthy process of completing clinical trials and seeking regulatory approvals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Due to the factors set forth above, we are not able to estimate with any certainty when we would recognize any net cash inflows from our projects. See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—Preclinical and clinical trials are very expensive, time-consuming and difficult to design and implement and may result in unforeseen costs, which may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certain statements of operations data:</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SELLING GOODS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LICENSE AND R&amp;D SERVICES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52,744</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r>
      <w:tr>
        <w:trPr>
          <w:trHeight w:val="198"/>
        </w:trPr>
        <w:tc>
          <w:tcPr>
            <w:tcW w:w="20" w:type="dxa"/>
            <w:vAlign w:val="bottom"/>
          </w:tcPr>
          <w:p>
            <w:pPr>
              <w:spacing w:after="0"/>
              <w:rPr>
                <w:sz w:val="17"/>
                <w:szCs w:val="17"/>
                <w:color w:val="auto"/>
              </w:rPr>
            </w:pPr>
          </w:p>
        </w:tc>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Revenues from selling goods consisted of the following:</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8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$ 12,522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$ 12,617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$ 18,227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Fiocruz</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Revenues from selling goods for the year ended December 31, 2025 reflects a decrease of 2%, compared to revenues from selling goods for the year ended December 31, 2024. The decrease in revenues recorded from sales to Chiesi for the year ended December 31, 2025 resulted primarily from a change in the average net selling price of drug product in the applicable territory as well as changes in the quantities sold to Chiesi’s inventory. The increase in revenues recorded from sales to Pfizer resulted primarily from increased purchases of Elelyso by Pfizer to address unexpected manufacturing issues on their end.</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Revenues from license and R&amp;D services were as follows:</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9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84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6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license and R&amp;D services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$ 25,076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$ 418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$ 942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Revenues from license and R&amp;D services for the year ended December 31, 2025 represent a 125% increase compared to revenues for the year ended December 31, 2024. </w:t>
      </w:r>
      <w:r>
        <w:rPr>
          <w:rFonts w:ascii="Times New Roman" w:cs="Times New Roman" w:eastAsia="Times New Roman" w:hAnsi="Times New Roman"/>
          <w:sz w:val="18"/>
          <w:szCs w:val="18"/>
          <w:color w:val="212529"/>
        </w:rPr>
        <w:t>Revenues from license and R&amp;D services are comprised primarily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revenues we recognized in connection with the Chiesi Agreements. Other than potential regulatory milestone payments that may become payable, we expect to generate minimal revenues from license and R&amp;D services.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goods sold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84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$ 22,982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$ 24,319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 xml:space="preserve">Cost of goods sold for the year ended December 31, 2025 represents an increase of 11%, compared to cost of goods sold for the year ended December 31, 2024. </w:t>
      </w:r>
      <w:r>
        <w:rPr>
          <w:rFonts w:ascii="Times New Roman" w:cs="Times New Roman" w:eastAsia="Times New Roman" w:hAnsi="Times New Roman"/>
          <w:sz w:val="18"/>
          <w:szCs w:val="18"/>
          <w:color w:val="212529"/>
        </w:rPr>
        <w:t>The increase in cost of goods sold was primarily the result of an increase in sales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Pfizer and Fiocruz (Brazil) partially offset by a decrease in sales to Chiesi.</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expenses were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Subcontractor-related 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Materials-related expenses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78"/>
        </w:trPr>
        <w:tc>
          <w:tcPr>
            <w:tcW w:w="26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Total increase in research and developments expenses for the year ended December 31, 2025 represent a 51% increase, compared to research and developments expenses for the year ended December 31, 2024. The increase in research and development expenses resulted primarily from preparations for the RELEASE study.</w:t>
      </w:r>
    </w:p>
    <w:p>
      <w:pPr>
        <w:spacing w:after="0" w:line="135"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212529"/>
        </w:rPr>
        <w:t xml:space="preserve">We expect to continue to incur significant, increasing research and development expenses as we progress with the </w:t>
      </w:r>
      <w:r>
        <w:rPr>
          <w:rFonts w:ascii="Times New Roman" w:cs="Times New Roman" w:eastAsia="Times New Roman" w:hAnsi="Times New Roman"/>
          <w:sz w:val="18"/>
          <w:szCs w:val="18"/>
          <w:color w:val="000000"/>
        </w:rPr>
        <w:t xml:space="preserve">RELEASE study and commence </w:t>
      </w:r>
      <w:r>
        <w:rPr>
          <w:rFonts w:ascii="Times New Roman" w:cs="Times New Roman" w:eastAsia="Times New Roman" w:hAnsi="Times New Roman"/>
          <w:sz w:val="18"/>
          <w:szCs w:val="18"/>
          <w:color w:val="212529"/>
        </w:rPr>
        <w:t>more advanced stages of preclinical and clinical trials for certain of our other product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candidates.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 were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84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$ 14,959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represent a 4% decrease compared to selling, general, and administrative expenses for the year ended December 31, 2024. The decrease resulted primarily from a decrease in share-based compensation.</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Expenses and Income, Net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expenses and income, net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8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3180" w:type="dxa"/>
            <w:vAlign w:val="bottom"/>
            <w:vMerge w:val="continue"/>
          </w:tcPr>
          <w:p>
            <w:pPr>
              <w:spacing w:after="0"/>
              <w:rPr>
                <w:sz w:val="12"/>
                <w:szCs w:val="12"/>
                <w:color w:val="auto"/>
              </w:rPr>
            </w:pPr>
          </w:p>
        </w:tc>
        <w:tc>
          <w:tcPr>
            <w:tcW w:w="7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6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6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difference from financial expenses, net for the year ended December 31, 2025 compared to financial income, net for the year ended December 31, 2024 resulted primarily from approximately $1.3 million exchange rate costs partially offset by approximately $1.0 million lower notes interest expenses due to the September 2024 repayment in full of all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outstanding principal and interest payable under the 2024 senior secured convertible promissory notes, or the 2024 Notes.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Taxes on Income (Tax Benefit)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taxes (tax benefit) were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8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p>
        </w:tc>
        <w:tc>
          <w:tcPr>
            <w:tcW w:w="7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6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$ 254</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$ 1,222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$ 996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Income taxes recorded for the year ended December 31, 2025 represent an 18% decrease compared to income taxes for the year ended December 31, 2024. The tax expenses resulted primarily from taxes on income mainly derived from global intangible low-taxed income resulting primarily from limitations under IRC Section 174. On July 4, 2025, tax reform legislation was enacted in the United States through the passage of H.R.1, The One Big Beautiful Bill Act, which includes significant corporate tax changes, including a restoration of the current deductibility of domestic research expenditures beginning in 2025 under Section 174A, with transition options for previously capitalized amounts. Foreign research expenditures continue to require capitalization subject to the mandatory 15-year amortization period under existing IRC Section 174. We implemented the permitted transition options.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the year ended December 31, 2024 compared to the year ended December 31, 2023, see </w:t>
      </w:r>
      <w:r>
        <w:rPr>
          <w:rFonts w:ascii="Times New Roman" w:cs="Times New Roman" w:eastAsia="Times New Roman" w:hAnsi="Times New Roman"/>
          <w:sz w:val="18"/>
          <w:szCs w:val="18"/>
          <w:u w:val="single" w:color="auto"/>
          <w:color w:val="0000EE"/>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Discussion and Analysis of Financial Condition and Results of Operations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included in our Annual 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year ended December 31,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Our sources of liquidity include our cash balances and bank deposits. At December 31, 2025, we had $30.3 million in cash and cash equivalents and short-term bank deposits. </w:t>
      </w:r>
      <w:r>
        <w:rPr>
          <w:rFonts w:ascii="Times New Roman" w:cs="Times New Roman" w:eastAsia="Times New Roman" w:hAnsi="Times New Roman"/>
          <w:sz w:val="18"/>
          <w:szCs w:val="18"/>
          <w:color w:val="212529"/>
        </w:rPr>
        <w:t>In September 2024, we satisfied the outstanding principal and 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interest under the 2024 Notes with a cash payment of approximately $21.2 million which was available primarily from the withdrawal of short-term deposits. </w:t>
      </w:r>
      <w:r>
        <w:rPr>
          <w:rFonts w:ascii="Times New Roman" w:cs="Times New Roman" w:eastAsia="Times New Roman" w:hAnsi="Times New Roman"/>
          <w:sz w:val="18"/>
          <w:szCs w:val="18"/>
          <w:color w:val="000000"/>
        </w:rPr>
        <w:t>We have primarily financed our operations through sales proceeds, equity and debt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financings, business collaborations, and grants funding.</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we sold, in the aggregate, 2,775,215 shares of common stock under the 2023 Sales Agreement. We generated gross proceeds equal to approximately $7.0 million in connection with such sales. All such sales were effected during the first half of 2025. In addition, during the first quarter of the year ended December 31, 2025, we issued 908,000 shares of our common stock in connection with the exercise of warrants issued in 2020 generating proceeds equal to approximately $2.1 million. The warrants expired on March 11, 2025. Accordingly, no warrants remain outstanding.</w:t>
      </w:r>
    </w:p>
    <w:p>
      <w:pPr>
        <w:spacing w:after="0" w:line="16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raised gross proceeds equal to approximately $3.8 million from the sale, in the aggregate, of 2,216,692 shares of our common stock under our ATM program.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cash flows for each of the years ended December 31, 2025 and 2024 were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2025 vs. 2024</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2024 vs. 2023</w:t>
            </w: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4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212529"/>
        </w:rPr>
        <w:t xml:space="preserve">Net cash used in operations was $12.0 million for the </w:t>
      </w:r>
      <w:r>
        <w:rPr>
          <w:rFonts w:ascii="Times New Roman" w:cs="Times New Roman" w:eastAsia="Times New Roman" w:hAnsi="Times New Roman"/>
          <w:sz w:val="18"/>
          <w:szCs w:val="18"/>
          <w:color w:val="000000"/>
        </w:rPr>
        <w:t>year ended December 31, 202</w:t>
      </w:r>
      <w:r>
        <w:rPr>
          <w:rFonts w:ascii="Times New Roman" w:cs="Times New Roman" w:eastAsia="Times New Roman" w:hAnsi="Times New Roman"/>
          <w:sz w:val="18"/>
          <w:szCs w:val="18"/>
          <w:color w:val="212529"/>
        </w:rPr>
        <w:t xml:space="preserve">5. The net loss for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December 31, 202</w:t>
      </w:r>
      <w:r>
        <w:rPr>
          <w:rFonts w:ascii="Times New Roman" w:cs="Times New Roman" w:eastAsia="Times New Roman" w:hAnsi="Times New Roman"/>
          <w:sz w:val="18"/>
          <w:szCs w:val="18"/>
          <w:color w:val="212529"/>
        </w:rPr>
        <w:t>5 of $6.6 million was increased by a $5.9 million increase in accounts receivable-trade and other assets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and a $4.5 million increase in inventories, and was offset by $2.3 million in share-based compensation and $1.5 million in depreciation.</w:t>
      </w:r>
    </w:p>
    <w:p>
      <w:pPr>
        <w:spacing w:after="0" w:line="13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212529"/>
        </w:rPr>
        <w:t xml:space="preserve">Net cash used in investing activities for the </w:t>
      </w:r>
      <w:r>
        <w:rPr>
          <w:rFonts w:ascii="Times New Roman" w:cs="Times New Roman" w:eastAsia="Times New Roman" w:hAnsi="Times New Roman"/>
          <w:sz w:val="18"/>
          <w:szCs w:val="18"/>
          <w:color w:val="000000"/>
        </w:rPr>
        <w:t>year ended December 31, 202</w:t>
      </w:r>
      <w:r>
        <w:rPr>
          <w:rFonts w:ascii="Times New Roman" w:cs="Times New Roman" w:eastAsia="Times New Roman" w:hAnsi="Times New Roman"/>
          <w:sz w:val="18"/>
          <w:szCs w:val="18"/>
          <w:color w:val="212529"/>
        </w:rPr>
        <w:t>5, was $2.4 million and consisted of $1.6 million purchase of property and equipment, $0.7 million increase in restricted deposit and $5.0 million investment in bank deposit offset by $5.0 million deposit withdrawal.</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 xml:space="preserve">Net cash provided by financing activities for the </w:t>
      </w:r>
      <w:r>
        <w:rPr>
          <w:rFonts w:ascii="Times New Roman" w:cs="Times New Roman" w:eastAsia="Times New Roman" w:hAnsi="Times New Roman"/>
          <w:sz w:val="18"/>
          <w:szCs w:val="18"/>
          <w:color w:val="000000"/>
        </w:rPr>
        <w:t>year ended December 31, 202</w:t>
      </w:r>
      <w:r>
        <w:rPr>
          <w:rFonts w:ascii="Times New Roman" w:cs="Times New Roman" w:eastAsia="Times New Roman" w:hAnsi="Times New Roman"/>
          <w:sz w:val="18"/>
          <w:szCs w:val="18"/>
          <w:color w:val="212529"/>
        </w:rPr>
        <w:t>5, was $9.3 million and consisted of</w:t>
      </w:r>
    </w:p>
    <w:p>
      <w:pPr>
        <w:spacing w:after="0" w:line="27"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212529"/>
        </w:rPr>
        <w:t>$6.8 million proceeds from issuance of Common Stock under the Sales Agreement, net and $2.5 million from the exercise of warrants and options.</w:t>
      </w:r>
    </w:p>
    <w:p>
      <w:pPr>
        <w:spacing w:after="0" w:line="154"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212529"/>
        </w:rPr>
        <w:t xml:space="preserve">Net cash provided by operations was $8.7 million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The net income for the </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ended December 31, 2024, </w:t>
      </w:r>
      <w:r>
        <w:rPr>
          <w:rFonts w:ascii="Times New Roman" w:cs="Times New Roman" w:eastAsia="Times New Roman" w:hAnsi="Times New Roman"/>
          <w:sz w:val="18"/>
          <w:szCs w:val="18"/>
          <w:color w:val="212529"/>
        </w:rPr>
        <w:t>of $2.9 million was increased by a $0.7 million increase in accounts payable and accruals,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$2.3 million decrease in accounts receivable-trade and other assets, $3.3 million in share-based compensation and $1.3 million in depreciation, partially offset by a $2.2 million increase in inventories.</w:t>
      </w:r>
    </w:p>
    <w:p>
      <w:pPr>
        <w:spacing w:after="0" w:line="13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212529"/>
        </w:rPr>
        <w:t xml:space="preserve">Net cash provided by investing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was $4.2 million and consisted primarily of $20.4 million in proceeds from the sale of deposits partially offset by $15.0 million in bank deposits and a $1.3 million purchase of property and equipment.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 xml:space="preserve">Net cash used in financing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was $16.8 million representing the</w:t>
      </w:r>
    </w:p>
    <w:p>
      <w:pPr>
        <w:spacing w:after="0" w:line="27" w:lineRule="exact"/>
        <w:rPr>
          <w:sz w:val="20"/>
          <w:szCs w:val="20"/>
          <w:color w:val="auto"/>
        </w:rPr>
      </w:pPr>
    </w:p>
    <w:p>
      <w:pPr>
        <w:ind w:left="60" w:right="479"/>
        <w:spacing w:after="0" w:line="260" w:lineRule="auto"/>
        <w:rPr>
          <w:sz w:val="20"/>
          <w:szCs w:val="20"/>
          <w:color w:val="auto"/>
        </w:rPr>
      </w:pPr>
      <w:r>
        <w:rPr>
          <w:rFonts w:ascii="Times New Roman" w:cs="Times New Roman" w:eastAsia="Times New Roman" w:hAnsi="Times New Roman"/>
          <w:sz w:val="18"/>
          <w:szCs w:val="18"/>
          <w:color w:val="212529"/>
        </w:rPr>
        <w:t xml:space="preserve">$20.4 million payment of the outstanding principal under our 2024 Notes which matured in September 2024, partially offset by $3.6 million </w:t>
      </w:r>
      <w:r>
        <w:rPr>
          <w:rFonts w:ascii="Times New Roman" w:cs="Times New Roman" w:eastAsia="Times New Roman" w:hAnsi="Times New Roman"/>
          <w:sz w:val="18"/>
          <w:szCs w:val="18"/>
          <w:color w:val="000000"/>
        </w:rPr>
        <w:t>from the sale of common stock under our ATM program</w:t>
      </w:r>
      <w:r>
        <w:rPr>
          <w:rFonts w:ascii="Times New Roman" w:cs="Times New Roman" w:eastAsia="Times New Roman" w:hAnsi="Times New Roman"/>
          <w:sz w:val="18"/>
          <w:szCs w:val="18"/>
          <w:color w:val="212529"/>
        </w:rPr>
        <w: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or Elfabrio. We have generated operating losses from our continuing operations since our inception although the revenues generated in the years ended December 31, 2023 and 2024 exceeded our expenditures for the same periods.</w:t>
      </w:r>
    </w:p>
    <w:p>
      <w:pPr>
        <w:spacing w:after="0" w:line="18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212529"/>
        </w:rPr>
        <w:t xml:space="preserve">As the 2024 Notes were paid in full during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2024, we are no longer subject to the financial limitations related to such notes.</w:t>
      </w:r>
    </w:p>
    <w:p>
      <w:pPr>
        <w:spacing w:after="0" w:line="121"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Currently, our material cash needs include, among other expenses, (i) costs of preclinical and clinical trials, in particular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those of our RELEASE study, (ii) employee salaries, (iii) payments for rent and operation of our manufacturing facilities,</w:t>
      </w:r>
    </w:p>
    <w:p>
      <w:pPr>
        <w:spacing w:after="0" w:line="27" w:lineRule="exact"/>
        <w:rPr>
          <w:sz w:val="20"/>
          <w:szCs w:val="20"/>
          <w:color w:val="auto"/>
        </w:rPr>
      </w:pPr>
    </w:p>
    <w:p>
      <w:pPr>
        <w:ind w:left="360" w:hanging="310"/>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to our consultants and legal advisors, patent advisors, and fees for service providers in connection with our</w:t>
      </w:r>
    </w:p>
    <w:p>
      <w:pPr>
        <w:spacing w:after="0" w:line="9" w:lineRule="exact"/>
        <w:rPr>
          <w:rFonts w:ascii="Times New Roman" w:cs="Times New Roman" w:eastAsia="Times New Roman" w:hAnsi="Times New Roman"/>
          <w:sz w:val="18"/>
          <w:szCs w:val="18"/>
          <w:color w:val="auto"/>
        </w:rPr>
      </w:pPr>
    </w:p>
    <w:p>
      <w:pPr>
        <w:ind w:left="60" w:right="3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efforts, (v) expansion of addition manufacturing space within our current facility, and (vi) tax payments. We believe that the funds currently available to us are sufficient to satisfy our capital needs for at least</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from the date this report is issued.</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35" w:lineRule="exact"/>
        <w:rPr>
          <w:sz w:val="20"/>
          <w:szCs w:val="20"/>
          <w:color w:val="auto"/>
        </w:rPr>
      </w:pPr>
    </w:p>
    <w:p>
      <w:pPr>
        <w:ind w:left="1040" w:right="29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00"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operating lease obligations, purchase obligations, certain clinical contracts, and the liability for employee rights upon retirement.</w:t>
      </w:r>
    </w:p>
    <w:p>
      <w:pPr>
        <w:spacing w:after="0" w:line="12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lease certain assets under operating leases which are currently in effect until December 31, 2031 with up to four five-year automatic extensions at our discretion. The leases relate primarily to office, laboratory and manufacturing space and vehicles used by our employees. Our aggregate future minimum commitments under these facility and vehicles leases over the next five fiscal years is approximately $1.7 million as of December 31, 2025.</w:t>
      </w:r>
    </w:p>
    <w:p>
      <w:pPr>
        <w:spacing w:after="0" w:line="13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As of December 31, 2025, we are subject to open purchase orders issued to certain suppliers and other vendors mainly in connection with our outstanding research and development and manufacturing activities of approximately $11.2 million over the next five fiscal years.</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a contractual obligation of approximately $17.7 million as of December 31, 2025 payable over the fiscal year ending December 31, 2025 in connection with contractual arrangements we enter into in the normal course of business with CROs, CMOs and other clinical providers and consultants for clinical trials, preclinical and other research studies and manufacturing services in connection with our primary product development process. These contracts do not contain minimum purchase commitments and are cancelable by us upon prior notice. Payments due upon cancellation consist only of payments for services provided or expenses incurred, including non-cancelable obligations of our service providers, up to the date of cancellation.</w:t>
      </w:r>
    </w:p>
    <w:p>
      <w:pPr>
        <w:spacing w:after="0" w:line="148"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As of December 31, 2025, we had a contractual obligation of approximately $0.7 million for employee rights upon retirement.</w:t>
      </w:r>
    </w:p>
    <w:p>
      <w:pPr>
        <w:spacing w:after="0" w:line="12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are also party to certain research and license agreements. If all of the contingencies with respect to milestone payments under our research and license agreements are met, as of December 31, 2025, the aggregate milestone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payments payable would be approximately $8.4 million, and would be payable, if at all, as our projects progress over the course of a number of years. The royalty payments payable by our company in connection with sales of each of our product candidates, if any, shall not exceed low, single-digit percentages of net sales of the relevant product.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Currency fluctuations could affect us through increased or decreased acquisition costs for certain goods and services. For the year ended December 31, 2025, the currency fluctuations were expenses of $1.2 million. We do not believe currency fluctuations have had a material effect on our results of operations during the years ended December 31, 2023 or 2024</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Certain recently issued and recently adopted accounting pronouncements are discussed in Note 1(t) of the financial statements included in Item 8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above 50%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Approximately 41%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29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7620</wp:posOffset>
            </wp:positionV>
            <wp:extent cx="1577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ind w:left="5640"/>
        <w:spacing w:after="0"/>
        <w:tabs>
          <w:tab w:leader="none" w:pos="6500" w:val="left"/>
          <w:tab w:leader="none" w:pos="7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3.452</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3.647</w:t>
            </w:r>
          </w:p>
        </w:tc>
        <w:tc>
          <w:tcPr>
            <w:tcW w:w="1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3.190</w:t>
            </w:r>
          </w:p>
        </w:tc>
        <w:tc>
          <w:tcPr>
            <w:tcW w:w="160" w:type="dxa"/>
            <w:vAlign w:val="bottom"/>
          </w:tcPr>
          <w:p>
            <w:pPr>
              <w:spacing w:after="0"/>
              <w:rPr>
                <w:sz w:val="20"/>
                <w:szCs w:val="20"/>
                <w:color w:val="auto"/>
              </w:rPr>
            </w:pPr>
          </w:p>
        </w:tc>
      </w:tr>
    </w:tbl>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engaged in hedging transactions. In 2026, we entered into certain currency hedging transactions, and we expect to continue to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u w:val="single" w:color="auto"/>
          <w:color w:val="0000EE"/>
        </w:rPr>
        <w:t>Index to Consolidated Financial Statements</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ind w:left="60" w:right="1299"/>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defined in Rules 13a-15(e) and 15d-15(e) under the Exchange Act)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61"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evaluation of our disclosure controls and procedures included a review of the controls’ objectives and design, our implementation of the controls and their effect on the information generated for use in this Annual Report on Form 10-K.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pacing w:after="0" w:line="14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subsidiaries are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54"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2025, the end of our fiscal year. Management based its assessment on criteria established in Internal Control—Integrated Framework (2013) issued by the Committee of Sponsoring Organizations of the Treadway Commission (COSO). Management’s assessment included evaluation of elements such as the design and operating effectiveness of key financial reporting controls, process documentation, accounting policies and our overall control environment.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8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2025 that have materially affected, or that are reasonably likely to materially affect, our internal control over financial reporting.</w:t>
      </w:r>
    </w:p>
    <w:p>
      <w:pPr>
        <w:spacing w:after="0" w:line="14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March 17, 2026, a majority of the independent members of our Board of Directors approved the promotion of Yaron Naos, our Sr. Vice President, Operations to Chief Operating Officer, a position that more accurately reflects the performance of Mr. Naos during recent years as our second commercial product was launched and as we progress with the clinical development of PRX-115, our potential third commercial product. The promotion involved a raise in Mr. Naos’ monthly salary from NIS 65,500 (approximately $21,150) to NIS 70,000 (approximately $22,600).</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0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ind w:left="60" w:right="2739"/>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information in our 2026 Proxy Statement regarding directors and executive officers appearing under the headings “Security Ownership of Certain Beneficial Owners and Management — Section 16(a) Beneficial Ownership Reporting Compliance” and “Election of Directors” is incorporated by reference in this section.</w:t>
      </w:r>
    </w:p>
    <w:p>
      <w:pPr>
        <w:spacing w:after="0" w:line="13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our directors, officers, and employees, and by our company. We believe this policy is reasonably designed to promote compliance with insider trading laws, rules, and regulations and listing standards applicable to our company. A copy of our insider trading policy is filed as Exhibit 19 to this Annual Report on Form 10-K.</w:t>
      </w:r>
    </w:p>
    <w:p>
      <w:pPr>
        <w:spacing w:after="0" w:line="149"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information appearing in our 2026 Proxy Statement under the headings “Director Compensation,” “Compensation Discussion and Analysis,” “Report of the Compensation Committee,” and “Executive Compensation”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2026 Proxy Statement under the heading “Security Ownership of Certain Beneficial Owners and Management”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The information appearing in our 2026 Proxy Statement under the headings “Election of Directors—Corporate Governance” and “—Certain Relationships and Related Transactions” is incorporated by reference in this section.</w:t>
      </w:r>
    </w:p>
    <w:p>
      <w:pPr>
        <w:spacing w:after="0" w:line="109"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is </w:t>
      </w:r>
      <w:r>
        <w:rPr>
          <w:rFonts w:ascii="Times New Roman" w:cs="Times New Roman" w:eastAsia="Times New Roman" w:hAnsi="Times New Roman"/>
          <w:sz w:val="18"/>
          <w:szCs w:val="18"/>
          <w:u w:val="single" w:color="auto"/>
          <w:color w:val="0000EE"/>
        </w:rPr>
        <w:t>Kesselman &amp; Kesselman, Certified Public Accountants (Isr.),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member of PricewaterhouseCoopers International Limited,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Tel Aviv, Israel, PCAOB ID. No. 1309.</w:t>
      </w:r>
    </w:p>
    <w:p>
      <w:pPr>
        <w:spacing w:after="0" w:line="12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2026 Proxy Statement under the heading “Ratification of Appointment of Independent Registered Public Accounting Firm” is incorporated by reference in this section.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83" w:lineRule="exact"/>
        <w:rPr>
          <w:sz w:val="20"/>
          <w:szCs w:val="20"/>
          <w:color w:val="auto"/>
        </w:rPr>
      </w:pPr>
    </w:p>
    <w:p>
      <w:pPr>
        <w:ind w:left="60" w:right="279" w:firstLine="638"/>
        <w:spacing w:after="0" w:line="284" w:lineRule="auto"/>
        <w:tabs>
          <w:tab w:leader="none" w:pos="8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Consolidated Financial Statements of Protalix BioTherapeutics, Inc.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Item 8 of this Annual Report on Form 10-K:</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name: Kesselman &amp; Kesselman C.P.A.s and</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420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020" w:type="dxa"/>
            <w:vAlign w:val="bottom"/>
            <w:tcBorders>
              <w:top w:val="single" w:sz="8" w:color="CCEEFF"/>
            </w:tcBorders>
            <w:gridSpan w:val="5"/>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180" w:type="dxa"/>
            <w:vAlign w:val="bottom"/>
          </w:tcPr>
          <w:p>
            <w:pPr>
              <w:spacing w:after="0"/>
              <w:rPr>
                <w:sz w:val="15"/>
                <w:szCs w:val="15"/>
                <w:color w:val="auto"/>
              </w:rPr>
            </w:pPr>
          </w:p>
        </w:tc>
        <w:tc>
          <w:tcPr>
            <w:tcW w:w="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8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2023, 2024, and 2025</w:t>
            </w:r>
          </w:p>
        </w:tc>
        <w:tc>
          <w:tcPr>
            <w:tcW w:w="1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32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(Capital Deficiency) for the years ended</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2023, 2024, and 2025</w:t>
            </w:r>
          </w:p>
        </w:tc>
        <w:tc>
          <w:tcPr>
            <w:tcW w:w="180" w:type="dxa"/>
            <w:vAlign w:val="bottom"/>
          </w:tcPr>
          <w:p>
            <w:pPr>
              <w:spacing w:after="0"/>
              <w:rPr>
                <w:sz w:val="17"/>
                <w:szCs w:val="17"/>
                <w:color w:val="auto"/>
              </w:rPr>
            </w:pPr>
          </w:p>
        </w:tc>
        <w:tc>
          <w:tcPr>
            <w:tcW w:w="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9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0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39" w:firstLine="638"/>
        <w:spacing w:after="0" w:line="315" w:lineRule="auto"/>
        <w:tabs>
          <w:tab w:leader="none" w:pos="88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 </w:t>
      </w:r>
      <w:r>
        <w:rPr>
          <w:rFonts w:ascii="Times New Roman" w:cs="Times New Roman" w:eastAsia="Times New Roman" w:hAnsi="Times New Roman"/>
          <w:sz w:val="17"/>
          <w:szCs w:val="17"/>
          <w:color w:val="auto"/>
        </w:rPr>
        <w:t>Financial statement schedules have been omitted since they are either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are not applicable or the required information is shown in the consolidated financial statements or related notes.</w:t>
      </w:r>
    </w:p>
    <w:p>
      <w:pPr>
        <w:spacing w:after="0" w:line="107" w:lineRule="exact"/>
        <w:rPr>
          <w:rFonts w:ascii="Times New Roman" w:cs="Times New Roman" w:eastAsia="Times New Roman" w:hAnsi="Times New Roman"/>
          <w:sz w:val="17"/>
          <w:szCs w:val="17"/>
          <w:color w:val="auto"/>
        </w:rPr>
      </w:pPr>
    </w:p>
    <w:p>
      <w:pPr>
        <w:ind w:left="880" w:hanging="18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8"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At the Market Offering Agreement,</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gridSpan w:val="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dated February 27, 2023, between the</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Company and H.C. Wainwright &amp; Co.,</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6">
              <w:r>
                <w:rPr>
                  <w:rFonts w:ascii="Times New Roman" w:cs="Times New Roman" w:eastAsia="Times New Roman" w:hAnsi="Times New Roman"/>
                  <w:sz w:val="18"/>
                  <w:szCs w:val="18"/>
                  <w:color w:val="0000EE"/>
                  <w:w w:val="93"/>
                </w:rPr>
                <w:t>LLC</w:t>
              </w:r>
            </w:hyperlink>
          </w:p>
        </w:tc>
        <w:tc>
          <w:tcPr>
            <w:tcW w:w="2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Form</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 xml:space="preserve">Exhibit   </w:t>
            </w:r>
            <w:r>
              <w:rPr>
                <w:rFonts w:ascii="Times New Roman" w:cs="Times New Roman" w:eastAsia="Times New Roman" w:hAnsi="Times New Roman"/>
                <w:sz w:val="14"/>
                <w:szCs w:val="14"/>
                <w:color w:val="auto"/>
              </w:rPr>
              <w:t>​</w:t>
            </w:r>
          </w:p>
        </w:tc>
        <w:tc>
          <w:tcPr>
            <w:tcW w:w="1420" w:type="dxa"/>
            <w:vAlign w:val="bottom"/>
            <w:vMerge w:val="continue"/>
          </w:tcPr>
          <w:p>
            <w:pPr>
              <w:spacing w:after="0"/>
              <w:rPr>
                <w:sz w:val="14"/>
                <w:szCs w:val="1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4"/>
        </w:trPr>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240" w:type="dxa"/>
            <w:vAlign w:val="bottom"/>
          </w:tcPr>
          <w:p>
            <w:pPr>
              <w:spacing w:after="0"/>
              <w:rPr>
                <w:sz w:val="20"/>
                <w:szCs w:val="20"/>
                <w:color w:val="auto"/>
              </w:rPr>
            </w:pPr>
          </w:p>
        </w:tc>
        <w:tc>
          <w:tcPr>
            <w:tcW w:w="94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2023</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1" w:lineRule="exact"/>
        <w:rPr>
          <w:sz w:val="20"/>
          <w:szCs w:val="20"/>
          <w:color w:val="auto"/>
        </w:rPr>
      </w:pPr>
    </w:p>
    <w:p>
      <w:pPr>
        <w:sectPr>
          <w:pgSz w:w="11900" w:h="16838" w:orient="portrait"/>
          <w:cols w:equalWidth="0" w:num="2">
            <w:col w:w="3680" w:space="140"/>
            <w:col w:w="519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2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Letter Agreement dated March 17, 2025</w:t>
              </w:r>
            </w:hyperlink>
          </w:p>
        </w:tc>
        <w:tc>
          <w:tcPr>
            <w:tcW w:w="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196"/>
        </w:trPr>
        <w:tc>
          <w:tcPr>
            <w:tcW w:w="820" w:type="dxa"/>
            <w:vAlign w:val="bottom"/>
          </w:tcPr>
          <w:p>
            <w:pPr>
              <w:spacing w:after="0"/>
              <w:rPr>
                <w:sz w:val="17"/>
                <w:szCs w:val="17"/>
                <w:color w:val="auto"/>
              </w:rPr>
            </w:pPr>
          </w:p>
        </w:tc>
        <w:tc>
          <w:tcPr>
            <w:tcW w:w="3040" w:type="dxa"/>
            <w:vAlign w:val="bottom"/>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to the At the Market Offering</w:t>
              </w:r>
            </w:hyperlink>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040" w:type="dxa"/>
            <w:vAlign w:val="bottom"/>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Agreement, dated February 27, 2023,</w:t>
              </w:r>
            </w:hyperlink>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between the Company and H.C.</w:t>
              </w:r>
            </w:hyperlink>
          </w:p>
        </w:tc>
        <w:tc>
          <w:tcPr>
            <w:tcW w:w="380" w:type="dxa"/>
            <w:vAlign w:val="bottom"/>
            <w:tcBorders>
              <w:top w:val="single" w:sz="8" w:color="0000EE"/>
            </w:tcBorders>
            <w:gridSpan w:val="5"/>
          </w:tcPr>
          <w:p>
            <w:pPr>
              <w:spacing w:after="0"/>
              <w:rPr>
                <w:sz w:val="17"/>
                <w:szCs w:val="17"/>
                <w:color w:val="auto"/>
              </w:rPr>
            </w:pPr>
          </w:p>
        </w:tc>
        <w:tc>
          <w:tcPr>
            <w:tcW w:w="3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Wainwright &amp; Co., LLC</w:t>
              </w:r>
            </w:hyperlink>
          </w:p>
        </w:tc>
        <w:tc>
          <w:tcPr>
            <w:tcW w:w="128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2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Letter Agreement dated August 22,</w:t>
              </w:r>
            </w:hyperlink>
          </w:p>
        </w:tc>
        <w:tc>
          <w:tcPr>
            <w:tcW w:w="500" w:type="dxa"/>
            <w:vAlign w:val="bottom"/>
            <w:gridSpan w:val="4"/>
          </w:tcPr>
          <w:p>
            <w:pPr>
              <w:spacing w:after="0"/>
              <w:rPr>
                <w:sz w:val="24"/>
                <w:szCs w:val="24"/>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August 22, 2025</w:t>
            </w:r>
          </w:p>
        </w:tc>
      </w:tr>
      <w:tr>
        <w:trPr>
          <w:trHeight w:val="196"/>
        </w:trPr>
        <w:tc>
          <w:tcPr>
            <w:tcW w:w="820" w:type="dxa"/>
            <w:vAlign w:val="bottom"/>
          </w:tcPr>
          <w:p>
            <w:pPr>
              <w:spacing w:after="0"/>
              <w:rPr>
                <w:sz w:val="17"/>
                <w:szCs w:val="17"/>
                <w:color w:val="auto"/>
              </w:rPr>
            </w:pPr>
          </w:p>
        </w:tc>
        <w:tc>
          <w:tcPr>
            <w:tcW w:w="3040" w:type="dxa"/>
            <w:vAlign w:val="bottom"/>
            <w:gridSpan w:val="1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2025 to the At the Market Offering</w:t>
              </w:r>
            </w:hyperlink>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040" w:type="dxa"/>
            <w:vAlign w:val="bottom"/>
            <w:gridSpan w:val="1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Agreement, dated February 27, 2023,</w:t>
              </w:r>
            </w:hyperlink>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between the Company and H.C.</w:t>
              </w:r>
            </w:hyperlink>
          </w:p>
        </w:tc>
        <w:tc>
          <w:tcPr>
            <w:tcW w:w="380" w:type="dxa"/>
            <w:vAlign w:val="bottom"/>
            <w:tcBorders>
              <w:top w:val="single" w:sz="8" w:color="0000EE"/>
            </w:tcBorders>
            <w:gridSpan w:val="5"/>
          </w:tcPr>
          <w:p>
            <w:pPr>
              <w:spacing w:after="0"/>
              <w:rPr>
                <w:sz w:val="17"/>
                <w:szCs w:val="17"/>
                <w:color w:val="auto"/>
              </w:rPr>
            </w:pPr>
          </w:p>
        </w:tc>
        <w:tc>
          <w:tcPr>
            <w:tcW w:w="3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8">
              <w:r>
                <w:rPr>
                  <w:rFonts w:ascii="Times New Roman" w:cs="Times New Roman" w:eastAsia="Times New Roman" w:hAnsi="Times New Roman"/>
                  <w:sz w:val="18"/>
                  <w:szCs w:val="18"/>
                  <w:color w:val="0000EE"/>
                  <w:w w:val="97"/>
                </w:rPr>
                <w:t>Wainwright &amp; Co., LLC</w:t>
              </w:r>
            </w:hyperlink>
          </w:p>
        </w:tc>
        <w:tc>
          <w:tcPr>
            <w:tcW w:w="128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Certificate of Incorporation of the</w:t>
              </w:r>
            </w:hyperlink>
          </w:p>
        </w:tc>
        <w:tc>
          <w:tcPr>
            <w:tcW w:w="540" w:type="dxa"/>
            <w:vAlign w:val="bottom"/>
            <w:gridSpan w:val="6"/>
          </w:tcPr>
          <w:p>
            <w:pPr>
              <w:spacing w:after="0"/>
              <w:rPr>
                <w:sz w:val="24"/>
                <w:szCs w:val="24"/>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April 1, 2016</w:t>
            </w:r>
          </w:p>
        </w:tc>
      </w:tr>
      <w:tr>
        <w:trPr>
          <w:trHeight w:val="196"/>
        </w:trPr>
        <w:tc>
          <w:tcPr>
            <w:tcW w:w="8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9">
              <w:r>
                <w:rPr>
                  <w:rFonts w:ascii="Times New Roman" w:cs="Times New Roman" w:eastAsia="Times New Roman" w:hAnsi="Times New Roman"/>
                  <w:sz w:val="18"/>
                  <w:szCs w:val="18"/>
                  <w:color w:val="0000EE"/>
                  <w:w w:val="97"/>
                </w:rPr>
                <w:t>Company</w:t>
              </w:r>
            </w:hyperlink>
          </w:p>
        </w:tc>
        <w:tc>
          <w:tcPr>
            <w:tcW w:w="234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040" w:type="dxa"/>
            <w:vAlign w:val="bottom"/>
            <w:gridSpan w:val="12"/>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to Certificate of</w:t>
              </w:r>
            </w:hyperlink>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Appen. A</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July 1, 2016</w:t>
            </w:r>
          </w:p>
        </w:tc>
      </w:tr>
      <w:tr>
        <w:trPr>
          <w:trHeight w:val="20"/>
        </w:trPr>
        <w:tc>
          <w:tcPr>
            <w:tcW w:w="82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Incorporation of the Company</w:t>
              </w:r>
            </w:hyperlink>
          </w:p>
        </w:tc>
        <w:tc>
          <w:tcPr>
            <w:tcW w:w="860" w:type="dxa"/>
            <w:vAlign w:val="bottom"/>
            <w:gridSpan w:val="8"/>
          </w:tcPr>
          <w:p>
            <w:pPr>
              <w:spacing w:after="0"/>
              <w:rPr>
                <w:sz w:val="17"/>
                <w:szCs w:val="17"/>
                <w:color w:val="auto"/>
              </w:rPr>
            </w:pPr>
          </w:p>
        </w:tc>
        <w:tc>
          <w:tcPr>
            <w:tcW w:w="6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040" w:type="dxa"/>
            <w:vAlign w:val="bottom"/>
            <w:gridSpan w:val="12"/>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Second Amendment to Certificate of</w:t>
              </w:r>
            </w:hyperlink>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Appen. A</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October 17, 2018</w:t>
            </w:r>
          </w:p>
        </w:tc>
      </w:tr>
      <w:tr>
        <w:trPr>
          <w:trHeight w:val="196"/>
        </w:trPr>
        <w:tc>
          <w:tcPr>
            <w:tcW w:w="8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Incorporation of the Company</w:t>
              </w:r>
            </w:hyperlink>
          </w:p>
        </w:tc>
        <w:tc>
          <w:tcPr>
            <w:tcW w:w="46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6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Third Amendment to Certificate of</w:t>
              </w:r>
            </w:hyperlink>
          </w:p>
        </w:tc>
        <w:tc>
          <w:tcPr>
            <w:tcW w:w="520" w:type="dxa"/>
            <w:vAlign w:val="bottom"/>
            <w:gridSpan w:val="5"/>
          </w:tcPr>
          <w:p>
            <w:pPr>
              <w:spacing w:after="0"/>
              <w:rPr>
                <w:sz w:val="24"/>
                <w:szCs w:val="24"/>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001-33357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20, 2019</w:t>
            </w:r>
          </w:p>
        </w:tc>
      </w:tr>
      <w:tr>
        <w:trPr>
          <w:trHeight w:val="196"/>
        </w:trPr>
        <w:tc>
          <w:tcPr>
            <w:tcW w:w="82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Incorporation of the Company</w:t>
              </w:r>
            </w:hyperlink>
          </w:p>
        </w:tc>
        <w:tc>
          <w:tcPr>
            <w:tcW w:w="8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6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Fourth Amendment to Certificate of</w:t>
              </w:r>
            </w:hyperlink>
          </w:p>
        </w:tc>
        <w:tc>
          <w:tcPr>
            <w:tcW w:w="440" w:type="dxa"/>
            <w:vAlign w:val="bottom"/>
            <w:gridSpan w:val="11"/>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August 15, 2022</w:t>
            </w:r>
          </w:p>
        </w:tc>
      </w:tr>
      <w:tr>
        <w:trPr>
          <w:trHeight w:val="196"/>
        </w:trPr>
        <w:tc>
          <w:tcPr>
            <w:tcW w:w="82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Incorporation of the Company</w:t>
              </w:r>
            </w:hyperlink>
          </w:p>
        </w:tc>
        <w:tc>
          <w:tcPr>
            <w:tcW w:w="860" w:type="dxa"/>
            <w:vAlign w:val="bottom"/>
            <w:gridSpan w:val="21"/>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Fifth Amendment to Certificate of</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196"/>
        </w:trPr>
        <w:tc>
          <w:tcPr>
            <w:tcW w:w="8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Incorporation of the Company</w:t>
              </w:r>
            </w:hyperlink>
          </w:p>
        </w:tc>
        <w:tc>
          <w:tcPr>
            <w:tcW w:w="280" w:type="dxa"/>
            <w:vAlign w:val="bottom"/>
            <w:tcBorders>
              <w:top w:val="single" w:sz="8" w:color="0000EE"/>
            </w:tcBorders>
            <w:gridSpan w:val="5"/>
          </w:tcPr>
          <w:p>
            <w:pPr>
              <w:spacing w:after="0"/>
              <w:rPr>
                <w:sz w:val="17"/>
                <w:szCs w:val="17"/>
                <w:color w:val="auto"/>
              </w:rPr>
            </w:pPr>
          </w:p>
        </w:tc>
        <w:tc>
          <w:tcPr>
            <w:tcW w:w="58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Second Amended and Restated Bylaws</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May 9, 2025</w:t>
            </w:r>
          </w:p>
        </w:tc>
      </w:tr>
      <w:tr>
        <w:trPr>
          <w:trHeight w:val="196"/>
        </w:trPr>
        <w:tc>
          <w:tcPr>
            <w:tcW w:w="8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of the Company</w:t>
              </w:r>
            </w:hyperlink>
          </w:p>
        </w:tc>
        <w:tc>
          <w:tcPr>
            <w:tcW w:w="1660" w:type="dxa"/>
            <w:vAlign w:val="bottom"/>
            <w:tcBorders>
              <w:top w:val="single" w:sz="8" w:color="0000EE"/>
            </w:tcBorders>
            <w:gridSpan w:val="23"/>
          </w:tcPr>
          <w:p>
            <w:pPr>
              <w:spacing w:after="0"/>
              <w:rPr>
                <w:sz w:val="17"/>
                <w:szCs w:val="17"/>
                <w:color w:val="auto"/>
              </w:rPr>
            </w:pPr>
          </w:p>
        </w:tc>
        <w:tc>
          <w:tcPr>
            <w:tcW w:w="2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Restricted Stock</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18, 2012</w:t>
            </w:r>
          </w:p>
        </w:tc>
      </w:tr>
      <w:tr>
        <w:trPr>
          <w:trHeight w:val="196"/>
        </w:trPr>
        <w:tc>
          <w:tcPr>
            <w:tcW w:w="820" w:type="dxa"/>
            <w:vAlign w:val="bottom"/>
          </w:tcPr>
          <w:p>
            <w:pPr>
              <w:spacing w:after="0"/>
              <w:rPr>
                <w:sz w:val="17"/>
                <w:szCs w:val="17"/>
                <w:color w:val="auto"/>
              </w:rPr>
            </w:pPr>
          </w:p>
        </w:tc>
        <w:tc>
          <w:tcPr>
            <w:tcW w:w="18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Agreement/Notice</w:t>
              </w:r>
            </w:hyperlink>
          </w:p>
        </w:tc>
        <w:tc>
          <w:tcPr>
            <w:tcW w:w="1240" w:type="dxa"/>
            <w:vAlign w:val="bottom"/>
            <w:gridSpan w:val="24"/>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Stock Option Agreement</w:t>
              </w:r>
            </w:hyperlink>
          </w:p>
        </w:tc>
        <w:tc>
          <w:tcPr>
            <w:tcW w:w="600" w:type="dxa"/>
            <w:vAlign w:val="bottom"/>
            <w:gridSpan w:val="17"/>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(Executives)</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Stock Option Agreement</w:t>
              </w:r>
            </w:hyperlink>
          </w:p>
        </w:tc>
        <w:tc>
          <w:tcPr>
            <w:tcW w:w="600" w:type="dxa"/>
            <w:vAlign w:val="bottom"/>
            <w:gridSpan w:val="17"/>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8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(Standard)</w:t>
              </w:r>
            </w:hyperlink>
          </w:p>
        </w:tc>
        <w:tc>
          <w:tcPr>
            <w:tcW w:w="2280" w:type="dxa"/>
            <w:vAlign w:val="bottom"/>
            <w:gridSpan w:val="30"/>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0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Lease Agreement between Protalix Ltd.</w:t>
              </w:r>
            </w:hyperlink>
          </w:p>
        </w:tc>
        <w:tc>
          <w:tcPr>
            <w:tcW w:w="180" w:type="dxa"/>
            <w:vAlign w:val="bottom"/>
            <w:gridSpan w:val="3"/>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January 8, 2007</w:t>
            </w: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and Angel Science Park (99) Ltd., dated</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as of October 28, 2003 as amended on</w:t>
              </w:r>
            </w:hyperlink>
          </w:p>
        </w:tc>
        <w:tc>
          <w:tcPr>
            <w:tcW w:w="12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April 18, 2005</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Unprotected Lease Agreement</w:t>
              </w:r>
            </w:hyperlink>
          </w:p>
        </w:tc>
        <w:tc>
          <w:tcPr>
            <w:tcW w:w="840" w:type="dxa"/>
            <w:vAlign w:val="bottom"/>
            <w:gridSpan w:val="20"/>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March 17, 2008</w:t>
            </w: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Agreement</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between Protalix Ltd. and Comercio e</w:t>
              </w:r>
            </w:hyperlink>
          </w:p>
        </w:tc>
        <w:tc>
          <w:tcPr>
            <w:tcW w:w="30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Serviços Ltda. dated June 17, 2013</w:t>
              </w:r>
            </w:hyperlink>
          </w:p>
        </w:tc>
        <w:tc>
          <w:tcPr>
            <w:tcW w:w="50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Technology Transfer and Supply</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9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Agreement made as of June 18, 2013 by</w:t>
              </w:r>
            </w:hyperlink>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and between Protalix Ltd. and Fundação</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Oswaldo Cruz</w:t>
              </w:r>
            </w:hyperlink>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Binding Term Sheet between Protalix</w:t>
              </w:r>
            </w:hyperlink>
          </w:p>
        </w:tc>
        <w:tc>
          <w:tcPr>
            <w:tcW w:w="320" w:type="dxa"/>
            <w:vAlign w:val="bottom"/>
            <w:gridSpan w:val="8"/>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Ltd. and Chiesi Farmaceutici S.p.A.</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Amended and Restated Exclusive</w:t>
              </w:r>
            </w:hyperlink>
          </w:p>
        </w:tc>
        <w:tc>
          <w:tcPr>
            <w:tcW w:w="160" w:type="dxa"/>
            <w:vAlign w:val="bottom"/>
            <w:tcBorders>
              <w:top w:val="single" w:sz="8" w:color="0000EE"/>
            </w:tcBorders>
            <w:gridSpan w:val="6"/>
          </w:tcPr>
          <w:p>
            <w:pPr>
              <w:spacing w:after="0"/>
              <w:rPr>
                <w:sz w:val="24"/>
                <w:szCs w:val="24"/>
                <w:color w:val="auto"/>
              </w:rPr>
            </w:pPr>
          </w:p>
        </w:tc>
        <w:tc>
          <w:tcPr>
            <w:tcW w:w="460" w:type="dxa"/>
            <w:vAlign w:val="bottom"/>
            <w:gridSpan w:val="1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November 13, 2025</w:t>
            </w: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License and Supply Agreement by and</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between Pfizer Inc. and Protalix Ltd.,</w:t>
              </w:r>
            </w:hyperlink>
          </w:p>
        </w:tc>
        <w:tc>
          <w:tcPr>
            <w:tcW w:w="80" w:type="dxa"/>
            <w:vAlign w:val="bottom"/>
            <w:tcBorders>
              <w:top w:val="single" w:sz="8" w:color="0000EE"/>
            </w:tcBorders>
            <w:gridSpan w:val="4"/>
          </w:tcPr>
          <w:p>
            <w:pPr>
              <w:spacing w:after="0"/>
              <w:rPr>
                <w:sz w:val="17"/>
                <w:szCs w:val="17"/>
                <w:color w:val="auto"/>
              </w:rPr>
            </w:pPr>
          </w:p>
        </w:tc>
        <w:tc>
          <w:tcPr>
            <w:tcW w:w="26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dated October 12, 2015</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40" w:type="dxa"/>
            <w:vAlign w:val="bottom"/>
            <w:gridSpan w:val="32"/>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Exclusive License and Supply</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March 6, 2018</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Agreement dated as of October 17,</w:t>
              </w:r>
            </w:hyperlink>
          </w:p>
        </w:tc>
        <w:tc>
          <w:tcPr>
            <w:tcW w:w="52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2017, made by and between</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Protalix Ltd. and Chiesi Farmaceutici</w:t>
              </w:r>
            </w:hyperlink>
          </w:p>
        </w:tc>
        <w:tc>
          <w:tcPr>
            <w:tcW w:w="3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S.p.A.</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Exclusive U.S. License and Supply</w:t>
              </w:r>
            </w:hyperlink>
          </w:p>
        </w:tc>
        <w:tc>
          <w:tcPr>
            <w:tcW w:w="50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November 7, 2018</w:t>
            </w:r>
          </w:p>
        </w:tc>
      </w:tr>
      <w:tr>
        <w:trPr>
          <w:trHeight w:val="196"/>
        </w:trPr>
        <w:tc>
          <w:tcPr>
            <w:tcW w:w="820" w:type="dxa"/>
            <w:vAlign w:val="bottom"/>
          </w:tcPr>
          <w:p>
            <w:pPr>
              <w:spacing w:after="0"/>
              <w:rPr>
                <w:sz w:val="17"/>
                <w:szCs w:val="17"/>
                <w:color w:val="auto"/>
              </w:rPr>
            </w:pPr>
          </w:p>
        </w:tc>
        <w:tc>
          <w:tcPr>
            <w:tcW w:w="3040" w:type="dxa"/>
            <w:vAlign w:val="bottom"/>
            <w:gridSpan w:val="3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Agreement dated as of July 23, 2018,</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made by and between Protalix Ltd. and</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Chiesi Farmaceutici S.p.A.</w:t>
        </w:r>
      </w:hyperlink>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Employment Agreement made effective</w:t>
              </w:r>
            </w:hyperlink>
          </w:p>
        </w:tc>
        <w:tc>
          <w:tcPr>
            <w:tcW w:w="140" w:type="dxa"/>
            <w:vAlign w:val="bottom"/>
            <w:gridSpan w:val="2"/>
          </w:tcPr>
          <w:p>
            <w:pPr>
              <w:spacing w:after="0"/>
              <w:rPr>
                <w:sz w:val="17"/>
                <w:szCs w:val="17"/>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May 21, 2019</w:t>
            </w: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as of May 20, 2019, by and between</w:t>
              </w:r>
            </w:hyperlink>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5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Protalix Ltd. and Mr. Dror Bashan</w:t>
              </w:r>
            </w:hyperlink>
          </w:p>
        </w:tc>
        <w:tc>
          <w:tcPr>
            <w:tcW w:w="4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9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Amended and Restated Pro</w:t>
              </w:r>
            </w:hyperlink>
          </w:p>
        </w:tc>
        <w:tc>
          <w:tcPr>
            <w:tcW w:w="500" w:type="dxa"/>
            <w:vAlign w:val="bottom"/>
            <w:tcBorders>
              <w:top w:val="single" w:sz="8" w:color="0000EE"/>
            </w:tcBorders>
            <w:gridSpan w:val="4"/>
          </w:tcPr>
          <w:p>
            <w:pPr>
              <w:spacing w:after="0"/>
              <w:rPr>
                <w:sz w:val="24"/>
                <w:szCs w:val="24"/>
                <w:color w:val="auto"/>
              </w:rPr>
            </w:pPr>
          </w:p>
        </w:tc>
        <w:tc>
          <w:tcPr>
            <w:tcW w:w="560" w:type="dxa"/>
            <w:vAlign w:val="bottom"/>
            <w:gridSpan w:val="12"/>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June 28, 2024</w:t>
            </w: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BioTherapeutics, Inc. 2006 Stock</w:t>
              </w:r>
            </w:hyperlink>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Incentive Plan, as amended</w:t>
              </w:r>
            </w:hyperlink>
          </w:p>
        </w:tc>
        <w:tc>
          <w:tcPr>
            <w:tcW w:w="440" w:type="dxa"/>
            <w:vAlign w:val="bottom"/>
            <w:tcBorders>
              <w:top w:val="single" w:sz="8" w:color="0000EE"/>
            </w:tcBorders>
            <w:gridSpan w:val="3"/>
          </w:tcPr>
          <w:p>
            <w:pPr>
              <w:spacing w:after="0"/>
              <w:rPr>
                <w:sz w:val="17"/>
                <w:szCs w:val="17"/>
                <w:color w:val="auto"/>
              </w:rPr>
            </w:pPr>
          </w:p>
        </w:tc>
        <w:tc>
          <w:tcPr>
            <w:tcW w:w="62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Fill/Finish Agreement effective on</w:t>
              </w:r>
            </w:hyperlink>
          </w:p>
        </w:tc>
        <w:tc>
          <w:tcPr>
            <w:tcW w:w="540" w:type="dxa"/>
            <w:vAlign w:val="bottom"/>
            <w:gridSpan w:val="11"/>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800" w:type="dxa"/>
            <w:vAlign w:val="bottom"/>
          </w:tcPr>
          <w:p>
            <w:pPr>
              <w:spacing w:after="0"/>
              <w:rPr>
                <w:sz w:val="17"/>
                <w:szCs w:val="17"/>
                <w:color w:val="auto"/>
              </w:rPr>
            </w:pPr>
          </w:p>
        </w:tc>
        <w:tc>
          <w:tcPr>
            <w:tcW w:w="2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August 29, 2022 made by and between</w:t>
              </w:r>
            </w:hyperlink>
          </w:p>
        </w:tc>
        <w:tc>
          <w:tcPr>
            <w:tcW w:w="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Chiesi Farmaceutici S.p.A and Protalix</w:t>
              </w:r>
            </w:hyperlink>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8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Ltd.</w:t>
              </w:r>
            </w:hyperlink>
          </w:p>
        </w:tc>
        <w:tc>
          <w:tcPr>
            <w:tcW w:w="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Letter Agreement dated August 29,</w:t>
              </w:r>
            </w:hyperlink>
          </w:p>
        </w:tc>
        <w:tc>
          <w:tcPr>
            <w:tcW w:w="480" w:type="dxa"/>
            <w:vAlign w:val="bottom"/>
            <w:gridSpan w:val="9"/>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800" w:type="dxa"/>
            <w:vAlign w:val="bottom"/>
          </w:tcPr>
          <w:p>
            <w:pPr>
              <w:spacing w:after="0"/>
              <w:rPr>
                <w:sz w:val="17"/>
                <w:szCs w:val="17"/>
                <w:color w:val="auto"/>
              </w:rPr>
            </w:pPr>
          </w:p>
        </w:tc>
        <w:tc>
          <w:tcPr>
            <w:tcW w:w="2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2022 from Chiesi Farmaceutici S.p.A to</w:t>
              </w:r>
            </w:hyperlink>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Protalix Ltd.</w:t>
              </w:r>
            </w:hyperlink>
          </w:p>
        </w:tc>
        <w:tc>
          <w:tcPr>
            <w:tcW w:w="21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Employment Agreement made effective</w:t>
              </w:r>
            </w:hyperlink>
          </w:p>
        </w:tc>
        <w:tc>
          <w:tcPr>
            <w:tcW w:w="140" w:type="dxa"/>
            <w:vAlign w:val="bottom"/>
            <w:gridSpan w:val="2"/>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July 21, 2025</w:t>
            </w: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as of June 13, 2025, by and between</w:t>
              </w:r>
            </w:hyperlink>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Protalix Ltd. and Mr. Gilad Mamlok</w:t>
              </w:r>
            </w:hyperlink>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25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6"/>
              </w:rPr>
            </w:pPr>
            <w:hyperlink r:id="rId124">
              <w:r>
                <w:rPr>
                  <w:rFonts w:ascii="Times New Roman" w:cs="Times New Roman" w:eastAsia="Times New Roman" w:hAnsi="Times New Roman"/>
                  <w:sz w:val="18"/>
                  <w:szCs w:val="18"/>
                  <w:color w:val="0000EE"/>
                  <w:w w:val="96"/>
                </w:rPr>
                <w:t>Insider Trading and Blackout Policy</w:t>
              </w:r>
            </w:hyperlink>
          </w:p>
        </w:tc>
        <w:tc>
          <w:tcPr>
            <w:tcW w:w="480" w:type="dxa"/>
            <w:vAlign w:val="bottom"/>
            <w:gridSpan w:val="9"/>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10-K</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Subsidiaries</w:t>
              </w:r>
            </w:hyperlink>
          </w:p>
        </w:tc>
        <w:tc>
          <w:tcPr>
            <w:tcW w:w="2140" w:type="dxa"/>
            <w:vAlign w:val="bottom"/>
            <w:gridSpan w:val="18"/>
          </w:tcPr>
          <w:p>
            <w:pPr>
              <w:spacing w:after="0"/>
              <w:rPr>
                <w:sz w:val="24"/>
                <w:szCs w:val="24"/>
                <w:color w:val="auto"/>
              </w:rPr>
            </w:pPr>
          </w:p>
        </w:tc>
        <w:tc>
          <w:tcPr>
            <w:tcW w:w="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10-K</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w:t>
            </w:r>
          </w:p>
        </w:tc>
        <w:tc>
          <w:tcPr>
            <w:tcW w:w="34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Certified Public Accountants (Isr.), a</w:t>
            </w:r>
          </w:p>
        </w:tc>
        <w:tc>
          <w:tcPr>
            <w:tcW w:w="38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member of PricewaterhouseCoopers</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International Limited, independent</w:t>
            </w:r>
          </w:p>
        </w:tc>
        <w:tc>
          <w:tcPr>
            <w:tcW w:w="40" w:type="dxa"/>
            <w:vAlign w:val="bottom"/>
            <w:tcBorders>
              <w:top w:val="single" w:sz="8" w:color="0000EE"/>
            </w:tcBorders>
          </w:tcPr>
          <w:p>
            <w:pPr>
              <w:spacing w:after="0"/>
              <w:rPr>
                <w:sz w:val="17"/>
                <w:szCs w:val="17"/>
                <w:color w:val="auto"/>
              </w:rPr>
            </w:pPr>
          </w:p>
        </w:tc>
        <w:tc>
          <w:tcPr>
            <w:tcW w:w="4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9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public accounting firm for the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Registrant</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0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Power of Attorney (included on the</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 page to this Annual Report on</w:t>
            </w:r>
          </w:p>
        </w:tc>
        <w:tc>
          <w:tcPr>
            <w:tcW w:w="1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w:t>
            </w:r>
          </w:p>
        </w:tc>
        <w:tc>
          <w:tcPr>
            <w:tcW w:w="21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12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w:t>
            </w:r>
          </w:p>
        </w:tc>
        <w:tc>
          <w:tcPr>
            <w:tcW w:w="86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20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2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w:t>
            </w:r>
          </w:p>
        </w:tc>
        <w:tc>
          <w:tcPr>
            <w:tcW w:w="86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884"/>
        </w:trPr>
        <w:tc>
          <w:tcPr>
            <w:tcW w:w="8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76</w:t>
            </w:r>
          </w:p>
        </w:tc>
        <w:tc>
          <w:tcPr>
            <w:tcW w:w="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18 U.S.C. Section 1350, as adopted</w:t>
            </w:r>
          </w:p>
        </w:tc>
        <w:tc>
          <w:tcPr>
            <w:tcW w:w="460" w:type="dxa"/>
            <w:vAlign w:val="bottom"/>
            <w:gridSpan w:val="4"/>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00" w:type="dxa"/>
            <w:vAlign w:val="bottom"/>
          </w:tcPr>
          <w:p>
            <w:pPr>
              <w:spacing w:after="0"/>
              <w:rPr>
                <w:sz w:val="17"/>
                <w:szCs w:val="17"/>
                <w:color w:val="auto"/>
              </w:rPr>
            </w:pPr>
          </w:p>
        </w:tc>
        <w:tc>
          <w:tcPr>
            <w:tcW w:w="3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0" w:type="dxa"/>
            <w:vAlign w:val="bottom"/>
            <w:tcBorders>
              <w:top w:val="single" w:sz="8" w:color="0000EE"/>
            </w:tcBorders>
          </w:tcPr>
          <w:p>
            <w:pPr>
              <w:spacing w:after="0"/>
              <w:rPr>
                <w:sz w:val="17"/>
                <w:szCs w:val="17"/>
                <w:color w:val="auto"/>
              </w:rPr>
            </w:pPr>
          </w:p>
        </w:tc>
        <w:tc>
          <w:tcPr>
            <w:tcW w:w="860" w:type="dxa"/>
            <w:vAlign w:val="bottom"/>
            <w:gridSpan w:val="6"/>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18 U.S.C. Section 1350, as adopted</w:t>
            </w:r>
          </w:p>
        </w:tc>
        <w:tc>
          <w:tcPr>
            <w:tcW w:w="460" w:type="dxa"/>
            <w:vAlign w:val="bottom"/>
            <w:gridSpan w:val="4"/>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00" w:type="dxa"/>
            <w:vAlign w:val="bottom"/>
          </w:tcPr>
          <w:p>
            <w:pPr>
              <w:spacing w:after="0"/>
              <w:rPr>
                <w:sz w:val="17"/>
                <w:szCs w:val="17"/>
                <w:color w:val="auto"/>
              </w:rPr>
            </w:pPr>
          </w:p>
        </w:tc>
        <w:tc>
          <w:tcPr>
            <w:tcW w:w="3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0" w:type="dxa"/>
            <w:vAlign w:val="bottom"/>
            <w:tcBorders>
              <w:top w:val="single" w:sz="8" w:color="0000EE"/>
            </w:tcBorders>
          </w:tcPr>
          <w:p>
            <w:pPr>
              <w:spacing w:after="0"/>
              <w:rPr>
                <w:sz w:val="17"/>
                <w:szCs w:val="17"/>
                <w:color w:val="auto"/>
              </w:rPr>
            </w:pPr>
          </w:p>
        </w:tc>
        <w:tc>
          <w:tcPr>
            <w:tcW w:w="860" w:type="dxa"/>
            <w:vAlign w:val="bottom"/>
            <w:gridSpan w:val="6"/>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8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Policy Relating to Recovery of</w:t>
              </w:r>
            </w:hyperlink>
          </w:p>
        </w:tc>
        <w:tc>
          <w:tcPr>
            <w:tcW w:w="200" w:type="dxa"/>
            <w:vAlign w:val="bottom"/>
            <w:gridSpan w:val="2"/>
          </w:tcPr>
          <w:p>
            <w:pPr>
              <w:spacing w:after="0"/>
              <w:rPr>
                <w:sz w:val="24"/>
                <w:szCs w:val="24"/>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   001-33357</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97.1</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14, 2024</w:t>
            </w:r>
          </w:p>
        </w:tc>
      </w:tr>
      <w:tr>
        <w:trPr>
          <w:trHeight w:val="20"/>
        </w:trPr>
        <w:tc>
          <w:tcPr>
            <w:tcW w:w="8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Erroneously Awarded Compensation</w:t>
              </w:r>
            </w:hyperlink>
          </w:p>
        </w:tc>
        <w:tc>
          <w:tcPr>
            <w:tcW w:w="360" w:type="dxa"/>
            <w:vAlign w:val="bottom"/>
            <w:gridSpan w:val="3"/>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00" w:type="dxa"/>
            <w:vAlign w:val="bottom"/>
          </w:tcPr>
          <w:p>
            <w:pPr>
              <w:spacing w:after="0"/>
              <w:rPr>
                <w:sz w:val="18"/>
                <w:szCs w:val="18"/>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SHEMA FILE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CALCULATION FILE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FILE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LABEL FILE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FILE</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00" w:type="dxa"/>
            <w:vAlign w:val="bottom"/>
          </w:tcPr>
          <w:p>
            <w:pPr>
              <w:spacing w:after="0"/>
              <w:rPr>
                <w:sz w:val="18"/>
                <w:szCs w:val="18"/>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formatted in Inline XBRL and included</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Exhibit 101</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8" w:lineRule="exact"/>
        <w:rPr>
          <w:sz w:val="20"/>
          <w:szCs w:val="20"/>
          <w:color w:val="auto"/>
        </w:rPr>
      </w:pPr>
    </w:p>
    <w:p>
      <w:pPr>
        <w:ind w:left="380" w:right="239" w:hanging="330"/>
        <w:spacing w:after="0" w:line="282" w:lineRule="auto"/>
        <w:tabs>
          <w:tab w:leader="none" w:pos="3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54" w:lineRule="exact"/>
        <w:rPr>
          <w:sz w:val="20"/>
          <w:szCs w:val="20"/>
          <w:color w:val="auto"/>
        </w:rPr>
      </w:pPr>
    </w:p>
    <w:p>
      <w:pPr>
        <w:ind w:left="380" w:right="179" w:hanging="330"/>
        <w:spacing w:after="0" w:line="266"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14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as of March 18, 2026.</w:t>
      </w:r>
    </w:p>
    <w:p>
      <w:pPr>
        <w:spacing w:after="0" w:line="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Dror Bashan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Dror Bashan and Gilad Mamlok,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8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Dror Bashan</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Dror Bashan</w:t>
            </w:r>
          </w:p>
        </w:tc>
        <w:tc>
          <w:tcPr>
            <w:tcW w:w="44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Gilad Mamlok</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Treasurer and</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Secretary (Principal Financial</w:t>
            </w: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Gilad Mamlok</w:t>
            </w:r>
          </w:p>
        </w:tc>
        <w:tc>
          <w:tcPr>
            <w:tcW w:w="44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Eliot Richard Forster</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Eliot Richard Forster, Ph.D.</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Amos Bar Shalev</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Amos Bar Shalev</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Shmuel Ben Zvi</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Shmuel Ben Zvi, Ph.D.</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Pol F. Boudes</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Pol F. Boudes, M.D.</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 Elze</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Christian Elze</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Gwen A. Melincoff</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Gwen A. Melincoff</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Aharon Schwartz</w:t>
            </w:r>
          </w:p>
        </w:tc>
        <w:tc>
          <w:tcPr>
            <w:tcW w:w="4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00" w:type="dxa"/>
            <w:vAlign w:val="bottom"/>
          </w:tcPr>
          <w:p>
            <w:pPr>
              <w:spacing w:after="0"/>
              <w:rPr>
                <w:sz w:val="24"/>
                <w:szCs w:val="24"/>
                <w:color w:val="auto"/>
              </w:rPr>
            </w:pP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18, 2026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Aharon Schwartz, Ph.D.</w:t>
            </w:r>
          </w:p>
        </w:tc>
        <w:tc>
          <w:tcPr>
            <w:tcW w:w="4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20" w:type="dxa"/>
            <w:vAlign w:val="bottom"/>
            <w:shd w:val="clear" w:color="auto" w:fill="CCEEFF"/>
          </w:tcPr>
          <w:p>
            <w:pPr>
              <w:spacing w:after="0"/>
              <w:rPr>
                <w:sz w:val="13"/>
                <w:szCs w:val="13"/>
                <w:color w:val="auto"/>
              </w:rPr>
            </w:pPr>
          </w:p>
        </w:tc>
        <w:tc>
          <w:tcPr>
            <w:tcW w:w="824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 xml:space="preserve">REPORT OF INDEPENDENT REGISTERED PUBLIC ACCOUNTING FIRM </w:t>
            </w:r>
            <w:r>
              <w:rPr>
                <w:rFonts w:ascii="Times New Roman" w:cs="Times New Roman" w:eastAsia="Times New Roman" w:hAnsi="Times New Roman"/>
                <w:sz w:val="15"/>
                <w:szCs w:val="15"/>
                <w:b w:val="1"/>
                <w:bCs w:val="1"/>
                <w:color w:val="000000"/>
              </w:rPr>
              <w:t>(PCAOB name:</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Kesselman &amp; Kesselman C.P.A.s and PCAOB ID: 1309)</w:t>
            </w:r>
          </w:p>
        </w:tc>
        <w:tc>
          <w:tcPr>
            <w:tcW w:w="208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2024, and 2025</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(Capital Deficiency) for the years ended</w:t>
            </w:r>
          </w:p>
        </w:tc>
        <w:tc>
          <w:tcPr>
            <w:tcW w:w="64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31, 2023, 2024, and 2025</w:t>
            </w:r>
          </w:p>
        </w:tc>
        <w:tc>
          <w:tcPr>
            <w:tcW w:w="9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822960" cy="522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8229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Protalix BioTherapeutics, Inc.</w:t>
      </w:r>
    </w:p>
    <w:p>
      <w:pPr>
        <w:spacing w:after="0" w:line="17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Protalix BioTherapeutics, Inc. and its subsidiary (the “Company”) as of December 31, 2025 and 2024, and the related consolidated statements of operations, changes in stockholders’ equity (capital deficiency) and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38"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member of PricewaterhouseCoopers International Limited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 Aviv, Israel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18,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deposit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2024 and 2025,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185,000,000 shares; issued and outstanding - as of December 31, 2024 and 2025,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75,850,275 and 80,425,981 shares,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67,512,527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72,530,698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78,546,234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82,424,016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81,057,176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78,546,234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DEFICIENCY)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00" w:type="dxa"/>
            <w:vAlign w:val="bottom"/>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009999"/>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Additional</w:t>
            </w:r>
          </w:p>
        </w:tc>
        <w:tc>
          <w:tcPr>
            <w:tcW w:w="96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5"/>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53,790,167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$ 379,167</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(389,861)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009999"/>
              </w:rPr>
              <w:t>​</w:t>
            </w:r>
          </w:p>
        </w:tc>
        <w:tc>
          <w:tcPr>
            <w:tcW w:w="5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0099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0099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9999"/>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12,560,150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1,371,362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99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72,952,124</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415,045</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(381,549)</w:t>
            </w:r>
          </w:p>
        </w:tc>
        <w:tc>
          <w:tcPr>
            <w:tcW w:w="30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adoption of ASU 2020-06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2,216,692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681,459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75,850,275</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$ 421,528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(378,393)</w:t>
            </w: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009999"/>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99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99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9999"/>
              </w:rPr>
              <w:t>​</w:t>
            </w:r>
          </w:p>
        </w:tc>
        <w:tc>
          <w:tcPr>
            <w:tcW w:w="6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2,775,215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99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00999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80,425,981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$ 433,147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(384,997)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Represents an amount less than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6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income (loss) to net cash provided by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of fixed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conversions of convertible notes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contracts liability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99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Increase in accounts payable and accruals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deposit withdrawal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paid (funded) in respect of employee rights upon retirement,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in restricted deposit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for convertible notes redemption</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2340" w:right="860"/>
        <w:spacing w:after="0" w:line="268" w:lineRule="auto"/>
        <w:rPr>
          <w:sz w:val="20"/>
          <w:szCs w:val="20"/>
          <w:color w:val="auto"/>
        </w:rPr>
      </w:pPr>
      <w:r>
        <w:rPr>
          <w:rFonts w:ascii="Times New Roman" w:cs="Times New Roman" w:eastAsia="Times New Roman" w:hAnsi="Times New Roman"/>
          <w:sz w:val="18"/>
          <w:szCs w:val="18"/>
          <w:b w:val="1"/>
          <w:bCs w:val="1"/>
          <w:color w:val="auto"/>
        </w:rPr>
        <w:t>PROTALIX BIOTHERAPEUTICS, INC. CONSOLIDATED STATEMENTS OF CASH FLOWS (CONTINUED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w:t>
      </w:r>
    </w:p>
    <w:p>
      <w:pPr>
        <w:spacing w:after="0" w:line="39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AND FINANCING ACTIVITIES NOT INVOLVING 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vMerge w:val="restart"/>
            <w:shd w:val="clear" w:color="auto" w:fill="CCEEFF"/>
          </w:tcPr>
          <w:p>
            <w:pPr>
              <w:ind w:left="200"/>
              <w:spacing w:after="0" w:line="171"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680" w:type="dxa"/>
            <w:vAlign w:val="bottom"/>
            <w:vMerge w:val="continue"/>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260" w:type="dxa"/>
            <w:vAlign w:val="bottom"/>
            <w:gridSpan w:val="2"/>
            <w:vMerge w:val="continue"/>
            <w:shd w:val="clear" w:color="auto" w:fill="CCEEFF"/>
          </w:tcPr>
          <w:p>
            <w:pPr>
              <w:spacing w:after="0"/>
              <w:rPr>
                <w:sz w:val="19"/>
                <w:szCs w:val="19"/>
                <w:color w:val="auto"/>
              </w:rPr>
            </w:pPr>
          </w:p>
        </w:tc>
        <w:tc>
          <w:tcPr>
            <w:tcW w:w="52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40" w:type="dxa"/>
            <w:vAlign w:val="bottom"/>
            <w:tcBorders>
              <w:right w:val="single" w:sz="8" w:color="CCEEFF"/>
            </w:tcBorders>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7,783</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8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7"/>
                <w:szCs w:val="17"/>
                <w:color w:val="auto"/>
              </w:rPr>
              <w:t>Partial settlement of liability for employee rights upon</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retirement through transfer of the related funds</w:t>
            </w:r>
          </w:p>
        </w:tc>
        <w:tc>
          <w:tcPr>
            <w:tcW w:w="260" w:type="dxa"/>
            <w:vAlign w:val="bottom"/>
            <w:gridSpan w:val="2"/>
            <w:vMerge w:val="continue"/>
            <w:shd w:val="clear" w:color="auto" w:fill="CCEEFF"/>
          </w:tcPr>
          <w:p>
            <w:pPr>
              <w:spacing w:after="0"/>
              <w:rPr>
                <w:sz w:val="19"/>
                <w:szCs w:val="19"/>
                <w:color w:val="auto"/>
              </w:rPr>
            </w:pPr>
          </w:p>
        </w:tc>
        <w:tc>
          <w:tcPr>
            <w:tcW w:w="52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40" w:type="dxa"/>
            <w:vAlign w:val="bottom"/>
            <w:tcBorders>
              <w:right w:val="single" w:sz="8" w:color="CCEEFF"/>
            </w:tcBorders>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paid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2,742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1,532</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received</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1,487</w:t>
            </w:r>
          </w:p>
        </w:tc>
        <w:tc>
          <w:tcPr>
            <w:tcW w:w="160" w:type="dxa"/>
            <w:vAlign w:val="bottom"/>
            <w:vMerge w:val="continue"/>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1020" w:right="219"/>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Protalix BioTherapeutics, Inc. (collectively with its subsidiary, the “Company”) and its wholly-owned subsidiary, Protalix Ltd., are commercial stage biopharmaceutical companies focused on the discovery, development, production and commercialization of innovative therapeutics for rare diseases with significant unmet needs. ProCellEx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the Company’s proprietary plant cell-based protein expression system (“ProCellEx”), represents a new method for developing recombinant proteins in an industrial-scale manner.</w:t>
      </w:r>
    </w:p>
    <w:p>
      <w:pPr>
        <w:spacing w:after="0" w:line="155" w:lineRule="exact"/>
        <w:rPr>
          <w:rFonts w:ascii="Times New Roman" w:cs="Times New Roman" w:eastAsia="Times New Roman" w:hAnsi="Times New Roman"/>
          <w:sz w:val="18"/>
          <w:szCs w:val="18"/>
          <w:b w:val="1"/>
          <w:bCs w:val="1"/>
          <w:color w:val="auto"/>
        </w:rPr>
      </w:pPr>
    </w:p>
    <w:p>
      <w:pPr>
        <w:ind w:left="1020" w:right="239"/>
        <w:spacing w:after="0" w:line="2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older with Gaucher disease.</w:t>
      </w:r>
    </w:p>
    <w:p>
      <w:pPr>
        <w:spacing w:after="0" w:line="157" w:lineRule="exact"/>
        <w:rPr>
          <w:rFonts w:ascii="Times New Roman" w:cs="Times New Roman" w:eastAsia="Times New Roman" w:hAnsi="Times New Roman"/>
          <w:sz w:val="18"/>
          <w:szCs w:val="18"/>
          <w:b w:val="1"/>
          <w:bCs w:val="1"/>
          <w:color w:val="auto"/>
        </w:rPr>
      </w:pPr>
    </w:p>
    <w:p>
      <w:pPr>
        <w:ind w:left="1020" w:right="1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Elelyso, the Company’s first commercial product, was approved by the U.S. Food and Drug Administration (“FDA”) in 2012 for injection as an ERT for the long-term treatment of adult patients with a confirmed diagnosis of type 1 Gaucher disease. Elelyso is the first plant cell derived recombinant protein to be approved by the FDA for the treatment of Gaucher disease and is now approved in 40 markets including the United States, Brazil, Israel and others. It is not approved in the European Union (EU). In August 2014, the FDA approved Elelyso for injection for children four years of age and older.</w:t>
      </w:r>
    </w:p>
    <w:p>
      <w:pPr>
        <w:spacing w:after="0" w:line="146" w:lineRule="exact"/>
        <w:rPr>
          <w:rFonts w:ascii="Times New Roman" w:cs="Times New Roman" w:eastAsia="Times New Roman" w:hAnsi="Times New Roman"/>
          <w:sz w:val="18"/>
          <w:szCs w:val="18"/>
          <w:b w:val="1"/>
          <w:bCs w:val="1"/>
          <w:color w:val="auto"/>
        </w:rPr>
      </w:pPr>
    </w:p>
    <w:p>
      <w:pPr>
        <w:ind w:left="1020" w:right="1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Elfabrio, the Company’s second commercial product which was referred to as PRX-102 during its development stage, for the treatment of adult patients with Fabry disease, is our proprietary, plant cell culture expressed enzyme, and a chemically modified stabilized version of, the recombinant α-Galactosidase-A protein, a lysosomal enzyme. It was approved by the European Commission (“EC”) for marketing in the EU and by the FDA for marketing in the United States in May 2023 for adult patients with Fabry disease, and subsequently in more than 10 additional markets. The approvals cover the 1 mg/kg every-two-weeks (E2W) dosage.</w:t>
      </w:r>
    </w:p>
    <w:p>
      <w:pPr>
        <w:spacing w:after="0" w:line="161" w:lineRule="exact"/>
        <w:rPr>
          <w:rFonts w:ascii="Times New Roman" w:cs="Times New Roman" w:eastAsia="Times New Roman" w:hAnsi="Times New Roman"/>
          <w:sz w:val="18"/>
          <w:szCs w:val="18"/>
          <w:b w:val="1"/>
          <w:bCs w:val="1"/>
          <w:color w:val="auto"/>
        </w:rPr>
      </w:pPr>
    </w:p>
    <w:p>
      <w:pPr>
        <w:ind w:left="1020" w:right="2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5, 2026, the EC ratified the positive opinion issued in January 2026 by the Committee for Medicinal Products for Human Use (“CHMP”) of the European Medicines Agency (“EMA”). The EC decision approves, in the EU, the 2 mg/kg E4W dosing regimen for Elfabrio in Fabry disease adult patients stable with an ERT treatment.</w:t>
      </w:r>
    </w:p>
    <w:p>
      <w:pPr>
        <w:spacing w:after="0" w:line="139" w:lineRule="exact"/>
        <w:rPr>
          <w:rFonts w:ascii="Times New Roman" w:cs="Times New Roman" w:eastAsia="Times New Roman" w:hAnsi="Times New Roman"/>
          <w:sz w:val="18"/>
          <w:szCs w:val="18"/>
          <w:b w:val="1"/>
          <w:bCs w:val="1"/>
          <w:color w:val="auto"/>
        </w:rPr>
      </w:pPr>
    </w:p>
    <w:p>
      <w:pPr>
        <w:ind w:left="1020" w:right="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record of success as the Company progresses with the development of treatments for rare and orphan diseases. In addition, the Company continuously works on the further development and enhancement of its ProCellEx technology. Accordingly, the Company is turning its focus to new, early-stage product candidates that treat indications for which there are high unmet needs in terms of efficacy and safety, including renal diseases. The Company believe that its treatments of interest will address both genetic and non-genetic diseases. The Company intends to use its ProCellEx platform and PEGylation capabilities, as well as other modalities such as small molecules and antibodies, to take advantage of highly innovative opportunities. The Company is also exploring novel platform technologies. Consistent with its strategy, 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w:t>
      </w:r>
    </w:p>
    <w:p>
      <w:pPr>
        <w:spacing w:after="0" w:line="149"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198" w:lineRule="exact"/>
        <w:rPr>
          <w:rFonts w:ascii="Times New Roman" w:cs="Times New Roman" w:eastAsia="Times New Roman" w:hAnsi="Times New Roman"/>
          <w:sz w:val="18"/>
          <w:szCs w:val="18"/>
          <w:b w:val="1"/>
          <w:bCs w:val="1"/>
          <w:color w:val="auto"/>
        </w:rPr>
      </w:pPr>
    </w:p>
    <w:p>
      <w:pPr>
        <w:ind w:left="1020" w:right="1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39"/>
        <w:spacing w:after="0" w:line="282" w:lineRule="auto"/>
        <w:rPr>
          <w:sz w:val="20"/>
          <w:szCs w:val="20"/>
          <w:color w:val="auto"/>
        </w:rPr>
      </w:pPr>
      <w:r>
        <w:rPr>
          <w:rFonts w:ascii="Times New Roman" w:cs="Times New Roman" w:eastAsia="Times New Roman" w:hAnsi="Times New Roman"/>
          <w:sz w:val="18"/>
          <w:szCs w:val="18"/>
          <w:color w:val="auto"/>
        </w:rPr>
        <w:t>PRX-119, the Company’s plant cell-expressed PEGylated recombinant human DNase I product candidate for long and customized systemic circulation in the bloodstream for NETs-related diseases.</w:t>
      </w:r>
    </w:p>
    <w:p>
      <w:pPr>
        <w:spacing w:after="0" w:line="121"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9" w:lineRule="exact"/>
        <w:rPr>
          <w:sz w:val="20"/>
          <w:szCs w:val="20"/>
          <w:color w:val="auto"/>
        </w:rPr>
      </w:pPr>
    </w:p>
    <w:p>
      <w:pPr>
        <w:ind w:left="1020" w:right="119"/>
        <w:spacing w:after="0" w:line="256"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Inc. (“Pfizer”) originally pursuant to an exclusive license and supply agreement between Protalix Ltd. and Pfizer which was amended and restated in October 2015 (the “Amended Pfizer Agreement”). Pursuant to the Amended Pfizer Agreement, the Company sold to Pfizer its share in the collaboration worldwide except for Brazil. Pfizer is entitled to all of the revenues, and is responsible for 100% of expenses globally for Elelyso, excluding Brazil where the Company is responsible for all expenses and retains all revenues.</w:t>
      </w:r>
    </w:p>
    <w:p>
      <w:pPr>
        <w:spacing w:after="0" w:line="160" w:lineRule="exact"/>
        <w:rPr>
          <w:sz w:val="20"/>
          <w:szCs w:val="20"/>
          <w:color w:val="auto"/>
        </w:rPr>
      </w:pPr>
    </w:p>
    <w:p>
      <w:pPr>
        <w:ind w:left="1020" w:right="239"/>
        <w:spacing w:after="0" w:line="255"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Fundação Oswaldo Cruz (“Fiocruz”), an arm of the Brazilian Ministry of Health (the “Brazilian MoH”)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48" w:lineRule="exact"/>
        <w:rPr>
          <w:sz w:val="20"/>
          <w:szCs w:val="20"/>
          <w:color w:val="auto"/>
        </w:rPr>
      </w:pPr>
    </w:p>
    <w:p>
      <w:pPr>
        <w:ind w:left="1020" w:right="299"/>
        <w:spacing w:after="0" w:line="266" w:lineRule="auto"/>
        <w:rPr>
          <w:sz w:val="20"/>
          <w:szCs w:val="20"/>
          <w:color w:val="auto"/>
        </w:rPr>
      </w:pPr>
      <w:r>
        <w:rPr>
          <w:rFonts w:ascii="Times New Roman" w:cs="Times New Roman" w:eastAsia="Times New Roman" w:hAnsi="Times New Roman"/>
          <w:sz w:val="18"/>
          <w:szCs w:val="18"/>
          <w:color w:val="auto"/>
        </w:rPr>
        <w:t>The Company, through its wholly-owned subsidiary, Protalix Ltd., has licensed the rights to commercialize Elelyso worldwide (other than Brazil) to Pfizer, and in Brazil to Fiocruz. Elelyso is marketed as BioManguinhos alfataliglicerase in Brazil.</w:t>
      </w:r>
    </w:p>
    <w:p>
      <w:pPr>
        <w:spacing w:after="0" w:line="135"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The Company has partnered with Chiesi Farmaceutici S.p.A. (“Chiesi”) for the development and commercialization of Elfabrio through two exclusive global licensing and supply agreements. On October 19, 2017, Protalix Ltd.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62"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military, economic, political and geopolitical conditions in Israel. Since October 2023, Israel has suffered from missile and other similar attacks and has been engaged in military activity on a number of fronts, including with the Hamas in the Gaza Strip, Hezbollah in Lebanon, Iran, the Houthis terrorist group that controls parts of Yemen, and others, and both civilian and military targets in Israel have been attacked. Such clashes may escalate in the future into a greater regional conflict. In October 2025, Israel and Hamas entered into a ceasefire agreement intended to permanently end the war between Israel and Hamas. However, there are no assurances regarding continued compliance with such agreement. While the conflict created and continues to create heightened security concerns, disruptions to business operations, and economic instability within Israel, the ceasefire may contribute to improved regional stability. The security situation remains fluid and any renewed military actions, restrictions, or government-imposed measures could have a material adverse effect on the Company’s business, results of operations, and financial condition. On February 28, 2026, the US and Israeli militaries commenced air-based campaigns in Iran which have resulted in a larger regional event and has resulted in increased missile and similar attacks on civilian and military targets in Israel and in other countries in the region. This has resulted in global security concerns that may result in a greater or lasting regional conflict. It is currently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19"/>
        <w:spacing w:after="0" w:line="282" w:lineRule="auto"/>
        <w:rPr>
          <w:sz w:val="20"/>
          <w:szCs w:val="20"/>
          <w:color w:val="auto"/>
        </w:rPr>
      </w:pPr>
      <w:r>
        <w:rPr>
          <w:rFonts w:ascii="Times New Roman" w:cs="Times New Roman" w:eastAsia="Times New Roman" w:hAnsi="Times New Roman"/>
          <w:sz w:val="18"/>
          <w:szCs w:val="18"/>
          <w:color w:val="auto"/>
        </w:rPr>
        <w:t>not possible to predict the duration or severity of the ongoing conflict or its effects on the Company’s business, results of operations, and financial conditions.</w:t>
      </w:r>
    </w:p>
    <w:p>
      <w:pPr>
        <w:spacing w:after="0" w:line="121" w:lineRule="exact"/>
        <w:rPr>
          <w:sz w:val="20"/>
          <w:szCs w:val="20"/>
          <w:color w:val="auto"/>
        </w:rPr>
      </w:pPr>
    </w:p>
    <w:p>
      <w:pPr>
        <w:jc w:val="both"/>
        <w:ind w:left="1020" w:right="459"/>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are sufficient to satisfy the Company’s capital needs for at least 12 months from the date that these financial statements are issued.</w:t>
      </w:r>
    </w:p>
    <w:p>
      <w:pPr>
        <w:spacing w:after="0" w:line="135" w:lineRule="exact"/>
        <w:rPr>
          <w:sz w:val="20"/>
          <w:szCs w:val="20"/>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(“U.S. GAAP”).</w:t>
      </w:r>
    </w:p>
    <w:p>
      <w:pPr>
        <w:spacing w:after="0" w:line="117"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88" w:lineRule="exact"/>
        <w:rPr>
          <w:rFonts w:ascii="Times New Roman" w:cs="Times New Roman" w:eastAsia="Times New Roman" w:hAnsi="Times New Roman"/>
          <w:sz w:val="18"/>
          <w:szCs w:val="18"/>
          <w:b w:val="1"/>
          <w:bCs w:val="1"/>
          <w:color w:val="auto"/>
        </w:rPr>
      </w:pPr>
    </w:p>
    <w:p>
      <w:pPr>
        <w:ind w:left="1020" w:right="6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may differ from those estimates.</w:t>
      </w:r>
    </w:p>
    <w:p>
      <w:pPr>
        <w:spacing w:after="0" w:line="148"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88"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139" w:lineRule="exact"/>
        <w:rPr>
          <w:rFonts w:ascii="Times New Roman" w:cs="Times New Roman" w:eastAsia="Times New Roman" w:hAnsi="Times New Roman"/>
          <w:sz w:val="18"/>
          <w:szCs w:val="18"/>
          <w:b w:val="1"/>
          <w:bCs w:val="1"/>
          <w:color w:val="auto"/>
        </w:rPr>
      </w:pPr>
    </w:p>
    <w:p>
      <w:pPr>
        <w:ind w:left="1020" w:right="1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translation gains and losses are recorded as financial income or expenses, as appropriate.</w:t>
      </w:r>
    </w:p>
    <w:p>
      <w:pPr>
        <w:spacing w:after="0" w:line="157"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188"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31"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bank deposits</w:t>
      </w:r>
    </w:p>
    <w:p>
      <w:pPr>
        <w:spacing w:after="0" w:line="202" w:lineRule="exact"/>
        <w:rPr>
          <w:sz w:val="20"/>
          <w:szCs w:val="20"/>
          <w:color w:val="auto"/>
        </w:rPr>
      </w:pPr>
    </w:p>
    <w:p>
      <w:pPr>
        <w:ind w:left="1020" w:right="279"/>
        <w:spacing w:after="0" w:line="266" w:lineRule="auto"/>
        <w:rPr>
          <w:sz w:val="20"/>
          <w:szCs w:val="20"/>
          <w:color w:val="auto"/>
        </w:rPr>
      </w:pPr>
      <w:r>
        <w:rPr>
          <w:rFonts w:ascii="Times New Roman" w:cs="Times New Roman" w:eastAsia="Times New Roman" w:hAnsi="Times New Roman"/>
          <w:sz w:val="18"/>
          <w:szCs w:val="18"/>
          <w:color w:val="auto"/>
        </w:rPr>
        <w:t>Bank deposits with original maturity dates of more than three months but less than one year are included in short-term deposits. Such short-term deposits bore interest at an average annual rate of approximately 5.05%-5.75% for the years ended December 31, 2025 and 2024.</w:t>
      </w:r>
    </w:p>
    <w:p>
      <w:pPr>
        <w:spacing w:after="0" w:line="131" w:lineRule="exact"/>
        <w:rPr>
          <w:sz w:val="20"/>
          <w:szCs w:val="20"/>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deposit</w:t>
      </w:r>
    </w:p>
    <w:p>
      <w:pPr>
        <w:spacing w:after="0" w:line="188" w:lineRule="exact"/>
        <w:rPr>
          <w:rFonts w:ascii="Times New Roman" w:cs="Times New Roman" w:eastAsia="Times New Roman" w:hAnsi="Times New Roman"/>
          <w:sz w:val="18"/>
          <w:szCs w:val="18"/>
          <w:b w:val="1"/>
          <w:bCs w:val="1"/>
          <w:color w:val="auto"/>
        </w:rPr>
      </w:pPr>
    </w:p>
    <w:p>
      <w:pPr>
        <w:ind w:left="1020" w:right="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deposit is deposited in an interested-bearing saving account which is used as a security for the Company's potential hedging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188" w:lineRule="exact"/>
        <w:rPr>
          <w:rFonts w:ascii="Times New Roman" w:cs="Times New Roman" w:eastAsia="Times New Roman" w:hAnsi="Times New Roman"/>
          <w:sz w:val="18"/>
          <w:szCs w:val="18"/>
          <w:b w:val="1"/>
          <w:bCs w:val="1"/>
          <w:color w:val="auto"/>
        </w:rPr>
      </w:pPr>
    </w:p>
    <w:p>
      <w:pPr>
        <w:ind w:left="1020" w:right="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recorded net of an allowance for credit losses.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historical collection experience, current market conditions and supportable forecasts when appropriate. The estimate is a result of the Company’s ongoing evaluation of collectability, customer creditworthiness, historical levels of credit losses and future expectations. As of December 31, 2025 and 2024, the allowance was negligible.</w:t>
      </w:r>
    </w:p>
    <w:p>
      <w:pPr>
        <w:spacing w:after="0" w:line="14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write-off activity and recoveries for the periods presented were recognized.</w:t>
      </w:r>
    </w:p>
    <w:p>
      <w:pPr>
        <w:spacing w:after="0" w:line="194"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left="1020" w:right="299"/>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Cost of raw and packaging materials and purchased products is determined using the “moving average” basis.</w:t>
      </w:r>
    </w:p>
    <w:p>
      <w:pPr>
        <w:spacing w:after="0" w:line="121" w:lineRule="exact"/>
        <w:rPr>
          <w:sz w:val="20"/>
          <w:szCs w:val="20"/>
          <w:color w:val="auto"/>
        </w:rPr>
      </w:pPr>
    </w:p>
    <w:p>
      <w:pPr>
        <w:jc w:val="both"/>
        <w:ind w:left="1020" w:right="199"/>
        <w:spacing w:after="0" w:line="266" w:lineRule="auto"/>
        <w:rPr>
          <w:sz w:val="20"/>
          <w:szCs w:val="20"/>
          <w:color w:val="auto"/>
        </w:rPr>
      </w:pPr>
      <w:r>
        <w:rPr>
          <w:rFonts w:ascii="Times New Roman" w:cs="Times New Roman" w:eastAsia="Times New Roman" w:hAnsi="Times New Roman"/>
          <w:sz w:val="18"/>
          <w:szCs w:val="18"/>
          <w:color w:val="auto"/>
        </w:rPr>
        <w:t>Cost of finished products is determined as follows: the value of the raw and packaging materials component is determined primarily using the “moving average” basis; the value of the labor and overhead component is determined on an average basis over the production period.</w:t>
      </w:r>
    </w:p>
    <w:p>
      <w:pPr>
        <w:spacing w:after="0" w:line="149" w:lineRule="exact"/>
        <w:rPr>
          <w:sz w:val="20"/>
          <w:szCs w:val="20"/>
          <w:color w:val="auto"/>
        </w:rPr>
      </w:pPr>
    </w:p>
    <w:p>
      <w:pPr>
        <w:ind w:left="1020" w:right="479"/>
        <w:spacing w:after="0" w:line="282" w:lineRule="auto"/>
        <w:rPr>
          <w:sz w:val="20"/>
          <w:szCs w:val="20"/>
          <w:color w:val="auto"/>
        </w:rPr>
      </w:pPr>
      <w:r>
        <w:rPr>
          <w:rFonts w:ascii="Times New Roman" w:cs="Times New Roman" w:eastAsia="Times New Roman" w:hAnsi="Times New Roman"/>
          <w:sz w:val="18"/>
          <w:szCs w:val="18"/>
          <w:color w:val="auto"/>
        </w:rPr>
        <w:t>Inventory is written down for estimated obsolescence based upon management assumptions about future demand and market conditions.</w:t>
      </w:r>
    </w:p>
    <w:p>
      <w:pPr>
        <w:spacing w:after="0" w:line="117" w:lineRule="exact"/>
        <w:rPr>
          <w:sz w:val="20"/>
          <w:szCs w:val="20"/>
          <w:color w:val="auto"/>
        </w:rPr>
      </w:pPr>
    </w:p>
    <w:p>
      <w:pPr>
        <w:ind w:left="980" w:hanging="282"/>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w:t>
      </w:r>
    </w:p>
    <w:p>
      <w:pPr>
        <w:spacing w:after="0" w:line="198" w:lineRule="exact"/>
        <w:rPr>
          <w:rFonts w:ascii="Times New Roman" w:cs="Times New Roman" w:eastAsia="Times New Roman" w:hAnsi="Times New Roman"/>
          <w:sz w:val="18"/>
          <w:szCs w:val="18"/>
          <w:color w:val="auto"/>
        </w:rPr>
      </w:pPr>
    </w:p>
    <w:p>
      <w:pPr>
        <w:ind w:left="1020" w:right="259" w:firstLine="2"/>
        <w:spacing w:after="0" w:line="282" w:lineRule="auto"/>
        <w:tabs>
          <w:tab w:leader="none" w:pos="133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depreciated by the straight-line method on the basis of their estimated useful lives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Borders>
              <w:bottom w:val="single" w:sz="8" w:color="CCEEFF"/>
            </w:tcBorders>
          </w:tcPr>
          <w:p>
            <w:pPr>
              <w:ind w:left="6320"/>
              <w:spacing w:after="0"/>
              <w:rPr>
                <w:sz w:val="20"/>
                <w:szCs w:val="20"/>
                <w:color w:val="auto"/>
              </w:rPr>
            </w:pPr>
            <w:r>
              <w:rPr>
                <w:rFonts w:ascii="Times New Roman" w:cs="Times New Roman" w:eastAsia="Times New Roman" w:hAnsi="Times New Roman"/>
                <w:sz w:val="14"/>
                <w:szCs w:val="14"/>
                <w:color w:val="009999"/>
              </w:rPr>
              <w:t>​​​</w:t>
            </w: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(i) the expected lease term and (ii) the estimated useful life of the improvements.</w:t>
      </w:r>
    </w:p>
    <w:p>
      <w:pPr>
        <w:spacing w:after="0" w:line="117" w:lineRule="exact"/>
        <w:rPr>
          <w:sz w:val="20"/>
          <w:szCs w:val="20"/>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02" w:lineRule="exact"/>
        <w:rPr>
          <w:rFonts w:ascii="Times New Roman" w:cs="Times New Roman" w:eastAsia="Times New Roman" w:hAnsi="Times New Roman"/>
          <w:sz w:val="18"/>
          <w:szCs w:val="18"/>
          <w:b w:val="1"/>
          <w:bCs w:val="1"/>
          <w:color w:val="auto"/>
        </w:rPr>
      </w:pPr>
    </w:p>
    <w:p>
      <w:pPr>
        <w:ind w:left="1020" w:right="1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tests long-lived assets for impairment if an indication of impairment exists. If the sum of expected undiscounted future cash flows of definite life assets is less than the carrying amount of such assets, the Company recognizes an impairment loss in the amount by which the carrying amount of the assets exceeds their fair value.</w:t>
      </w:r>
    </w:p>
    <w:p>
      <w:pPr>
        <w:spacing w:after="0" w:line="135"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198" w:lineRule="exact"/>
        <w:rPr>
          <w:sz w:val="20"/>
          <w:szCs w:val="20"/>
          <w:color w:val="auto"/>
        </w:rPr>
      </w:pPr>
    </w:p>
    <w:p>
      <w:pPr>
        <w:jc w:val="both"/>
        <w:ind w:left="1020" w:right="399"/>
        <w:spacing w:after="0" w:line="289" w:lineRule="auto"/>
        <w:rPr>
          <w:sz w:val="20"/>
          <w:szCs w:val="20"/>
          <w:color w:val="auto"/>
        </w:rPr>
      </w:pPr>
      <w:r>
        <w:rPr>
          <w:rFonts w:ascii="Times New Roman" w:cs="Times New Roman" w:eastAsia="Times New Roman" w:hAnsi="Times New Roman"/>
          <w:sz w:val="17"/>
          <w:szCs w:val="17"/>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219"/>
        <w:spacing w:after="0" w:line="266" w:lineRule="auto"/>
        <w:rPr>
          <w:sz w:val="20"/>
          <w:szCs w:val="20"/>
          <w:color w:val="auto"/>
        </w:rPr>
      </w:pPr>
      <w:r>
        <w:rPr>
          <w:rFonts w:ascii="Times New Roman" w:cs="Times New Roman" w:eastAsia="Times New Roman" w:hAnsi="Times New Roman"/>
          <w:sz w:val="18"/>
          <w:szCs w:val="18"/>
          <w:color w:val="auto"/>
        </w:rPr>
        <w:t>those differences reverse. A valuation allowance in respect of deferred tax assets is provided if, based upon the weight of available evidence, it is more likely than not that some or all of the deferred tax assets will not be realized.</w:t>
      </w:r>
    </w:p>
    <w:p>
      <w:pPr>
        <w:spacing w:after="0" w:line="135" w:lineRule="exact"/>
        <w:rPr>
          <w:sz w:val="20"/>
          <w:szCs w:val="20"/>
          <w:color w:val="auto"/>
        </w:rPr>
      </w:pPr>
    </w:p>
    <w:p>
      <w:pPr>
        <w:ind w:left="1340" w:hanging="318"/>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income taxes</w:t>
      </w:r>
    </w:p>
    <w:p>
      <w:pPr>
        <w:spacing w:after="0" w:line="185" w:lineRule="exact"/>
        <w:rPr>
          <w:sz w:val="20"/>
          <w:szCs w:val="20"/>
          <w:color w:val="auto"/>
        </w:rPr>
      </w:pPr>
    </w:p>
    <w:p>
      <w:pPr>
        <w:ind w:left="1020" w:right="139"/>
        <w:spacing w:after="0" w:line="258" w:lineRule="auto"/>
        <w:rPr>
          <w:sz w:val="20"/>
          <w:szCs w:val="20"/>
          <w:color w:val="auto"/>
        </w:rPr>
      </w:pPr>
      <w:r>
        <w:rPr>
          <w:rFonts w:ascii="Times New Roman" w:cs="Times New Roman" w:eastAsia="Times New Roman" w:hAnsi="Times New Roman"/>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 Liabilities relating to uncertain tax positions are classified as current in the consolidated balance sheets to the extent the Company anticipates making payments within one year.</w:t>
      </w:r>
    </w:p>
    <w:p>
      <w:pPr>
        <w:spacing w:after="0" w:line="152" w:lineRule="exact"/>
        <w:rPr>
          <w:sz w:val="20"/>
          <w:szCs w:val="20"/>
          <w:color w:val="auto"/>
        </w:rPr>
      </w:pPr>
    </w:p>
    <w:p>
      <w:pPr>
        <w:ind w:left="7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89"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Under Accounting Standards Codification (“ASC”), Topic 606, Revenue from Contracts with Customers,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48" w:lineRule="exact"/>
        <w:rPr>
          <w:sz w:val="20"/>
          <w:szCs w:val="20"/>
          <w:color w:val="auto"/>
        </w:rPr>
      </w:pPr>
    </w:p>
    <w:p>
      <w:pPr>
        <w:ind w:left="1020" w:right="679"/>
        <w:spacing w:after="0" w:line="282" w:lineRule="auto"/>
        <w:rPr>
          <w:sz w:val="20"/>
          <w:szCs w:val="20"/>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35" w:lineRule="exact"/>
        <w:rPr>
          <w:sz w:val="20"/>
          <w:szCs w:val="20"/>
          <w:color w:val="auto"/>
        </w:rPr>
      </w:pPr>
    </w:p>
    <w:p>
      <w:pPr>
        <w:ind w:left="1020" w:right="759"/>
        <w:spacing w:after="0" w:line="282" w:lineRule="auto"/>
        <w:rPr>
          <w:sz w:val="20"/>
          <w:szCs w:val="20"/>
          <w:color w:val="auto"/>
        </w:rPr>
      </w:pPr>
      <w:r>
        <w:rPr>
          <w:rFonts w:ascii="Times New Roman" w:cs="Times New Roman" w:eastAsia="Times New Roman" w:hAnsi="Times New Roman"/>
          <w:sz w:val="18"/>
          <w:szCs w:val="18"/>
          <w:color w:val="auto"/>
        </w:rPr>
        <w:t>Revenue is recognized net of any taxes collected from customers which are subsequently remitted to governmental entities (e.g., indirect taxes).</w:t>
      </w:r>
    </w:p>
    <w:p>
      <w:pPr>
        <w:spacing w:after="0" w:line="121" w:lineRule="exact"/>
        <w:rPr>
          <w:sz w:val="20"/>
          <w:szCs w:val="20"/>
          <w:color w:val="auto"/>
        </w:rPr>
      </w:pPr>
    </w:p>
    <w:p>
      <w:pPr>
        <w:ind w:left="1340" w:hanging="31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5" w:lineRule="exact"/>
        <w:rPr>
          <w:sz w:val="20"/>
          <w:szCs w:val="20"/>
          <w:color w:val="auto"/>
        </w:rPr>
      </w:pPr>
    </w:p>
    <w:p>
      <w:pPr>
        <w:ind w:left="1020" w:right="439"/>
        <w:spacing w:after="0" w:line="282" w:lineRule="auto"/>
        <w:rPr>
          <w:sz w:val="20"/>
          <w:szCs w:val="20"/>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35" w:lineRule="exact"/>
        <w:rPr>
          <w:sz w:val="20"/>
          <w:szCs w:val="20"/>
          <w:color w:val="auto"/>
        </w:rPr>
      </w:pPr>
    </w:p>
    <w:p>
      <w:pPr>
        <w:ind w:left="1020" w:right="139"/>
        <w:spacing w:after="0" w:line="254" w:lineRule="auto"/>
        <w:rPr>
          <w:sz w:val="20"/>
          <w:szCs w:val="20"/>
          <w:color w:val="auto"/>
        </w:rPr>
      </w:pPr>
      <w:r>
        <w:rPr>
          <w:rFonts w:ascii="Times New Roman" w:cs="Times New Roman" w:eastAsia="Times New Roman" w:hAnsi="Times New Roman"/>
          <w:sz w:val="18"/>
          <w:szCs w:val="18"/>
          <w:color w:val="auto"/>
        </w:rPr>
        <w:t>The consideration promised in a contract with a Company’s customer is based on either fixed amounts or variable amounts. Variable amounts are based on the average net selling price of the drug product in the applicable territory. The Company estimates the variable consideration and recognizes revenue only to the extent the variable consideration is probable and that a significant reversal of cumulative revenue recognized will not occur when the uncertainty associated with the variable consideration is subsequently resolved. Prior to recognizing revenue from variable consideration, the Company uses significant judgment to determine the probability of significant reversal of such revenue. The Company’s payment terms are generally 45 days or less.</w:t>
      </w:r>
    </w:p>
    <w:p>
      <w:pPr>
        <w:spacing w:after="0" w:line="151" w:lineRule="exact"/>
        <w:rPr>
          <w:sz w:val="20"/>
          <w:szCs w:val="20"/>
          <w:color w:val="auto"/>
        </w:rPr>
      </w:pPr>
    </w:p>
    <w:p>
      <w:pPr>
        <w:ind w:left="1340" w:hanging="318"/>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license and R&amp;D services</w:t>
      </w:r>
    </w:p>
    <w:p>
      <w:pPr>
        <w:spacing w:after="0" w:line="185" w:lineRule="exact"/>
        <w:rPr>
          <w:sz w:val="20"/>
          <w:szCs w:val="20"/>
          <w:color w:val="auto"/>
        </w:rPr>
      </w:pPr>
    </w:p>
    <w:p>
      <w:pPr>
        <w:jc w:val="both"/>
        <w:ind w:left="1020" w:right="359"/>
        <w:spacing w:after="0" w:line="266" w:lineRule="auto"/>
        <w:rPr>
          <w:sz w:val="20"/>
          <w:szCs w:val="20"/>
          <w:color w:val="auto"/>
        </w:rPr>
      </w:pPr>
      <w:r>
        <w:rPr>
          <w:rFonts w:ascii="Times New Roman" w:cs="Times New Roman" w:eastAsia="Times New Roman" w:hAnsi="Times New Roman"/>
          <w:sz w:val="18"/>
          <w:szCs w:val="18"/>
          <w:color w:val="auto"/>
        </w:rPr>
        <w:t>The Company has identified two performance obligations in each of the Chiesi Ex-US Agreement and the Chiesi US Agreement (collectively, the “Chiesi Agreements”) as follows: (1) the license and research and development services and (2) the contingent performance obligation regarding future manufacturing.</w:t>
      </w:r>
    </w:p>
    <w:p>
      <w:pPr>
        <w:spacing w:after="0" w:line="149" w:lineRule="exact"/>
        <w:rPr>
          <w:sz w:val="20"/>
          <w:szCs w:val="20"/>
          <w:color w:val="auto"/>
        </w:rPr>
      </w:pPr>
    </w:p>
    <w:p>
      <w:pPr>
        <w:ind w:left="1020" w:right="39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license together with the research and development services should be combined into a single performance obligation since Chiesi cannot benefit from the license without the research and development services. The research and development services are highly specialized and are dependent on the supply of the drug.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99"/>
        <w:spacing w:after="0" w:line="277" w:lineRule="auto"/>
        <w:rPr>
          <w:sz w:val="20"/>
          <w:szCs w:val="20"/>
          <w:color w:val="auto"/>
        </w:rPr>
      </w:pPr>
      <w:r>
        <w:rPr>
          <w:rFonts w:ascii="Times New Roman" w:cs="Times New Roman" w:eastAsia="Times New Roman" w:hAnsi="Times New Roman"/>
          <w:sz w:val="17"/>
          <w:szCs w:val="17"/>
          <w:color w:val="auto"/>
        </w:rPr>
        <w:t xml:space="preserve">The future manufacturing was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 Following the regulatory approvals for Elfabrio received in May 2023, the Company started recognizing revenue from manufacturing. See also </w:t>
      </w:r>
      <w:r>
        <w:rPr>
          <w:rFonts w:ascii="Times New Roman" w:cs="Times New Roman" w:eastAsia="Times New Roman" w:hAnsi="Times New Roman"/>
          <w:sz w:val="17"/>
          <w:szCs w:val="17"/>
          <w:u w:val="single" w:color="auto"/>
          <w:color w:val="0000EE"/>
        </w:rPr>
        <w:t>revenue from selling products</w:t>
      </w:r>
      <w:r>
        <w:rPr>
          <w:rFonts w:ascii="Times New Roman" w:cs="Times New Roman" w:eastAsia="Times New Roman" w:hAnsi="Times New Roman"/>
          <w:sz w:val="17"/>
          <w:szCs w:val="17"/>
          <w:color w:val="auto"/>
        </w:rPr>
        <w:t xml:space="preserve"> above.</w:t>
      </w:r>
    </w:p>
    <w:p>
      <w:pPr>
        <w:spacing w:after="0" w:line="127" w:lineRule="exact"/>
        <w:rPr>
          <w:sz w:val="20"/>
          <w:szCs w:val="20"/>
          <w:color w:val="auto"/>
        </w:rPr>
      </w:pPr>
    </w:p>
    <w:p>
      <w:pPr>
        <w:ind w:left="1020" w:right="219"/>
        <w:spacing w:after="0" w:line="254" w:lineRule="auto"/>
        <w:rPr>
          <w:sz w:val="20"/>
          <w:szCs w:val="20"/>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amount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 Following the approval of Elfabrio by the FDA in 2023, the Company received a milestone payment equal to $20.0 million which was recognized as revenue from license and R&amp;D services.</w:t>
      </w:r>
    </w:p>
    <w:p>
      <w:pPr>
        <w:spacing w:after="0" w:line="148" w:lineRule="exact"/>
        <w:rPr>
          <w:sz w:val="20"/>
          <w:szCs w:val="20"/>
          <w:color w:val="auto"/>
        </w:rPr>
      </w:pPr>
    </w:p>
    <w:p>
      <w:pPr>
        <w:ind w:left="1020" w:right="179"/>
        <w:spacing w:after="0" w:line="261" w:lineRule="auto"/>
        <w:rPr>
          <w:sz w:val="20"/>
          <w:szCs w:val="20"/>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since the customer benefits from the research and development services as the entity performs the service.</w:t>
      </w:r>
    </w:p>
    <w:p>
      <w:pPr>
        <w:spacing w:after="0" w:line="153" w:lineRule="exact"/>
        <w:rPr>
          <w:sz w:val="20"/>
          <w:szCs w:val="20"/>
          <w:color w:val="auto"/>
        </w:rPr>
      </w:pPr>
    </w:p>
    <w:p>
      <w:pPr>
        <w:ind w:left="1020" w:right="11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17" w:lineRule="exact"/>
        <w:rPr>
          <w:sz w:val="20"/>
          <w:szCs w:val="20"/>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In connection with purchases of assets, amounts assigned to intangible assets to be used in a particular research and development project that have no alternative future use are charged to research and development costs at the purchase date. Costs incurred for performing research and development services are included in research and development expenses.</w:t>
      </w:r>
    </w:p>
    <w:p>
      <w:pPr>
        <w:spacing w:after="0" w:line="156"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risks and trade receivable</w:t>
      </w:r>
    </w:p>
    <w:p>
      <w:pPr>
        <w:spacing w:after="0" w:line="188" w:lineRule="exact"/>
        <w:rPr>
          <w:rFonts w:ascii="Times New Roman" w:cs="Times New Roman" w:eastAsia="Times New Roman" w:hAnsi="Times New Roman"/>
          <w:sz w:val="18"/>
          <w:szCs w:val="18"/>
          <w:b w:val="1"/>
          <w:bCs w:val="1"/>
          <w:color w:val="auto"/>
        </w:rPr>
      </w:pPr>
    </w:p>
    <w:p>
      <w:pPr>
        <w:ind w:left="1020" w:right="1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bank deposits, restricted deposit and account receivables - trade. The Company’s deposits are instruments with highly rated financial institutions, mainly in Israeli banks, and, as a matter of policy, limits the amounts of credit exposure to any one financial institution. The Company has not experienced any credit losses in these accounts and does not believe it is exposed to any significant credit risk on these instruments. The Company’s trade receivables represent amounts to be received from its customers. The Company does not require its customers to post collateral with respect to receivables.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December 31, 2024 and 2025, the accounts receivables trade balance was composed of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Pfizer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8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payment awards classified as equity awards, including stock-based option awards and restricted stock, using the grant-date fair value method. The fair value of share-based payment transactions is recognized as an expense over the requisite service period.</w:t>
      </w:r>
    </w:p>
    <w:p>
      <w:pPr>
        <w:spacing w:after="0" w:line="148"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the fair value of stock-based option awards on the date of grant using the Black-Scholes option pricing model. This option pricing model requires estimates as to the option’s expected term and the price volatility of the underlying stock.</w:t>
      </w:r>
    </w:p>
    <w:p>
      <w:pPr>
        <w:spacing w:after="0" w:line="135" w:lineRule="exact"/>
        <w:rPr>
          <w:rFonts w:ascii="Times New Roman" w:cs="Times New Roman" w:eastAsia="Times New Roman" w:hAnsi="Times New Roman"/>
          <w:sz w:val="18"/>
          <w:szCs w:val="18"/>
          <w:b w:val="1"/>
          <w:bCs w:val="1"/>
          <w:color w:val="auto"/>
        </w:rPr>
      </w:pPr>
    </w:p>
    <w:p>
      <w:pPr>
        <w:ind w:left="1020" w:right="8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compensation expense for restricted stock based on the market value of the underlying stock at the date of grant.</w:t>
      </w:r>
    </w:p>
    <w:p>
      <w:pPr>
        <w:spacing w:after="0" w:line="121" w:lineRule="exact"/>
        <w:rPr>
          <w:rFonts w:ascii="Times New Roman" w:cs="Times New Roman" w:eastAsia="Times New Roman" w:hAnsi="Times New Roman"/>
          <w:sz w:val="18"/>
          <w:szCs w:val="18"/>
          <w:b w:val="1"/>
          <w:bCs w:val="1"/>
          <w:color w:val="auto"/>
        </w:rPr>
      </w:pPr>
    </w:p>
    <w:p>
      <w:pPr>
        <w:ind w:left="1020" w:right="2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recognize compensation cost for awards to employees with only service conditions that have a graded vesting schedule using the accelerated method.</w:t>
      </w:r>
    </w:p>
    <w:p>
      <w:pPr>
        <w:spacing w:after="0" w:line="134"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180"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188" w:lineRule="exact"/>
        <w:rPr>
          <w:rFonts w:ascii="Times New Roman" w:cs="Times New Roman" w:eastAsia="Times New Roman" w:hAnsi="Times New Roman"/>
          <w:sz w:val="18"/>
          <w:szCs w:val="18"/>
          <w:b w:val="1"/>
          <w:bCs w:val="1"/>
          <w:color w:val="auto"/>
        </w:rPr>
      </w:pPr>
    </w:p>
    <w:p>
      <w:pPr>
        <w:ind w:left="1020" w:right="3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the net income (loss) by the weighted average number of shares of common stock, par value $0.001 per share (the “Common Stock”), outstanding during each period.</w:t>
      </w:r>
    </w:p>
    <w:p>
      <w:pPr>
        <w:spacing w:after="0" w:line="148" w:lineRule="exact"/>
        <w:rPr>
          <w:rFonts w:ascii="Times New Roman" w:cs="Times New Roman" w:eastAsia="Times New Roman" w:hAnsi="Times New Roman"/>
          <w:sz w:val="18"/>
          <w:szCs w:val="18"/>
          <w:b w:val="1"/>
          <w:bCs w:val="1"/>
          <w:color w:val="auto"/>
        </w:rPr>
      </w:pPr>
    </w:p>
    <w:p>
      <w:pPr>
        <w:ind w:left="1020" w:right="2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(a) the net income that includes addition of financial expenses related to convertible notes by (b) the weighted-average number of shares of Common Stock outstanding during each period increased to include the number of additional shares of Common Stock that would have been outstanding if the potentially dilutive shares had been issued.</w:t>
      </w:r>
    </w:p>
    <w:p>
      <w:pPr>
        <w:spacing w:after="0" w:line="139" w:lineRule="exact"/>
        <w:rPr>
          <w:rFonts w:ascii="Times New Roman" w:cs="Times New Roman" w:eastAsia="Times New Roman" w:hAnsi="Times New Roman"/>
          <w:sz w:val="18"/>
          <w:szCs w:val="18"/>
          <w:b w:val="1"/>
          <w:bCs w:val="1"/>
          <w:color w:val="auto"/>
        </w:rPr>
      </w:pPr>
    </w:p>
    <w:p>
      <w:pPr>
        <w:ind w:left="1020" w:right="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and non-vested restricted stock granted under employee stock compensation plans using the treasury stock method; (ii) the exercise of warrants using the treasury stock method; and (iii) the conversion of convertible notes using the “if-converted” method.</w:t>
      </w:r>
    </w:p>
    <w:p>
      <w:pPr>
        <w:spacing w:after="0" w:line="135"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02" w:lineRule="exact"/>
        <w:rPr>
          <w:sz w:val="20"/>
          <w:szCs w:val="20"/>
          <w:color w:val="auto"/>
        </w:rPr>
      </w:pPr>
    </w:p>
    <w:p>
      <w:pPr>
        <w:ind w:left="1020" w:right="199"/>
        <w:spacing w:after="0" w:line="266" w:lineRule="auto"/>
        <w:rPr>
          <w:sz w:val="20"/>
          <w:szCs w:val="20"/>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Promissory Notes due 2024 (the “2024 Notes”). The repayment of the convertible notes at maturity was financed entirely with available cash.</w:t>
      </w:r>
    </w:p>
    <w:p>
      <w:pPr>
        <w:spacing w:after="0" w:line="135"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Prior to January 1, 2024, the Company accounted for its outstanding convertible notes using the guidance set forth in the Financial Accounting Standards Board (“FASB”) Accounting Standards Codification (“ASC”) 815 which required that the Company determine whether the embedded conversion option must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be separated from the other features of the applicable note instrument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2024 Notes were accounted for as a liability (debt) and equity component (conversion option) as the convertible notes may be settled wholly or partly in cash, at the option of the Company, when converted.</w:t>
      </w:r>
    </w:p>
    <w:p>
      <w:pPr>
        <w:spacing w:after="0" w:line="148" w:lineRule="exact"/>
        <w:rPr>
          <w:sz w:val="20"/>
          <w:szCs w:val="20"/>
          <w:color w:val="auto"/>
        </w:rPr>
      </w:pPr>
    </w:p>
    <w:p>
      <w:pPr>
        <w:ind w:left="1020" w:right="619"/>
        <w:spacing w:after="0" w:line="282" w:lineRule="auto"/>
        <w:rPr>
          <w:sz w:val="20"/>
          <w:szCs w:val="20"/>
          <w:color w:val="auto"/>
        </w:rPr>
      </w:pPr>
      <w:r>
        <w:rPr>
          <w:rFonts w:ascii="Times New Roman" w:cs="Times New Roman" w:eastAsia="Times New Roman" w:hAnsi="Times New Roman"/>
          <w:sz w:val="18"/>
          <w:szCs w:val="18"/>
          <w:color w:val="auto"/>
        </w:rPr>
        <w:t>Starting from January 1, 2024, the convertible debt instruments were accounted for as a single liability measured at amortized cost.</w:t>
      </w:r>
    </w:p>
    <w:p>
      <w:pPr>
        <w:spacing w:after="0" w:line="117" w:lineRule="exact"/>
        <w:rPr>
          <w:sz w:val="20"/>
          <w:szCs w:val="20"/>
          <w:color w:val="auto"/>
        </w:rPr>
      </w:pPr>
    </w:p>
    <w:p>
      <w:pPr>
        <w:ind w:left="1000" w:hanging="302"/>
        <w:spacing w:after="0"/>
        <w:tabs>
          <w:tab w:leader="none" w:pos="10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left="1020" w:right="139"/>
        <w:spacing w:after="0" w:line="258" w:lineRule="auto"/>
        <w:rPr>
          <w:sz w:val="20"/>
          <w:szCs w:val="20"/>
          <w:color w:val="auto"/>
        </w:rPr>
      </w:pPr>
      <w:r>
        <w:rPr>
          <w:rFonts w:ascii="Times New Roman" w:cs="Times New Roman" w:eastAsia="Times New Roman" w:hAnsi="Times New Roman"/>
          <w:sz w:val="18"/>
          <w:szCs w:val="18"/>
          <w:color w:val="auto"/>
        </w:rPr>
        <w:t>Leases are classified as finance or operating, with classification affecting the pattern and classification of expense recognition in the statement of operations. 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The Company does not have any finance leases.</w:t>
      </w:r>
    </w:p>
    <w:p>
      <w:pPr>
        <w:spacing w:after="0" w:line="143" w:lineRule="exact"/>
        <w:rPr>
          <w:sz w:val="20"/>
          <w:szCs w:val="20"/>
          <w:color w:val="auto"/>
        </w:rPr>
      </w:pPr>
    </w:p>
    <w:p>
      <w:pPr>
        <w:ind w:left="1020" w:right="15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and operating lease liabilities in the consolidated balance sheets.</w:t>
      </w:r>
    </w:p>
    <w:p>
      <w:pPr>
        <w:spacing w:after="0" w:line="121" w:lineRule="exact"/>
        <w:rPr>
          <w:sz w:val="20"/>
          <w:szCs w:val="20"/>
          <w:color w:val="auto"/>
        </w:rPr>
      </w:pPr>
    </w:p>
    <w:p>
      <w:pPr>
        <w:ind w:left="1020" w:right="219"/>
        <w:spacing w:after="0" w:line="25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w:t>
      </w:r>
    </w:p>
    <w:p>
      <w:pPr>
        <w:spacing w:after="0" w:line="156" w:lineRule="exact"/>
        <w:rPr>
          <w:sz w:val="20"/>
          <w:szCs w:val="20"/>
          <w:color w:val="auto"/>
        </w:rPr>
      </w:pPr>
    </w:p>
    <w:p>
      <w:pPr>
        <w:ind w:left="1020" w:right="439"/>
        <w:spacing w:after="0" w:line="312" w:lineRule="auto"/>
        <w:rPr>
          <w:sz w:val="20"/>
          <w:szCs w:val="20"/>
          <w:color w:val="auto"/>
        </w:rPr>
      </w:pPr>
      <w:r>
        <w:rPr>
          <w:rFonts w:ascii="Times New Roman" w:cs="Times New Roman" w:eastAsia="Times New Roman" w:hAnsi="Times New Roman"/>
          <w:sz w:val="17"/>
          <w:szCs w:val="17"/>
          <w:color w:val="auto"/>
        </w:rPr>
        <w:t>The Company elected the short-term lease recognition exemption for all leases with a term shorter than 12 months. This means, for those leases, the Company does not recognize ROU assets or lease liabilities.</w:t>
      </w:r>
    </w:p>
    <w:p>
      <w:pPr>
        <w:spacing w:after="0" w:line="99"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Lease terms include options to extend or terminate the lease when it is reasonably certain that the Company will either exercise or not exercise the option to renew or terminate the lease. The Company recognizes lease expenses over the lease term on a straight-line basis.</w:t>
      </w:r>
    </w:p>
    <w:p>
      <w:pPr>
        <w:spacing w:after="0" w:line="135" w:lineRule="exact"/>
        <w:rPr>
          <w:sz w:val="20"/>
          <w:szCs w:val="20"/>
          <w:color w:val="auto"/>
        </w:rPr>
      </w:pPr>
    </w:p>
    <w:p>
      <w:pPr>
        <w:ind w:left="1020" w:right="179"/>
        <w:spacing w:after="0" w:line="282" w:lineRule="auto"/>
        <w:rPr>
          <w:sz w:val="20"/>
          <w:szCs w:val="20"/>
          <w:color w:val="auto"/>
        </w:rPr>
      </w:pPr>
      <w:r>
        <w:rPr>
          <w:rFonts w:ascii="Times New Roman" w:cs="Times New Roman" w:eastAsia="Times New Roman" w:hAnsi="Times New Roman"/>
          <w:sz w:val="18"/>
          <w:szCs w:val="18"/>
          <w:color w:val="auto"/>
        </w:rPr>
        <w:t>The Company applies the portfolio approach to account for the operating lease ROU assets and liabilities for certain car leases and incremental borrowing rates.</w:t>
      </w:r>
    </w:p>
    <w:p>
      <w:pPr>
        <w:spacing w:after="0" w:line="131" w:lineRule="exact"/>
        <w:rPr>
          <w:sz w:val="20"/>
          <w:szCs w:val="20"/>
          <w:color w:val="auto"/>
        </w:rPr>
      </w:pPr>
    </w:p>
    <w:p>
      <w:pPr>
        <w:ind w:left="980" w:hanging="282"/>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left="1020" w:right="17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The Company adopted this standard on a prospective basis.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7" w:lineRule="exact"/>
        <w:rPr>
          <w:sz w:val="20"/>
          <w:szCs w:val="20"/>
          <w:color w:val="auto"/>
        </w:rPr>
      </w:pPr>
    </w:p>
    <w:p>
      <w:pPr>
        <w:ind w:left="1020" w:right="219"/>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 —Expense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31" w:lineRule="exact"/>
        <w:rPr>
          <w:sz w:val="20"/>
          <w:szCs w:val="20"/>
          <w:color w:val="auto"/>
        </w:rPr>
      </w:pPr>
    </w:p>
    <w:p>
      <w:pPr>
        <w:ind w:left="1020" w:right="17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spacing w:after="0" w:line="156" w:lineRule="exact"/>
        <w:rPr>
          <w:sz w:val="20"/>
          <w:szCs w:val="20"/>
          <w:color w:val="auto"/>
        </w:rPr>
      </w:pPr>
    </w:p>
    <w:p>
      <w:pPr>
        <w:ind w:left="1020" w:right="159"/>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ASU is effective for fiscal years beginning after December 15, 2027, and interim periods within those fiscal years. The Company is currently evaluating the effects that ASU 2025-11 will have on its interim consolidated financial statements and related disclosures.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COMMERCIALIZATION AGREEMENTS</w:t>
      </w:r>
    </w:p>
    <w:p>
      <w:pPr>
        <w:spacing w:after="0" w:line="189" w:lineRule="exact"/>
        <w:rPr>
          <w:sz w:val="20"/>
          <w:szCs w:val="20"/>
          <w:color w:val="auto"/>
        </w:rPr>
      </w:pPr>
    </w:p>
    <w:p>
      <w:pPr>
        <w:ind w:left="1040" w:right="159" w:hanging="315"/>
        <w:spacing w:after="0" w:line="261" w:lineRule="auto"/>
        <w:tabs>
          <w:tab w:leader="none" w:pos="10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2015, the Company entered into the Amended Pfizer Agreement with Pfizer that amended and restated the Pfizer Agreement of November 30, 2009. Pursuant to the amendment, the Company granted Pfizer an exclusive, worldwide license, excluding Brazil. Pfizer acquired all the information, knowledge and permission to manufacture and sell Elelyso.</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Protalix Ltd. also agreed to provide Pfizer with:</w:t>
      </w:r>
    </w:p>
    <w:p>
      <w:pPr>
        <w:spacing w:after="0" w:line="185" w:lineRule="exact"/>
        <w:rPr>
          <w:sz w:val="20"/>
          <w:szCs w:val="20"/>
          <w:color w:val="auto"/>
        </w:rPr>
      </w:pPr>
    </w:p>
    <w:p>
      <w:pPr>
        <w:ind w:left="1020" w:right="699" w:firstLine="2"/>
        <w:spacing w:after="0" w:line="282" w:lineRule="auto"/>
        <w:tabs>
          <w:tab w:leader="none" w:pos="13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of the drug substance for its incorporation into the licensed product in consideration of an agreed price per unit.</w:t>
      </w:r>
    </w:p>
    <w:p>
      <w:pPr>
        <w:spacing w:after="0" w:line="121" w:lineRule="exact"/>
        <w:rPr>
          <w:rFonts w:ascii="Times New Roman" w:cs="Times New Roman" w:eastAsia="Times New Roman" w:hAnsi="Times New Roman"/>
          <w:sz w:val="18"/>
          <w:szCs w:val="18"/>
          <w:color w:val="auto"/>
        </w:rPr>
      </w:pPr>
    </w:p>
    <w:p>
      <w:pPr>
        <w:ind w:left="1020" w:right="399" w:firstLine="2"/>
        <w:spacing w:after="0" w:line="282" w:lineRule="auto"/>
        <w:tabs>
          <w:tab w:leader="none" w:pos="13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arranging for the manufacture of the drug substance by Pfizer or by alternative supplier chosen by Pfizer in consideration of an agreed hourly rate plus reimbursement of expenses.</w:t>
      </w:r>
    </w:p>
    <w:p>
      <w:pPr>
        <w:spacing w:after="0" w:line="134" w:lineRule="exact"/>
        <w:rPr>
          <w:rFonts w:ascii="Times New Roman" w:cs="Times New Roman" w:eastAsia="Times New Roman" w:hAnsi="Times New Roman"/>
          <w:sz w:val="18"/>
          <w:szCs w:val="18"/>
          <w:color w:val="auto"/>
        </w:rPr>
      </w:pPr>
    </w:p>
    <w:p>
      <w:pPr>
        <w:ind w:left="1020" w:right="99" w:hanging="322"/>
        <w:spacing w:after="0" w:line="256" w:lineRule="auto"/>
        <w:tabs>
          <w:tab w:leader="none" w:pos="10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Protalix Ltd. entered into the Chiesi Ex-U.S. Agreement with respect to the commercialization of pegunigalsidase alfa (hereafter – the drug) for the treatment of Fabry disease. Under the terms of the Chiesi Ex-U.S. Agreement, Protalix Ltd. granted to Chiesi exclusive licensing rights for the commercialization of the drug for all markets outside of the United States. At the effective date, Protalix Ltd. had maintained the exclusive commercialization rights to the drug in the United States, which rights were subsequently granted to Chiesi in July 2018.</w:t>
      </w:r>
    </w:p>
    <w:p>
      <w:pPr>
        <w:spacing w:after="0" w:line="146"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Ltd. is mainly responsible for (i) continuing the development of the drug until a regulatory approval is granted and (ii) manufacture and supply the drug to Chiesi, based on Chiesi’s requests.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85" w:lineRule="exact"/>
        <w:rPr>
          <w:sz w:val="20"/>
          <w:szCs w:val="20"/>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$25.0 million in development costs, capped at $10.0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$320.0 million with respect to certain regulatory and commercial events as defined in the Chiesi Ex-U.S. Agreement, which has been reduced to $295.0 million.</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35% of Chiesi’s average selling price of the drug, depending on the amount of annual sales.</w:t>
      </w:r>
    </w:p>
    <w:p>
      <w:pPr>
        <w:spacing w:after="0" w:line="13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Ltd. will be the sole manufacturer of the drug.</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 (except for certain territories).</w:t>
      </w:r>
    </w:p>
    <w:p>
      <w:pPr>
        <w:spacing w:after="0" w:line="185" w:lineRule="exact"/>
        <w:rPr>
          <w:sz w:val="20"/>
          <w:szCs w:val="20"/>
          <w:color w:val="auto"/>
        </w:rPr>
      </w:pPr>
    </w:p>
    <w:p>
      <w:pPr>
        <w:jc w:val="both"/>
        <w:ind w:left="1020" w:right="99"/>
        <w:spacing w:after="0" w:line="272" w:lineRule="auto"/>
        <w:rPr>
          <w:sz w:val="20"/>
          <w:szCs w:val="20"/>
          <w:color w:val="auto"/>
        </w:rPr>
      </w:pPr>
      <w:r>
        <w:rPr>
          <w:rFonts w:ascii="Times New Roman" w:cs="Times New Roman" w:eastAsia="Times New Roman" w:hAnsi="Times New Roman"/>
          <w:sz w:val="17"/>
          <w:szCs w:val="17"/>
          <w:color w:val="auto"/>
        </w:rPr>
        <w:t>In July 2018, Protalix Ltd. entered into the Chiesi US Agreement with respect to the commercialization of the drug for the treatment of Fabry disease. Under the terms of the Chiesi US Agreement, Protalix Ltd. granted to Chiesi exclusive licensing rights for the commercialization of the drug for all markets in the United States.</w:t>
      </w:r>
    </w:p>
    <w:p>
      <w:pPr>
        <w:spacing w:after="0" w:line="2" w:lineRule="exact"/>
        <w:rPr>
          <w:sz w:val="20"/>
          <w:szCs w:val="20"/>
          <w:color w:val="auto"/>
        </w:rPr>
      </w:pPr>
    </w:p>
    <w:p>
      <w:pPr>
        <w:ind w:left="1020" w:right="199"/>
        <w:spacing w:after="0" w:line="277" w:lineRule="auto"/>
        <w:rPr>
          <w:sz w:val="20"/>
          <w:szCs w:val="20"/>
          <w:color w:val="auto"/>
        </w:rPr>
      </w:pPr>
      <w:r>
        <w:rPr>
          <w:rFonts w:ascii="Times New Roman" w:cs="Times New Roman" w:eastAsia="Times New Roman" w:hAnsi="Times New Roman"/>
          <w:sz w:val="17"/>
          <w:szCs w:val="17"/>
          <w:color w:val="auto"/>
        </w:rPr>
        <w:t>Protalix Ltd. is mainly responsible for (i) continuing the development of the drug until a regulatory approval is granted, (ii) continuing certain clinical development efforts in relation to the drug after a regulatory approval is granted and (iii) manufacture and supply the drug to Chiesi, based on Chiesi’s requests.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85" w:lineRule="exact"/>
        <w:rPr>
          <w:sz w:val="20"/>
          <w:szCs w:val="20"/>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$20.0 million in development costs, capped at $7.5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$760.0 million with respect to certain regulatory and commercial events as defined in the Chiesi US Agreement.</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40% of Chiesi’s average selling price of the drug, depending on the amount of annual sales.</w:t>
      </w:r>
    </w:p>
    <w:p>
      <w:pPr>
        <w:spacing w:after="0" w:line="13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will be the sole manufacturer of the drug.</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w:t>
      </w:r>
    </w:p>
    <w:p>
      <w:pPr>
        <w:spacing w:after="0" w:line="185" w:lineRule="exact"/>
        <w:rPr>
          <w:sz w:val="20"/>
          <w:szCs w:val="20"/>
          <w:color w:val="auto"/>
        </w:rPr>
      </w:pPr>
    </w:p>
    <w:p>
      <w:pPr>
        <w:ind w:left="1020" w:right="99" w:hanging="322"/>
        <w:spacing w:after="0" w:line="256" w:lineRule="auto"/>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18, 2013, Protalix Ltd. entered into the Brazil Agreement with Fiocruz for BioManguinhos. Fiocruz’s purchases of BioManguinhos alfataliglicerase to date have been significantly below certain agreed upon purchase milestones and, accordingly, the Company has the right to terminate the Brazil Agreement. Notwithstanding, the Company is, at this time, continuing to supply BioManguinhos alfataliglicerase to Fiocruz under the Brazil Agreement, and patients continue to be treated with BioManguinhos alfataliglicerase in Brazil.</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29" w:lineRule="exact"/>
        <w:rPr>
          <w:sz w:val="20"/>
          <w:szCs w:val="20"/>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property and equipment grouped by major classifications is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in respect of property and equipment during the years ended December 31, 2023, 2024, and</w:t>
      </w:r>
    </w:p>
    <w:p>
      <w:pPr>
        <w:spacing w:after="0" w:line="27" w:lineRule="exact"/>
        <w:rPr>
          <w:rFonts w:ascii="Times New Roman" w:cs="Times New Roman" w:eastAsia="Times New Roman" w:hAnsi="Times New Roman"/>
          <w:sz w:val="18"/>
          <w:szCs w:val="18"/>
          <w:b w:val="1"/>
          <w:bCs w:val="1"/>
          <w:color w:val="auto"/>
        </w:rPr>
      </w:pPr>
    </w:p>
    <w:p>
      <w:pPr>
        <w:ind w:left="1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2025 were as follows:</w:t>
      </w:r>
    </w:p>
    <w:p>
      <w:pPr>
        <w:spacing w:after="0" w:line="18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6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in respect of property and equipment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89" w:lineRule="exact"/>
        <w:rPr>
          <w:sz w:val="20"/>
          <w:szCs w:val="20"/>
          <w:color w:val="auto"/>
        </w:rPr>
      </w:pPr>
    </w:p>
    <w:p>
      <w:pPr>
        <w:ind w:left="1040" w:hanging="315"/>
        <w:spacing w:after="0"/>
        <w:tabs>
          <w:tab w:leader="none" w:pos="10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December 31, 2024 and 2025 consisted of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0" w:type="dxa"/>
            <w:vAlign w:val="bottom"/>
          </w:tcPr>
          <w:p>
            <w:pPr>
              <w:spacing w:after="0"/>
              <w:rPr>
                <w:sz w:val="1"/>
                <w:szCs w:val="1"/>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519" w:hanging="315"/>
        <w:spacing w:after="0" w:line="282" w:lineRule="auto"/>
        <w:tabs>
          <w:tab w:leader="none" w:pos="10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Write-down of inventory under cost of goods sold recorded during the years ended December 31, 2023, 2024, and 2025 were as follows:</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 of inventory under cost of goods sold</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LIABILITY FOR EMPLOYEE RIGHTS UPON RETIREMENT</w:t>
      </w:r>
    </w:p>
    <w:p>
      <w:pPr>
        <w:spacing w:after="0" w:line="189" w:lineRule="exact"/>
        <w:rPr>
          <w:sz w:val="20"/>
          <w:szCs w:val="20"/>
          <w:color w:val="auto"/>
        </w:rPr>
      </w:pPr>
    </w:p>
    <w:p>
      <w:pPr>
        <w:ind w:left="700" w:right="199"/>
        <w:spacing w:after="0" w:line="258" w:lineRule="auto"/>
        <w:rPr>
          <w:sz w:val="20"/>
          <w:szCs w:val="20"/>
          <w:color w:val="auto"/>
        </w:rPr>
      </w:pPr>
      <w:r>
        <w:rPr>
          <w:rFonts w:ascii="Times New Roman" w:cs="Times New Roman" w:eastAsia="Times New Roman" w:hAnsi="Times New Roman"/>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43" w:lineRule="exact"/>
        <w:rPr>
          <w:sz w:val="20"/>
          <w:szCs w:val="20"/>
          <w:color w:val="auto"/>
        </w:rPr>
      </w:pPr>
    </w:p>
    <w:p>
      <w:pPr>
        <w:jc w:val="both"/>
        <w:ind w:left="700" w:right="299"/>
        <w:spacing w:after="0" w:line="258" w:lineRule="auto"/>
        <w:rPr>
          <w:sz w:val="20"/>
          <w:szCs w:val="20"/>
          <w:color w:val="auto"/>
        </w:rPr>
      </w:pPr>
      <w:r>
        <w:rPr>
          <w:rFonts w:ascii="Times New Roman" w:cs="Times New Roman" w:eastAsia="Times New Roman" w:hAnsi="Times New Roman"/>
          <w:sz w:val="18"/>
          <w:szCs w:val="18"/>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00" w:right="33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Company’s deposits with insurance companies in connection with its severance payment obligations were approximately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Deposits with insurance companies in connection with severance</w:t>
            </w:r>
          </w:p>
        </w:tc>
        <w:tc>
          <w:tcPr>
            <w:tcW w:w="14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obligations</w:t>
            </w:r>
          </w:p>
        </w:tc>
        <w:tc>
          <w:tcPr>
            <w:tcW w:w="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sheets, as the amounts funded are not under the control and management of the Company and the pension or severance pay risks have been irrevocably transferred to the applicable insurance companies (the “Contribution Plans”).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Severance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Severance Expenses in respect of Contribution Plans</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798</w:t>
            </w:r>
          </w:p>
        </w:tc>
        <w:tc>
          <w:tcPr>
            <w:tcW w:w="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859</w:t>
            </w:r>
          </w:p>
        </w:tc>
        <w:tc>
          <w:tcPr>
            <w:tcW w:w="1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Gain on amounts funded in respect of employee rights upon</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720" w:type="dxa"/>
            <w:vAlign w:val="bottom"/>
            <w:vMerge w:val="continue"/>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9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$1,180,000 in the year ending December 31, 2026 to insurance companies in connection with its severance liabilities, approximately $1,152,000 of which will be contributed to one or more Contribution Plans.</w:t>
      </w:r>
    </w:p>
    <w:p>
      <w:pPr>
        <w:spacing w:after="0" w:line="149" w:lineRule="exact"/>
        <w:rPr>
          <w:sz w:val="20"/>
          <w:szCs w:val="20"/>
          <w:color w:val="auto"/>
        </w:rPr>
      </w:pPr>
    </w:p>
    <w:p>
      <w:pPr>
        <w:ind w:left="700" w:right="379"/>
        <w:spacing w:after="0" w:line="282" w:lineRule="auto"/>
        <w:rPr>
          <w:sz w:val="20"/>
          <w:szCs w:val="20"/>
          <w:color w:val="auto"/>
        </w:rPr>
      </w:pPr>
      <w:r>
        <w:rPr>
          <w:rFonts w:ascii="Times New Roman" w:cs="Times New Roman" w:eastAsia="Times New Roman" w:hAnsi="Times New Roman"/>
          <w:sz w:val="18"/>
          <w:szCs w:val="18"/>
          <w:color w:val="auto"/>
        </w:rPr>
        <w:t>During the five-year period following December 31, 2025, the Company expects that up to 15 employees may retire upon normal retirement age.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85" w:lineRule="exact"/>
        <w:rPr>
          <w:sz w:val="20"/>
          <w:szCs w:val="20"/>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Commitments</w:t>
      </w:r>
    </w:p>
    <w:p>
      <w:pPr>
        <w:spacing w:after="0" w:line="188" w:lineRule="exact"/>
        <w:rPr>
          <w:rFonts w:ascii="Times New Roman" w:cs="Times New Roman" w:eastAsia="Times New Roman" w:hAnsi="Times New Roman"/>
          <w:sz w:val="18"/>
          <w:szCs w:val="18"/>
          <w:b w:val="1"/>
          <w:bCs w:val="1"/>
          <w:color w:val="auto"/>
        </w:rPr>
      </w:pPr>
    </w:p>
    <w:p>
      <w:pPr>
        <w:jc w:val="both"/>
        <w:ind w:left="1020" w:right="199"/>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obligated to pay royalties to the National Authority for Technological Innovation (“NATI”) on proceeds from the sale of products developed from research and development activities that were funded, partially, by grants from NATI or its predecessor, the Office of the Israeli Innovation Authority (IIA). At the time the grants were received, successful development of the related projects was not assured.</w:t>
      </w:r>
    </w:p>
    <w:p>
      <w:pPr>
        <w:spacing w:after="0" w:line="137" w:lineRule="exact"/>
        <w:rPr>
          <w:rFonts w:ascii="Times New Roman" w:cs="Times New Roman" w:eastAsia="Times New Roman" w:hAnsi="Times New Roman"/>
          <w:sz w:val="18"/>
          <w:szCs w:val="18"/>
          <w:b w:val="1"/>
          <w:bCs w:val="1"/>
          <w:color w:val="auto"/>
        </w:rPr>
      </w:pPr>
    </w:p>
    <w:p>
      <w:pPr>
        <w:ind w:left="102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failure of a project that was partly financed as described above, the Company is not obligated to pay any such royalties or repay funding received from NATI or the IIA.</w:t>
      </w:r>
    </w:p>
    <w:p>
      <w:pPr>
        <w:spacing w:after="0" w:line="121"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applicable funding arrangements, royalties of 3% to 6% are payable on the sale of products developed from projects funded by NATI or the IIA, which payments shall not exceed, in the aggregate, 100% of the amount of the grant received (dollar linked), plus, commencing upon January 1, 2001, interest at an annual rate based on SOFR. In addition, if the Company receives approval to manufacture products developed with government grants outside the State of Israel, it will, subject to certain exceptions, be required to pay an increased total amount of royalties, depending on the manufacturing volume that is performed outside the State of Israel, and, possibly, an increased royalty 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Royalty expenses to NATI or the IIA are included in the statement of operations as a component of the cost of revenues during the years ended December 31, 2023, 2024, and 2025 were approximately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6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expenses to NATI or the IIA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maximum total royalty amount payable by the Company under these funding arrangements at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2024 and 2025 (without interest, assuming 100% of the funds are payable) is as follows:</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840" w:type="dxa"/>
            <w:vAlign w:val="bottom"/>
            <w:gridSpan w:val="3"/>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Maximum total royalty amount payable (without interest, assuming 100%</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$ 33,900</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$ 32,391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funds are payable)</w:t>
            </w:r>
          </w:p>
        </w:tc>
        <w:tc>
          <w:tcPr>
            <w:tcW w:w="840" w:type="dxa"/>
            <w:vAlign w:val="bottom"/>
            <w:gridSpan w:val="3"/>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020" w:hanging="322"/>
        <w:spacing w:after="0"/>
        <w:tabs>
          <w:tab w:leader="none" w:pos="10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Agreements</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sub-contracting agreements with several clinical providers and consultants in Israel, the United States and certain other countries in connection with its primary product development process. As of December 31, 2025, total commitments under said agreements were approximately</w:t>
      </w:r>
    </w:p>
    <w:p>
      <w:pPr>
        <w:spacing w:after="0" w:line="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$17.7 million.</w:t>
      </w:r>
    </w:p>
    <w:p>
      <w:pPr>
        <w:spacing w:after="0" w:line="162"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Fill/Finish Agreement</w:t>
      </w:r>
    </w:p>
    <w:p>
      <w:pPr>
        <w:spacing w:after="0" w:line="202" w:lineRule="exact"/>
        <w:rPr>
          <w:rFonts w:ascii="Times New Roman" w:cs="Times New Roman" w:eastAsia="Times New Roman" w:hAnsi="Times New Roman"/>
          <w:sz w:val="18"/>
          <w:szCs w:val="18"/>
          <w:b w:val="1"/>
          <w:bCs w:val="1"/>
          <w:color w:val="auto"/>
        </w:rPr>
      </w:pPr>
    </w:p>
    <w:p>
      <w:pPr>
        <w:ind w:left="1020" w:right="11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in each case with Chiesi. The Company agreed to supply Chiesi with drug substance for pegunigalsidase alfa and, following relevant technology and technical information transfer activities, Chiesi has agreed, among other things, to provide the Company with commercial fill/finish services for pegunigalsidase alfa. The F/F Agreement did not change the terms and conditions of the Chiesi Agreements. Subsequently, in November 2024, the Company and Chiesi amended the F/F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 prior to expiration of the initial term. Under the</w:t>
      </w:r>
    </w:p>
    <w:p>
      <w:pPr>
        <w:spacing w:after="0" w:line="5" w:lineRule="exact"/>
        <w:rPr>
          <w:rFonts w:ascii="Times New Roman" w:cs="Times New Roman" w:eastAsia="Times New Roman" w:hAnsi="Times New Roman"/>
          <w:sz w:val="18"/>
          <w:szCs w:val="18"/>
          <w:b w:val="1"/>
          <w:bCs w:val="1"/>
          <w:color w:val="auto"/>
        </w:rPr>
      </w:pPr>
    </w:p>
    <w:p>
      <w:pPr>
        <w:ind w:left="1020" w:right="7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F/F Agreement, the Company is obligated to pay to Chiesi an amount equal to €2.5 million in connection with the necessary technology transfer, QA tests and capital expenditures. Such amount is to be paid over the term of the F/F agreement based on the actual vials produced by Chiesi thereunder. Under the amendment, the Company and Chiesi agreed to share equally the costs of establishing the new facility as an alternative source for Fill/Finish. The Company’s share of such costs amounting to €400,000 shall be due and payable upon Chiesi’s completion of the manufacture of the requisite validation batches and issuance of the process validation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189" w:lineRule="exact"/>
        <w:rPr>
          <w:sz w:val="20"/>
          <w:szCs w:val="20"/>
          <w:color w:val="auto"/>
        </w:rPr>
      </w:pPr>
    </w:p>
    <w:p>
      <w:pPr>
        <w:ind w:left="1020" w:right="139"/>
        <w:spacing w:after="0" w:line="254"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that included varying lease periods and options for extensions. The Company is currently in the second option period for each of the three leases, which periods are not uniform. In September 2025, the Company amended all of the facility leases, collectively, to provide that the third option period for each lease will end on December 31, 2031 and will be associated with a uniform rent increase equal to 7.5%. Thereafter, each lease will extend automatically, on an individual basis, for up to four additional five-year periods unless the Company provides the lessor with six months’ advance notice that it does not intend that any individual option extension become effective. Each option to renew a lease in each of the four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option periods shall include a rent increase equal to 5% of the rent payable for the applicable previous option period. Prior to the amendment, the options to extend the leases were associated with increases of either 7.5% or 10%. The Company expects to exercise the final option in future periods. As of December 31, 2025, the Company provided bank guarantees of approximately $586,000, in the aggregate, to secure the fulfillment of its obligations under the lease agreements. The Company adjusted the operating lease right of use assets by $3.1 million reflecting the amount of remeasurement of the lease liability using a new discount rate at the amendment date.</w:t>
      </w:r>
    </w:p>
    <w:p>
      <w:pPr>
        <w:spacing w:after="0" w:line="148"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several three-year leases for vehicles which are regularly amended as new vehicles are leased.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years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2023, 2024, and 2025:</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240" w:type="dxa"/>
            <w:vAlign w:val="bottom"/>
            <w:gridSpan w:val="2"/>
          </w:tcPr>
          <w:p>
            <w:pPr>
              <w:jc w:val="right"/>
              <w:ind w:right="16"/>
              <w:spacing w:after="0" w:line="106"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9"/>
                <w:szCs w:val="9"/>
                <w:color w:val="auto"/>
              </w:rPr>
            </w:pP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83"/>
              </w:rPr>
              <w: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top w:val="single" w:sz="8" w:color="auto"/>
            </w:tcBorders>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year</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Second year</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year</w:t>
            </w:r>
          </w:p>
        </w:tc>
        <w:tc>
          <w:tcPr>
            <w:tcW w:w="5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Fourth year</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year and thereafter</w:t>
            </w:r>
          </w:p>
        </w:tc>
        <w:tc>
          <w:tcPr>
            <w:tcW w:w="5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18,862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SHARE CAPITAL</w:t>
      </w:r>
    </w:p>
    <w:p>
      <w:pPr>
        <w:spacing w:after="0" w:line="185" w:lineRule="exact"/>
        <w:rPr>
          <w:sz w:val="20"/>
          <w:szCs w:val="20"/>
          <w:color w:val="auto"/>
        </w:rPr>
      </w:pPr>
    </w:p>
    <w:p>
      <w:pPr>
        <w:ind w:left="1000" w:hanging="302"/>
        <w:spacing w:after="0"/>
        <w:tabs>
          <w:tab w:leader="none" w:pos="10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202" w:lineRule="exact"/>
        <w:rPr>
          <w:rFonts w:ascii="Times New Roman" w:cs="Times New Roman" w:eastAsia="Times New Roman" w:hAnsi="Times New Roman"/>
          <w:sz w:val="18"/>
          <w:szCs w:val="18"/>
          <w:b w:val="1"/>
          <w:bCs w:val="1"/>
          <w:color w:val="auto"/>
        </w:rPr>
      </w:pPr>
    </w:p>
    <w:p>
      <w:pPr>
        <w:ind w:left="1020" w:right="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Company’s Certificate of Incorporation, as amended, the Company is authorized to issue 185,000,000 shares of Common Stock, par value $0.001 per share, and 100,000,000 shares of preferred stock, par value $0.0001 per share.</w:t>
      </w:r>
    </w:p>
    <w:p>
      <w:pPr>
        <w:spacing w:after="0" w:line="171"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the Company’s Common Stock</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is listed on the NYSE American. The Company voluntarily delisted its Common Stock from the Tel Aviv Stock Exchange effective March 22, 2023.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00" w:hanging="302"/>
        <w:spacing w:after="0"/>
        <w:tabs>
          <w:tab w:leader="none" w:pos="10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2006, the Board of Directors adopted the Protalix BioTherapeutics, Inc. 2006 Stock Incentive Plan, as amended (the “Plan”). The Plan has since been amended to, among other things, increase the number of shares of Common Stock available under the Plan to 17,475,171 shares. The grant of options to Israeli employees under the Plan is subject to the terms stipulated by Sections 102 and 102A of the Israeli Income Tax Ordinance (the “Ordinance”). Each option grant made to an Israeli citizen is subject to the track chosen by the Company, either Section 102 or Section 102A of the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Ordinance.</w:t>
      </w:r>
    </w:p>
    <w:p>
      <w:pPr>
        <w:spacing w:after="0" w:line="15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2,092,933 shares of Common Stock remain available for grant under the Plan.</w:t>
      </w:r>
    </w:p>
    <w:p>
      <w:pPr>
        <w:spacing w:after="0" w:line="198" w:lineRule="exact"/>
        <w:rPr>
          <w:rFonts w:ascii="Times New Roman" w:cs="Times New Roman" w:eastAsia="Times New Roman" w:hAnsi="Times New Roman"/>
          <w:sz w:val="18"/>
          <w:szCs w:val="18"/>
          <w:b w:val="1"/>
          <w:bCs w:val="1"/>
          <w:color w:val="auto"/>
        </w:rPr>
      </w:pPr>
    </w:p>
    <w:p>
      <w:pPr>
        <w:ind w:left="1020" w:right="2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period of the outstanding options and restricted shares is generally three or four years from the date of grant. The rights of common stock obtained from the exercise of options (once vested) and the restricted stock are identical to those of other common stock of the Company. The contractual term of these options is primarily for ten years.</w:t>
      </w:r>
    </w:p>
    <w:p>
      <w:pPr>
        <w:spacing w:after="0" w:line="135" w:lineRule="exact"/>
        <w:rPr>
          <w:sz w:val="20"/>
          <w:szCs w:val="20"/>
          <w:color w:val="auto"/>
        </w:rPr>
      </w:pPr>
    </w:p>
    <w:p>
      <w:pPr>
        <w:ind w:left="1340" w:hanging="318"/>
        <w:spacing w:after="0"/>
        <w:tabs>
          <w:tab w:leader="none" w:pos="1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and restricted stock granted to employees and directors:</w:t>
      </w:r>
    </w:p>
    <w:p>
      <w:pPr>
        <w:spacing w:after="0" w:line="189"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A summary of share option plans, and related information, under all of the Company’s equity incentive plans for the year ended December 31, 2025, and the effect of share-based compensation on the statement of operations for the year ended December 31, 2025, is as follows:</w:t>
      </w:r>
    </w:p>
    <w:p>
      <w:pPr>
        <w:spacing w:after="0" w:line="149" w:lineRule="exact"/>
        <w:rPr>
          <w:sz w:val="20"/>
          <w:szCs w:val="20"/>
          <w:color w:val="auto"/>
        </w:rPr>
      </w:pPr>
    </w:p>
    <w:p>
      <w:pPr>
        <w:ind w:left="1700" w:hanging="327"/>
        <w:spacing w:after="0"/>
        <w:tabs>
          <w:tab w:leader="none" w:pos="1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employees and directors: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vMerge w:val="restart"/>
          </w:tcPr>
          <w:p>
            <w:pPr>
              <w:ind w:left="3500"/>
              <w:spacing w:after="0"/>
              <w:rPr>
                <w:sz w:val="20"/>
                <w:szCs w:val="20"/>
                <w:color w:val="auto"/>
              </w:rPr>
            </w:pPr>
            <w:r>
              <w:rPr>
                <w:rFonts w:ascii="Times New Roman" w:cs="Times New Roman" w:eastAsia="Times New Roman" w:hAnsi="Times New Roman"/>
                <w:sz w:val="14"/>
                <w:szCs w:val="14"/>
                <w:color w:val="auto"/>
              </w:rPr>
              <w:t>​​​</w:t>
            </w:r>
          </w:p>
        </w:tc>
        <w:tc>
          <w:tcPr>
            <w:tcW w:w="33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3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Borders>
              <w:top w:val="single" w:sz="8" w:color="auto"/>
            </w:tcBorders>
          </w:tcPr>
          <w:p>
            <w:pPr>
              <w:jc w:val="center"/>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7,402,295</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360" w:type="dxa"/>
            <w:vAlign w:val="bottom"/>
          </w:tcPr>
          <w:p>
            <w:pPr>
              <w:spacing w:after="0"/>
              <w:rPr>
                <w:sz w:val="18"/>
                <w:szCs w:val="18"/>
                <w:color w:val="auto"/>
              </w:rPr>
            </w:pPr>
          </w:p>
        </w:tc>
        <w:tc>
          <w:tcPr>
            <w:tcW w:w="6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 and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8,274,278</w:t>
            </w:r>
          </w:p>
        </w:tc>
        <w:tc>
          <w:tcPr>
            <w:tcW w:w="6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year</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5,464,917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spacing w:after="0"/>
        <w:tabs>
          <w:tab w:leader="none" w:pos="16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Restricted stock granted to employees and directors:</w:t>
      </w:r>
    </w:p>
    <w:p>
      <w:pPr>
        <w:spacing w:after="0" w:line="300" w:lineRule="exact"/>
        <w:rPr>
          <w:sz w:val="20"/>
          <w:szCs w:val="20"/>
          <w:color w:val="auto"/>
        </w:rPr>
      </w:pPr>
    </w:p>
    <w:tbl>
      <w:tblPr>
        <w:tblLayout w:type="fixed"/>
        <w:tblInd w:w="14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13"/>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1"/>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fair value</w:t>
            </w:r>
          </w:p>
        </w:tc>
      </w:tr>
      <w:tr>
        <w:trPr>
          <w:trHeight w:val="190"/>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grant date</w:t>
            </w:r>
          </w:p>
        </w:tc>
      </w:tr>
      <w:tr>
        <w:trPr>
          <w:trHeight w:val="23"/>
        </w:trPr>
        <w:tc>
          <w:tcPr>
            <w:tcW w:w="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862,816</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564,010</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56"/>
        </w:trPr>
        <w:tc>
          <w:tcPr>
            <w:tcW w:w="20" w:type="dxa"/>
            <w:vAlign w:val="bottom"/>
          </w:tcPr>
          <w:p>
            <w:pPr>
              <w:spacing w:after="0"/>
              <w:rPr>
                <w:sz w:val="22"/>
                <w:szCs w:val="22"/>
                <w:color w:val="auto"/>
              </w:rPr>
            </w:pPr>
          </w:p>
        </w:tc>
        <w:tc>
          <w:tcPr>
            <w:tcW w:w="3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(687,232)</w:t>
            </w:r>
          </w:p>
        </w:tc>
        <w:tc>
          <w:tcPr>
            <w:tcW w:w="5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7"/>
        </w:trPr>
        <w:tc>
          <w:tcPr>
            <w:tcW w:w="20" w:type="dxa"/>
            <w:vAlign w:val="bottom"/>
          </w:tcPr>
          <w:p>
            <w:pPr>
              <w:spacing w:after="0"/>
              <w:rPr>
                <w:sz w:val="17"/>
                <w:szCs w:val="17"/>
                <w:color w:val="auto"/>
              </w:rPr>
            </w:pPr>
          </w:p>
        </w:tc>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 vested at end of year</w:t>
            </w:r>
          </w:p>
        </w:tc>
        <w:tc>
          <w:tcPr>
            <w:tcW w:w="1200" w:type="dxa"/>
            <w:vAlign w:val="bottom"/>
            <w:tcBorders>
              <w:bottom w:val="single" w:sz="8" w:color="auto"/>
            </w:tcBorders>
            <w:shd w:val="clear" w:color="auto" w:fill="CCEEFF"/>
          </w:tcPr>
          <w:p>
            <w:pPr>
              <w:jc w:val="right"/>
              <w:ind w:right="239"/>
              <w:spacing w:after="0" w:line="196" w:lineRule="exact"/>
              <w:rPr>
                <w:sz w:val="20"/>
                <w:szCs w:val="20"/>
                <w:color w:val="auto"/>
              </w:rPr>
            </w:pPr>
            <w:r>
              <w:rPr>
                <w:rFonts w:ascii="Times New Roman" w:cs="Times New Roman" w:eastAsia="Times New Roman" w:hAnsi="Times New Roman"/>
                <w:sz w:val="18"/>
                <w:szCs w:val="18"/>
                <w:color w:val="auto"/>
              </w:rPr>
              <w:t>739,594</w:t>
            </w:r>
          </w:p>
        </w:tc>
        <w:tc>
          <w:tcPr>
            <w:tcW w:w="50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80" w:right="279" w:hanging="334"/>
        <w:spacing w:after="0" w:line="282"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concerning outstanding and exercisable options as of December 31, 2025:</w:t>
      </w:r>
    </w:p>
    <w:p>
      <w:pPr>
        <w:spacing w:after="0" w:line="1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2" w:lineRule="exact"/>
        <w:rPr>
          <w:sz w:val="20"/>
          <w:szCs w:val="20"/>
          <w:color w:val="auto"/>
        </w:rPr>
      </w:pPr>
    </w:p>
    <w:tbl>
      <w:tblPr>
        <w:tblLayout w:type="fixed"/>
        <w:tblInd w:w="960" w:type="dxa"/>
        <w:tblCellMar>
          <w:top w:w="0" w:type="dxa"/>
          <w:left w:w="0" w:type="dxa"/>
          <w:bottom w:w="0" w:type="dxa"/>
          <w:right w:w="0" w:type="dxa"/>
        </w:tblCellMar>
      </w:tblP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Options outstanding</w:t>
            </w:r>
          </w:p>
        </w:tc>
        <w:tc>
          <w:tcPr>
            <w:tcW w:w="1920" w:type="dxa"/>
            <w:vAlign w:val="bottom"/>
            <w:tcBorders>
              <w:top w:val="single" w:sz="8" w:color="auto"/>
            </w:tcBorders>
            <w:gridSpan w:val="4"/>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009999"/>
              </w:rPr>
              <w:t>​​​</w:t>
            </w: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tcBorders>
              <w:top w:val="single" w:sz="8" w:color="auto"/>
            </w:tcBorders>
            <w:gridSpan w:val="2"/>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  Weighted</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60" w:type="dxa"/>
            <w:vAlign w:val="bottom"/>
            <w:gridSpan w:val="3"/>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040" w:type="dxa"/>
            <w:vAlign w:val="bottom"/>
            <w:gridSpan w:val="3"/>
            <w:vMerge w:val="continue"/>
          </w:tcPr>
          <w:p>
            <w:pPr>
              <w:spacing w:after="0"/>
              <w:rPr>
                <w:sz w:val="12"/>
                <w:szCs w:val="12"/>
                <w:color w:val="auto"/>
              </w:rPr>
            </w:pPr>
          </w:p>
        </w:tc>
        <w:tc>
          <w:tcPr>
            <w:tcW w:w="8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1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exercisable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7,017,970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4,208,609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$3.55-$3.73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$4.69-$5.60</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8,274,278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5,464,917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right="59"/>
        <w:spacing w:after="0" w:line="282" w:lineRule="auto"/>
        <w:rPr>
          <w:sz w:val="20"/>
          <w:szCs w:val="20"/>
          <w:color w:val="auto"/>
        </w:rPr>
      </w:pPr>
      <w:r>
        <w:rPr>
          <w:rFonts w:ascii="Times New Roman" w:cs="Times New Roman" w:eastAsia="Times New Roman" w:hAnsi="Times New Roman"/>
          <w:sz w:val="18"/>
          <w:szCs w:val="18"/>
          <w:color w:val="231F20"/>
        </w:rPr>
        <w:t>As of December 31, 2025, the aggregate intrinsic value of all the outstanding options and exercisable options was approximately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2.3</w:t>
      </w:r>
      <w:r>
        <w:rPr>
          <w:rFonts w:ascii="Times New Roman" w:cs="Times New Roman" w:eastAsia="Times New Roman" w:hAnsi="Times New Roman"/>
          <w:sz w:val="18"/>
          <w:szCs w:val="18"/>
          <w:color w:val="231F20"/>
        </w:rPr>
        <w:t xml:space="preserve"> million, respectively.</w:t>
      </w:r>
    </w:p>
    <w:p>
      <w:pPr>
        <w:spacing w:after="0" w:line="121" w:lineRule="exact"/>
        <w:rPr>
          <w:sz w:val="20"/>
          <w:szCs w:val="20"/>
          <w:color w:val="auto"/>
        </w:rPr>
      </w:pPr>
    </w:p>
    <w:p>
      <w:pPr>
        <w:ind w:left="1680" w:hanging="334"/>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grants date per share fair value of restricted stock granted in 2023, 2024, and</w:t>
      </w:r>
    </w:p>
    <w:p>
      <w:pPr>
        <w:spacing w:after="0" w:line="27"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was as follows:</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grants date per share fair value (USD)</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66</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80" w:right="139" w:hanging="334"/>
        <w:spacing w:after="0" w:line="261" w:lineRule="auto"/>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option granted during 2023, 2024, and 2025 for both employees and directors is estimated at the date of grant using the Black-Scholes option-pricing model. The following weighted average assumptions were applied in determining the options’ fair value on their grant date: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1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Weighted average grants date fair value (USD)</w:t>
            </w:r>
          </w:p>
        </w:tc>
        <w:tc>
          <w:tcPr>
            <w:tcW w:w="1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7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79.41 % 79.29 % 73.64 %</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40" w:type="dxa"/>
            <w:vAlign w:val="bottom"/>
            <w:gridSpan w:val="3"/>
          </w:tcPr>
          <w:p>
            <w:pPr>
              <w:jc w:val="right"/>
              <w:ind w:right="1980"/>
              <w:spacing w:after="0"/>
              <w:rPr>
                <w:sz w:val="20"/>
                <w:szCs w:val="20"/>
                <w:color w:val="auto"/>
              </w:rPr>
            </w:pPr>
            <w:r>
              <w:rPr>
                <w:rFonts w:ascii="Times New Roman" w:cs="Times New Roman" w:eastAsia="Times New Roman" w:hAnsi="Times New Roman"/>
                <w:sz w:val="18"/>
                <w:szCs w:val="18"/>
                <w:color w:val="auto"/>
                <w:w w:val="99"/>
              </w:rPr>
              <w:t>F-24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680" w:right="519" w:hanging="334"/>
        <w:spacing w:after="0" w:line="266" w:lineRule="auto"/>
        <w:tabs>
          <w:tab w:leader="none" w:pos="1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unrecognized compensation cost of employee stock options at December 31, 2025 is approximately $1.3 million. The unrecognized compensation cost of employee stock options is expected to be recognized over a weighted average period of 0.84 years.</w:t>
      </w:r>
    </w:p>
    <w:p>
      <w:pPr>
        <w:spacing w:after="0" w:line="135" w:lineRule="exact"/>
        <w:rPr>
          <w:rFonts w:ascii="Times New Roman" w:cs="Times New Roman" w:eastAsia="Times New Roman" w:hAnsi="Times New Roman"/>
          <w:sz w:val="18"/>
          <w:szCs w:val="18"/>
          <w:color w:val="auto"/>
        </w:rPr>
      </w:pPr>
    </w:p>
    <w:p>
      <w:pPr>
        <w:ind w:left="1660" w:right="1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2023 and 2024, there were no exercises of stock options, and the Company did not realize any tax benefit in connection with any exercises. During the year ended December 31, 2025, employees and former employees exercised options to purchase 328,481 shares of the Company’s common stock in the aggregate, and the Company did not realize any tax benefits equal in connection with such exercises.</w:t>
      </w:r>
    </w:p>
    <w:p>
      <w:pPr>
        <w:spacing w:after="0" w:line="142" w:lineRule="exact"/>
        <w:rPr>
          <w:rFonts w:ascii="Times New Roman" w:cs="Times New Roman" w:eastAsia="Times New Roman" w:hAnsi="Times New Roman"/>
          <w:sz w:val="18"/>
          <w:szCs w:val="18"/>
          <w:color w:val="auto"/>
        </w:rPr>
      </w:pPr>
    </w:p>
    <w:p>
      <w:pPr>
        <w:ind w:left="1660" w:right="3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vesting-date value of equity classified restricted stock vested during the year ended December 31, 2025 was $1.3 million. As of December 31, 2025, the unrecognized compensation cost related to all unvested equity classified restricted stock of $0.7 million is expected to be recognized as an expense over a weighted-average period of 0.87 years.</w:t>
      </w:r>
    </w:p>
    <w:p>
      <w:pPr>
        <w:spacing w:after="0" w:line="139" w:lineRule="exact"/>
        <w:rPr>
          <w:rFonts w:ascii="Times New Roman" w:cs="Times New Roman" w:eastAsia="Times New Roman" w:hAnsi="Times New Roman"/>
          <w:sz w:val="18"/>
          <w:szCs w:val="18"/>
          <w:color w:val="auto"/>
        </w:rPr>
      </w:pPr>
    </w:p>
    <w:p>
      <w:pPr>
        <w:ind w:left="1680" w:hanging="334"/>
        <w:spacing w:after="0"/>
        <w:tabs>
          <w:tab w:leader="none" w:pos="16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illustrates the effect of share-based compensation on the statement of operations: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6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and 144A Offerings</w:t>
      </w:r>
    </w:p>
    <w:p>
      <w:pPr>
        <w:spacing w:after="0" w:line="202" w:lineRule="exact"/>
        <w:rPr>
          <w:rFonts w:ascii="Times New Roman" w:cs="Times New Roman" w:eastAsia="Times New Roman" w:hAnsi="Times New Roman"/>
          <w:sz w:val="18"/>
          <w:szCs w:val="18"/>
          <w:b w:val="1"/>
          <w:bCs w:val="1"/>
          <w:color w:val="auto"/>
        </w:rPr>
      </w:pPr>
    </w:p>
    <w:p>
      <w:pPr>
        <w:ind w:left="102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issued (i) 301,810 shares of Common Stock in connection with the cash exercise of a warrant issued in 2020 and generated proceeds equal to $0.7 million from such exercise and (ii) 237,012 shares of Common Stock in connection with the cashless exercise of a warrant to purchase 845,000 shares of Common Stock issued in 2020. The Company did not generate any proceeds from the cashless exercise.</w:t>
      </w:r>
    </w:p>
    <w:p>
      <w:pPr>
        <w:spacing w:after="0" w:line="142" w:lineRule="exact"/>
        <w:rPr>
          <w:rFonts w:ascii="Times New Roman" w:cs="Times New Roman" w:eastAsia="Times New Roman" w:hAnsi="Times New Roman"/>
          <w:sz w:val="18"/>
          <w:szCs w:val="18"/>
          <w:b w:val="1"/>
          <w:bCs w:val="1"/>
          <w:color w:val="auto"/>
        </w:rPr>
      </w:pPr>
    </w:p>
    <w:p>
      <w:pPr>
        <w:ind w:left="1020" w:right="1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issued, in the aggregate, 4,691,623 shares of Common Stock in connection with the conversions of 2024 Notes. In connection with such conversions, during the year ended December 31, 2023, the Company paid to the converting holders $0.9 million representing cash payments due to accrued but unpaid interest, make-whole interest payments and payments in lieu of fractional shares.</w:t>
      </w:r>
    </w:p>
    <w:p>
      <w:pPr>
        <w:spacing w:after="0" w:line="14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issued:</w:t>
      </w:r>
    </w:p>
    <w:p>
      <w:pPr>
        <w:spacing w:after="0" w:line="198" w:lineRule="exact"/>
        <w:rPr>
          <w:rFonts w:ascii="Times New Roman" w:cs="Times New Roman" w:eastAsia="Times New Roman" w:hAnsi="Times New Roman"/>
          <w:sz w:val="18"/>
          <w:szCs w:val="18"/>
          <w:b w:val="1"/>
          <w:bCs w:val="1"/>
          <w:color w:val="auto"/>
        </w:rPr>
      </w:pPr>
    </w:p>
    <w:p>
      <w:pPr>
        <w:ind w:left="2020" w:right="139" w:hanging="647"/>
        <w:spacing w:after="0" w:line="261" w:lineRule="auto"/>
        <w:tabs>
          <w:tab w:leader="none" w:pos="2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908,000 shares of Common Stock in connection with the exercise of warrants issued in 2020 generating proceeds equal to approximately $2.1 million from such exercises. All unexercised warrants expired on March 11, 2025. Accordingly, </w:t>
      </w:r>
      <w:r>
        <w:rPr>
          <w:rFonts w:ascii="Times New Roman" w:cs="Times New Roman" w:eastAsia="Times New Roman" w:hAnsi="Times New Roman"/>
          <w:sz w:val="18"/>
          <w:szCs w:val="18"/>
          <w:color w:val="212529"/>
        </w:rPr>
        <w:t>as of March 12, 2025, no warrants remained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outstanding</w:t>
      </w:r>
      <w:r>
        <w:rPr>
          <w:rFonts w:ascii="Times New Roman" w:cs="Times New Roman" w:eastAsia="Times New Roman" w:hAnsi="Times New Roman"/>
          <w:sz w:val="18"/>
          <w:szCs w:val="18"/>
          <w:color w:val="000000"/>
        </w:rPr>
        <w:t>.</w:t>
      </w:r>
    </w:p>
    <w:p>
      <w:pPr>
        <w:spacing w:after="0" w:line="139" w:lineRule="exact"/>
        <w:rPr>
          <w:rFonts w:ascii="Times New Roman" w:cs="Times New Roman" w:eastAsia="Times New Roman" w:hAnsi="Times New Roman"/>
          <w:sz w:val="18"/>
          <w:szCs w:val="18"/>
          <w:color w:val="auto"/>
        </w:rPr>
      </w:pPr>
    </w:p>
    <w:p>
      <w:pPr>
        <w:ind w:left="2020" w:right="219" w:hanging="647"/>
        <w:spacing w:after="0" w:line="289" w:lineRule="auto"/>
        <w:tabs>
          <w:tab w:leader="none" w:pos="202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328,481 shares of Common Stock in connection with the cash exercise of options to purchase 328,481 shares of Common Stock by certain current and former employees of the Company. The Company received cash proceeds equal to $0.4 million in connection with such exercises.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At-the-Market (ATM) Offering</w:t>
      </w:r>
    </w:p>
    <w:p>
      <w:pPr>
        <w:spacing w:after="0" w:line="189" w:lineRule="exact"/>
        <w:rPr>
          <w:sz w:val="20"/>
          <w:szCs w:val="20"/>
          <w:color w:val="auto"/>
        </w:rPr>
      </w:pPr>
    </w:p>
    <w:p>
      <w:pPr>
        <w:ind w:left="1020" w:right="199"/>
        <w:spacing w:after="0" w:line="255"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Common Stock having an aggregate offering price of up to $20.0 million (the “ATM Shares”). 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48" w:lineRule="exact"/>
        <w:rPr>
          <w:sz w:val="20"/>
          <w:szCs w:val="20"/>
          <w:color w:val="auto"/>
        </w:rPr>
      </w:pPr>
    </w:p>
    <w:p>
      <w:pPr>
        <w:ind w:left="1020" w:right="79"/>
        <w:spacing w:after="0" w:line="256" w:lineRule="auto"/>
        <w:rPr>
          <w:sz w:val="20"/>
          <w:szCs w:val="20"/>
          <w:color w:val="auto"/>
        </w:rPr>
      </w:pPr>
      <w:r>
        <w:rPr>
          <w:rFonts w:ascii="Times New Roman" w:cs="Times New Roman" w:eastAsia="Times New Roman" w:hAnsi="Times New Roman"/>
          <w:sz w:val="18"/>
          <w:szCs w:val="18"/>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On March 17, 2025, the Company entered into an amendment to the 2023 Sales Agreement pursuant to which the Company increased the aggregate gross sales price of shares of Common Stock available for offer and sale under the Sales Agreement by $20.0 million.</w:t>
      </w:r>
    </w:p>
    <w:p>
      <w:pPr>
        <w:spacing w:after="0" w:line="160"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The Company has no obligation to sell any shares of Common Stock under the 2023 Sales Agreement, and may at any time suspend sales under the 2023 Sales Agreement or terminate the 2023 Sales Agreement in accordance with its terms. The Agent is entitled to a commission of up to 3.0% of the aggregate gross proceeds from the shares of Common Stock sold under the 2023 Sales Agreement.</w:t>
      </w:r>
    </w:p>
    <w:p>
      <w:pPr>
        <w:spacing w:after="0" w:line="139" w:lineRule="exact"/>
        <w:rPr>
          <w:sz w:val="20"/>
          <w:szCs w:val="20"/>
          <w:color w:val="auto"/>
        </w:rPr>
      </w:pPr>
    </w:p>
    <w:p>
      <w:pPr>
        <w:ind w:left="1020" w:right="21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sold, in the aggregate, 12,560,150 shares of Common Stock under the 2021 Sales Agreement and 2023 Sales Agreement. The Company generated gross proceeds equal to approximately $24.9 million in connection with such sales (issuance cost was approximately $0.9 million).</w:t>
      </w:r>
    </w:p>
    <w:p>
      <w:pPr>
        <w:spacing w:after="0" w:line="139" w:lineRule="exact"/>
        <w:rPr>
          <w:sz w:val="20"/>
          <w:szCs w:val="20"/>
          <w:color w:val="auto"/>
        </w:rPr>
      </w:pPr>
    </w:p>
    <w:p>
      <w:pPr>
        <w:ind w:left="1020" w:right="1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sold, in the aggregate 2,216,692 shares of Common Stock under the 2023 Sales Agreement. The Company generated gross proceeds equal to approximately $3.8 million in connection with such sales (issuance cost was approximately $0.1 million).</w:t>
      </w:r>
    </w:p>
    <w:p>
      <w:pPr>
        <w:spacing w:after="0" w:line="149" w:lineRule="exact"/>
        <w:rPr>
          <w:sz w:val="20"/>
          <w:szCs w:val="20"/>
          <w:color w:val="auto"/>
        </w:rPr>
      </w:pPr>
    </w:p>
    <w:p>
      <w:pPr>
        <w:ind w:left="1020" w:right="7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sold, in the aggregate, 2,775,215 shares of Common Stock under the 2023 Sales Agreement. The Company generated gross proceeds equal to approximately $7.0 million in connection with such sales (issuance costs were $0.2 million). All such sales were effected during the first and second quarters of 2025.</w:t>
      </w:r>
    </w:p>
    <w:p>
      <w:pPr>
        <w:spacing w:after="0" w:line="139"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As of December 31, 2025, shares of Common Stock for total gross proceeds of approximately $15.7 million remain available to be sold under the Sales Agreement.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CONVERTIBLE NOTES</w:t>
      </w:r>
    </w:p>
    <w:p>
      <w:pPr>
        <w:spacing w:after="0" w:line="202" w:lineRule="exact"/>
        <w:rPr>
          <w:sz w:val="20"/>
          <w:szCs w:val="20"/>
          <w:color w:val="auto"/>
        </w:rPr>
      </w:pPr>
    </w:p>
    <w:p>
      <w:pPr>
        <w:ind w:left="1020" w:right="59"/>
        <w:spacing w:after="0" w:line="266" w:lineRule="auto"/>
        <w:rPr>
          <w:sz w:val="20"/>
          <w:szCs w:val="20"/>
          <w:color w:val="auto"/>
        </w:rPr>
      </w:pPr>
      <w:r>
        <w:rPr>
          <w:rFonts w:ascii="Times New Roman" w:cs="Times New Roman" w:eastAsia="Times New Roman" w:hAnsi="Times New Roman"/>
          <w:sz w:val="18"/>
          <w:szCs w:val="18"/>
          <w:color w:val="212529"/>
        </w:rPr>
        <w:t>In September 2024, the Company repaid all of the $20.42 million outstanding principal and interest payable under the 2024 Notes. The repayment of the convertible notes at maturity was financed entirely with available cash.</w:t>
      </w:r>
    </w:p>
    <w:p>
      <w:pPr>
        <w:spacing w:after="0" w:line="135" w:lineRule="exact"/>
        <w:rPr>
          <w:sz w:val="20"/>
          <w:szCs w:val="20"/>
          <w:color w:val="auto"/>
        </w:rPr>
      </w:pPr>
    </w:p>
    <w:p>
      <w:pPr>
        <w:ind w:left="1020" w:right="99"/>
        <w:spacing w:after="0" w:line="256" w:lineRule="auto"/>
        <w:rPr>
          <w:sz w:val="20"/>
          <w:szCs w:val="20"/>
          <w:color w:val="auto"/>
        </w:rPr>
      </w:pPr>
      <w:r>
        <w:rPr>
          <w:rFonts w:ascii="Times New Roman" w:cs="Times New Roman" w:eastAsia="Times New Roman" w:hAnsi="Times New Roman"/>
          <w:sz w:val="18"/>
          <w:szCs w:val="18"/>
          <w:color w:val="auto"/>
        </w:rPr>
        <w:t>The 2024 Notes were issued pursuant to an indenture entered into between the Company, the guarantors party thereto, The Bank of New York Mellon Trust Company, N.A., as trustee and Wilmington Savings Fund Society, FSB, as collateral agent. Interest on the 2024 Notes was payable semi-annually at a rate of 7.50% per annum. The outstanding 2024 Notes matured three years after the issuance thereof and were guaranteed by the Company’s subsidiaries. The 2024 Notes were secured by perfected liens on all of the assets of the Company and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2024 Notes: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FAIR VALUE MEASUREMENT</w:t>
      </w:r>
    </w:p>
    <w:p>
      <w:pPr>
        <w:spacing w:after="0" w:line="189" w:lineRule="exact"/>
        <w:rPr>
          <w:sz w:val="20"/>
          <w:szCs w:val="20"/>
          <w:color w:val="auto"/>
        </w:rPr>
      </w:pPr>
    </w:p>
    <w:p>
      <w:pPr>
        <w:ind w:left="680" w:right="59"/>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9"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80" w:right="419"/>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98"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80" w:right="259"/>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80" w:right="21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NET EARNINGS (LOSS) PER SHARE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earnings (loss) per share attributable to common stockholders were calculated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expenses of 2024 Notes*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for basic</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67,512,527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72,530,698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78,546,234</w:t>
            </w:r>
          </w:p>
        </w:tc>
        <w:tc>
          <w:tcPr>
            <w:tcW w:w="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effect of 2024 Notes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13,335,430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7,667,323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stock options and restricted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1,576,059</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859,155</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of Common Stock outstanding for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82,424,016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81,057,176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78,546,234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700" w:right="659" w:hanging="2"/>
        <w:spacing w:after="0" w:line="282" w:lineRule="auto"/>
        <w:tabs>
          <w:tab w:leader="none" w:pos="8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expenses on 2024 Notes consists of add back of financial expense incurred during the year and inclusion of make-whole interest payments that will be incurred upon conversion.</w:t>
      </w:r>
    </w:p>
    <w:p>
      <w:pPr>
        <w:spacing w:after="0" w:line="121" w:lineRule="exact"/>
        <w:rPr>
          <w:sz w:val="20"/>
          <w:szCs w:val="20"/>
          <w:color w:val="auto"/>
        </w:rPr>
      </w:pPr>
    </w:p>
    <w:p>
      <w:pPr>
        <w:ind w:left="700" w:right="79"/>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2023, the diluted earnings per share do not include 18,254,264 shares of Common Stock underlying outstanding warrants and stock options because the effect would be anti-dilutive. In the year ended December 31, 2024, the diluted earnings per share do not include 16,661,907 shares of Common Stock underlying outstanding stock options, unvested restricted shares and warrants because the effect would be anti-dilutive. In the year ended December 31, 2025, the diluted earnings per share do not include 10,672,506 shares of Common Stock underlying outstanding stock options, unvested restricted shares and warrants because the effect would be anti-dilutive.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TAXES ON INCOME</w:t>
      </w:r>
    </w:p>
    <w:p>
      <w:pPr>
        <w:spacing w:after="0" w:line="198" w:lineRule="exact"/>
        <w:rPr>
          <w:sz w:val="20"/>
          <w:szCs w:val="20"/>
          <w:color w:val="auto"/>
        </w:rPr>
      </w:pPr>
    </w:p>
    <w:p>
      <w:pPr>
        <w:ind w:left="1040" w:hanging="315"/>
        <w:spacing w:after="0"/>
        <w:tabs>
          <w:tab w:leader="none" w:pos="10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Protalix BioTherapeutics, Inc. is taxed according to U.S. tax laws. The Company’s income is taxed in the United States at a rate of up to 21%.</w:t>
      </w:r>
    </w:p>
    <w:p>
      <w:pPr>
        <w:spacing w:after="0" w:line="121" w:lineRule="exact"/>
        <w:rPr>
          <w:sz w:val="20"/>
          <w:szCs w:val="20"/>
          <w:color w:val="auto"/>
        </w:rPr>
      </w:pPr>
    </w:p>
    <w:p>
      <w:pPr>
        <w:ind w:left="1020" w:right="79"/>
        <w:spacing w:after="0" w:line="253" w:lineRule="auto"/>
        <w:rPr>
          <w:sz w:val="20"/>
          <w:szCs w:val="20"/>
          <w:color w:val="auto"/>
        </w:rPr>
      </w:pPr>
      <w:r>
        <w:rPr>
          <w:rFonts w:ascii="Times New Roman" w:cs="Times New Roman" w:eastAsia="Times New Roman" w:hAnsi="Times New Roman"/>
          <w:sz w:val="18"/>
          <w:szCs w:val="18"/>
          <w:color w:val="auto"/>
        </w:rPr>
        <w:t>The U.S. Tax Cuts and Jobs Act, which was enacted into law in December 2017 (the “TCJA”) represents fundamental and dramatic modifications to the U.S. tax system. It contains several key tax provisions that impacted the Company including the reduction of the maximum U.S. federal corporate income tax rate from 35% to 21%, effective January 1, 2018. Other significant changes under the TCJA includes, among others, a one-time repatriation tax on accumulated foreign earnings, a limitation of NOL deduction to 80% of taxable income, and indefinite carryover of post-2017 NOLs. The TCJA also repealed the corporate alternative minimum tax for tax years beginning after December 31, 2017. Losses generated prior to January 1, 2018 will still be subject to the 20-year carryforward limitation and the alternative minimum tax. Other impacts due to the TCJA included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spacing w:after="0" w:line="163" w:lineRule="exact"/>
        <w:rPr>
          <w:sz w:val="20"/>
          <w:szCs w:val="20"/>
          <w:color w:val="auto"/>
        </w:rPr>
      </w:pPr>
    </w:p>
    <w:p>
      <w:pPr>
        <w:ind w:left="1020" w:right="259"/>
        <w:spacing w:after="0" w:line="258" w:lineRule="auto"/>
        <w:rPr>
          <w:sz w:val="20"/>
          <w:szCs w:val="20"/>
          <w:color w:val="auto"/>
        </w:rPr>
      </w:pPr>
      <w:r>
        <w:rPr>
          <w:rFonts w:ascii="Times New Roman" w:cs="Times New Roman" w:eastAsia="Times New Roman" w:hAnsi="Times New Roman"/>
          <w:sz w:val="18"/>
          <w:szCs w:val="18"/>
          <w:color w:val="auto"/>
        </w:rPr>
        <w:t>Modification of interest expense limitation rules under the TCJA provides generally that for taxable years 2019-2022 interest expense deduction shall be limited to 50% of the EBITDA and for taxable years 2022 onwards to 30% of EBIT. Disallowed interest deduction may be carried forward indefinitely. The Company believes that any potential impact (if applicable) of this limitation will be offset by utilization of available NOLs.</w:t>
      </w:r>
    </w:p>
    <w:p>
      <w:pPr>
        <w:spacing w:after="0" w:line="143" w:lineRule="exact"/>
        <w:rPr>
          <w:sz w:val="20"/>
          <w:szCs w:val="20"/>
          <w:color w:val="auto"/>
        </w:rPr>
      </w:pPr>
    </w:p>
    <w:p>
      <w:pPr>
        <w:ind w:left="1020" w:right="319"/>
        <w:spacing w:after="0" w:line="256" w:lineRule="auto"/>
        <w:rPr>
          <w:sz w:val="20"/>
          <w:szCs w:val="20"/>
          <w:color w:val="auto"/>
        </w:rPr>
      </w:pPr>
      <w:r>
        <w:rPr>
          <w:rFonts w:ascii="Times New Roman" w:cs="Times New Roman" w:eastAsia="Times New Roman" w:hAnsi="Times New Roman"/>
          <w:sz w:val="18"/>
          <w:szCs w:val="18"/>
          <w:color w:val="auto"/>
        </w:rPr>
        <w:t>On July 4, 2025, tax reform legislation was enacted in the United States through the passage of H.R.1, The One Big Beautiful Act, which includes significant corporate tax changes, including a restoration of the current deductibility of domestic research expenditures beginning in 2025 under IRC Section 174A, with transition options for previously capitalized amounts. Foreign research expenditures continue to require capitalization subject to the mandatory 15-year amortization period under existing IRC Section 174. The Company implemented the transition options permitted.</w:t>
      </w:r>
    </w:p>
    <w:p>
      <w:pPr>
        <w:spacing w:after="0" w:line="147" w:lineRule="exact"/>
        <w:rPr>
          <w:sz w:val="20"/>
          <w:szCs w:val="20"/>
          <w:color w:val="auto"/>
        </w:rPr>
      </w:pPr>
    </w:p>
    <w:p>
      <w:pPr>
        <w:ind w:left="1020" w:right="179"/>
        <w:spacing w:after="0" w:line="258" w:lineRule="auto"/>
        <w:rPr>
          <w:sz w:val="20"/>
          <w:szCs w:val="20"/>
          <w:color w:val="auto"/>
        </w:rPr>
      </w:pPr>
      <w:r>
        <w:rPr>
          <w:rFonts w:ascii="Times New Roman" w:cs="Times New Roman" w:eastAsia="Times New Roman" w:hAnsi="Times New Roman"/>
          <w:sz w:val="18"/>
          <w:szCs w:val="18"/>
          <w:color w:val="auto"/>
        </w:rPr>
        <w:t>Section 174 which requires taxpayers to capitalize and amortize research and development expenses for tax years beginning after December 31, 2021, resulted in the capitalization of research and development costs of approximately $14.4 million, $11.9 million and $14.6 million in 2023, 2024, and 2025, respectively. The Company will amortize these costs for tax purposes over 15 years for research and development performed outside the United States.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66" w:lineRule="auto"/>
        <w:rPr>
          <w:sz w:val="20"/>
          <w:szCs w:val="20"/>
          <w:color w:val="auto"/>
        </w:rPr>
      </w:pPr>
      <w:r>
        <w:rPr>
          <w:rFonts w:ascii="Times New Roman" w:cs="Times New Roman" w:eastAsia="Times New Roman" w:hAnsi="Times New Roman"/>
          <w:sz w:val="18"/>
          <w:szCs w:val="18"/>
          <w:color w:val="auto"/>
        </w:rPr>
        <w:t>The Company believes that all future profits of its Subsidiary will be indefinitely reinvested or that there is no expectation to distribute any taxable dividends from the Subsidiary. The determination of the amount of the unrecognized deferred tax liability related to the undistributed earnings is estimated as an immaterial amount.</w:t>
      </w:r>
    </w:p>
    <w:p>
      <w:pPr>
        <w:spacing w:after="0" w:line="131" w:lineRule="exact"/>
        <w:rPr>
          <w:sz w:val="20"/>
          <w:szCs w:val="20"/>
          <w:color w:val="auto"/>
        </w:rPr>
      </w:pPr>
    </w:p>
    <w:p>
      <w:pPr>
        <w:ind w:left="1020" w:hanging="322"/>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Protalix Ltd.</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a “foreign-investment company” measures its results for tax purposes in dollar based on Income Tax Regulations (Bookkeeping Principles of Foreign Invested Companies and of Certain Partnerships and the Determination of Their Taxable Income), 1986. The Israeli Subsidiary is taxed according to Israeli tax laws:</w:t>
      </w:r>
    </w:p>
    <w:p>
      <w:pPr>
        <w:spacing w:after="0" w:line="149" w:lineRule="exact"/>
        <w:rPr>
          <w:sz w:val="20"/>
          <w:szCs w:val="20"/>
          <w:color w:val="auto"/>
        </w:rPr>
      </w:pPr>
    </w:p>
    <w:p>
      <w:pPr>
        <w:ind w:left="1380" w:hanging="331"/>
        <w:spacing w:after="0"/>
        <w:tabs>
          <w:tab w:leader="none" w:pos="1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rates</w:t>
      </w:r>
    </w:p>
    <w:p>
      <w:pPr>
        <w:spacing w:after="0" w:line="189" w:lineRule="exact"/>
        <w:rPr>
          <w:sz w:val="20"/>
          <w:szCs w:val="20"/>
          <w:color w:val="auto"/>
        </w:rPr>
      </w:pPr>
    </w:p>
    <w:p>
      <w:pPr>
        <w:ind w:left="1340" w:right="219"/>
        <w:spacing w:after="0" w:line="282" w:lineRule="auto"/>
        <w:rPr>
          <w:sz w:val="20"/>
          <w:szCs w:val="20"/>
          <w:color w:val="auto"/>
        </w:rPr>
      </w:pPr>
      <w:r>
        <w:rPr>
          <w:rFonts w:ascii="Times New Roman" w:cs="Times New Roman" w:eastAsia="Times New Roman" w:hAnsi="Times New Roman"/>
          <w:sz w:val="18"/>
          <w:szCs w:val="18"/>
          <w:color w:val="auto"/>
        </w:rPr>
        <w:t>The income of the Israeli Subsidiary, other than income from “Approved Enterprises,” is taxed in Israel at the regular corporate tax rates.</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corporate tax rate was 23% for 2018 and thereafter.</w:t>
      </w:r>
    </w:p>
    <w:p>
      <w:pPr>
        <w:spacing w:after="0" w:line="198" w:lineRule="exact"/>
        <w:rPr>
          <w:sz w:val="20"/>
          <w:szCs w:val="20"/>
          <w:color w:val="auto"/>
        </w:rPr>
      </w:pPr>
    </w:p>
    <w:p>
      <w:pPr>
        <w:ind w:left="1340" w:right="79"/>
        <w:spacing w:after="0" w:line="282" w:lineRule="auto"/>
        <w:rPr>
          <w:sz w:val="20"/>
          <w:szCs w:val="20"/>
          <w:color w:val="auto"/>
        </w:rPr>
      </w:pPr>
      <w:r>
        <w:rPr>
          <w:rFonts w:ascii="Times New Roman" w:cs="Times New Roman" w:eastAsia="Times New Roman" w:hAnsi="Times New Roman"/>
          <w:sz w:val="18"/>
          <w:szCs w:val="18"/>
          <w:color w:val="auto"/>
        </w:rPr>
        <w:t>Capital gain on a sale of assets is subject to capital gain tax according to the corporate tax rate in effect in the year during which the assets are sold.</w:t>
      </w:r>
    </w:p>
    <w:p>
      <w:pPr>
        <w:spacing w:after="0" w:line="117" w:lineRule="exact"/>
        <w:rPr>
          <w:sz w:val="20"/>
          <w:szCs w:val="20"/>
          <w:color w:val="auto"/>
        </w:rPr>
      </w:pPr>
    </w:p>
    <w:p>
      <w:pPr>
        <w:ind w:left="1380" w:right="399" w:hanging="331"/>
        <w:spacing w:after="0" w:line="286" w:lineRule="auto"/>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Law for the Encouragement of Capital Investments, 1959 (the “Encouragement of Capital Investments Law”)</w:t>
      </w:r>
    </w:p>
    <w:p>
      <w:pPr>
        <w:spacing w:after="0" w:line="118" w:lineRule="exact"/>
        <w:rPr>
          <w:sz w:val="20"/>
          <w:szCs w:val="20"/>
          <w:color w:val="auto"/>
        </w:rPr>
      </w:pPr>
    </w:p>
    <w:p>
      <w:pPr>
        <w:ind w:left="1340" w:right="519"/>
        <w:spacing w:after="0" w:line="266" w:lineRule="auto"/>
        <w:rPr>
          <w:sz w:val="20"/>
          <w:szCs w:val="20"/>
          <w:color w:val="auto"/>
        </w:rPr>
      </w:pPr>
      <w:r>
        <w:rPr>
          <w:rFonts w:ascii="Times New Roman" w:cs="Times New Roman" w:eastAsia="Times New Roman" w:hAnsi="Times New Roman"/>
          <w:sz w:val="18"/>
          <w:szCs w:val="18"/>
          <w:color w:val="auto"/>
        </w:rPr>
        <w:t>Under the Encouragement of Capital Investments Law, including Amendment No. 60 to the Encouragement of Capital Investments Law as published in April 2005, by virtue of the “Approved Enterprise” status the Israeli Subsidiary is entitled to various tax benefits as follows:</w:t>
      </w:r>
    </w:p>
    <w:p>
      <w:pPr>
        <w:spacing w:after="0" w:line="145" w:lineRule="exact"/>
        <w:rPr>
          <w:sz w:val="20"/>
          <w:szCs w:val="20"/>
          <w:color w:val="auto"/>
        </w:rPr>
      </w:pPr>
    </w:p>
    <w:p>
      <w:pPr>
        <w:ind w:left="1660" w:hanging="314"/>
        <w:spacing w:after="0"/>
        <w:tabs>
          <w:tab w:leader="none" w:pos="1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tax rates</w:t>
      </w:r>
    </w:p>
    <w:p>
      <w:pPr>
        <w:spacing w:after="0" w:line="188" w:lineRule="exact"/>
        <w:rPr>
          <w:rFonts w:ascii="Times New Roman" w:cs="Times New Roman" w:eastAsia="Times New Roman" w:hAnsi="Times New Roman"/>
          <w:sz w:val="18"/>
          <w:szCs w:val="18"/>
          <w:color w:val="auto"/>
        </w:rPr>
      </w:pPr>
    </w:p>
    <w:p>
      <w:pPr>
        <w:ind w:left="1680" w:right="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35" w:lineRule="exact"/>
        <w:rPr>
          <w:rFonts w:ascii="Times New Roman" w:cs="Times New Roman" w:eastAsia="Times New Roman" w:hAnsi="Times New Roman"/>
          <w:sz w:val="18"/>
          <w:szCs w:val="18"/>
          <w:color w:val="auto"/>
        </w:rPr>
      </w:pPr>
    </w:p>
    <w:p>
      <w:pPr>
        <w:ind w:left="1680" w:right="4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has an “Approved Enterprise” plan since 2004. The period of benefits in respect of the main enterprise of the Company has not yet commenced.</w:t>
      </w:r>
    </w:p>
    <w:p>
      <w:pPr>
        <w:spacing w:after="0" w:line="134" w:lineRule="exact"/>
        <w:rPr>
          <w:rFonts w:ascii="Times New Roman" w:cs="Times New Roman" w:eastAsia="Times New Roman" w:hAnsi="Times New Roman"/>
          <w:sz w:val="18"/>
          <w:szCs w:val="18"/>
          <w:color w:val="auto"/>
        </w:rPr>
      </w:pPr>
    </w:p>
    <w:p>
      <w:pPr>
        <w:ind w:left="1680" w:right="1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 subsequently pays a dividend out of income derived from the “Approved Enterprise” during the tax exemption period, it will be subject to tax on the gross amount distributed (including the company tax on these amounts), at the rate which would have been applicable if such income not been exempted.</w:t>
      </w:r>
    </w:p>
    <w:p>
      <w:pPr>
        <w:spacing w:after="0" w:line="135"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for entitlement to the benefits</w:t>
      </w:r>
    </w:p>
    <w:p>
      <w:pPr>
        <w:spacing w:after="0" w:line="188" w:lineRule="exact"/>
        <w:rPr>
          <w:rFonts w:ascii="Times New Roman" w:cs="Times New Roman" w:eastAsia="Times New Roman" w:hAnsi="Times New Roman"/>
          <w:sz w:val="18"/>
          <w:szCs w:val="18"/>
          <w:color w:val="auto"/>
        </w:rPr>
      </w:pPr>
    </w:p>
    <w:p>
      <w:pPr>
        <w:ind w:left="1680" w:right="1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Subsidiary’s entitlement to the benefits described above is subject to its fulfillment of conditions stipulated by the law, rules and regulations published thereunder, and the instruments of approval for the specific investment in an approved enterprise. Failure by the Israeli Subsidiary to comply with these conditions may result in the cancellation of the benefits, in whole or in part, and the Israeli Subsidiary may be required to refund the amount of the benefits with interest. The Israeli Subsidiary received a final implementation approval with respect to its “Approved Enterprise” from the Investment Center.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660" w:hanging="314"/>
        <w:spacing w:after="0"/>
        <w:tabs>
          <w:tab w:leader="none" w:pos="1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8" w:lineRule="exact"/>
        <w:rPr>
          <w:rFonts w:ascii="Times New Roman" w:cs="Times New Roman" w:eastAsia="Times New Roman" w:hAnsi="Times New Roman"/>
          <w:sz w:val="18"/>
          <w:szCs w:val="18"/>
          <w:color w:val="auto"/>
        </w:rPr>
      </w:pPr>
    </w:p>
    <w:p>
      <w:pPr>
        <w:ind w:left="168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several amendments have been made to the Encouragement of Capital Investments Law which have enabled new alternative benefit tracks, subject to certain conditions.</w:t>
      </w:r>
    </w:p>
    <w:p>
      <w:pPr>
        <w:spacing w:after="0" w:line="121" w:lineRule="exact"/>
        <w:rPr>
          <w:rFonts w:ascii="Times New Roman" w:cs="Times New Roman" w:eastAsia="Times New Roman" w:hAnsi="Times New Roman"/>
          <w:sz w:val="18"/>
          <w:szCs w:val="18"/>
          <w:color w:val="auto"/>
        </w:rPr>
      </w:pPr>
    </w:p>
    <w:p>
      <w:pPr>
        <w:ind w:left="1680" w:right="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Encouragement of Capital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Encouragement of Capital Investments Law. On December 29, 2016, Amendment 73 to the Encouragement of Capital Investments Law was published. This amendment sets new benefit tracks, inter alia, “Preferred Technological Enterprise” and “Special Preferred Technological Enterprise” (the “Capital Investments Law Amendment”).</w:t>
      </w:r>
    </w:p>
    <w:p>
      <w:pPr>
        <w:spacing w:after="0" w:line="144" w:lineRule="exact"/>
        <w:rPr>
          <w:rFonts w:ascii="Times New Roman" w:cs="Times New Roman" w:eastAsia="Times New Roman" w:hAnsi="Times New Roman"/>
          <w:sz w:val="18"/>
          <w:szCs w:val="18"/>
          <w:color w:val="auto"/>
        </w:rPr>
      </w:pPr>
    </w:p>
    <w:p>
      <w:pPr>
        <w:ind w:left="168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the Company has elected not to have the Capital Investments Law Amendment apply to the Company.</w:t>
      </w:r>
    </w:p>
    <w:p>
      <w:pPr>
        <w:spacing w:after="0" w:line="117" w:lineRule="exact"/>
        <w:rPr>
          <w:rFonts w:ascii="Times New Roman" w:cs="Times New Roman" w:eastAsia="Times New Roman" w:hAnsi="Times New Roman"/>
          <w:sz w:val="18"/>
          <w:szCs w:val="18"/>
          <w:color w:val="auto"/>
        </w:rPr>
      </w:pPr>
    </w:p>
    <w:p>
      <w:pPr>
        <w:ind w:left="1000" w:hanging="302"/>
        <w:spacing w:after="0"/>
        <w:tabs>
          <w:tab w:leader="none" w:pos="10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losses carried forward to future years</w:t>
      </w:r>
    </w:p>
    <w:p>
      <w:pPr>
        <w:spacing w:after="0" w:line="189" w:lineRule="exact"/>
        <w:rPr>
          <w:sz w:val="20"/>
          <w:szCs w:val="20"/>
          <w:color w:val="auto"/>
        </w:rPr>
      </w:pPr>
    </w:p>
    <w:p>
      <w:pPr>
        <w:jc w:val="both"/>
        <w:ind w:left="1020" w:right="99"/>
        <w:spacing w:after="0" w:line="312" w:lineRule="auto"/>
        <w:rPr>
          <w:sz w:val="20"/>
          <w:szCs w:val="20"/>
          <w:color w:val="auto"/>
        </w:rPr>
      </w:pPr>
      <w:r>
        <w:rPr>
          <w:rFonts w:ascii="Times New Roman" w:cs="Times New Roman" w:eastAsia="Times New Roman" w:hAnsi="Times New Roman"/>
          <w:sz w:val="17"/>
          <w:szCs w:val="17"/>
          <w:color w:val="auto"/>
        </w:rPr>
        <w:t>As of December 31, 2024 and 2025, the Company had aggregate NOL carry-forwards equal to approximately $227.2 million and $219.8 million, respectively, that are available to reduce future taxable income as follows:</w:t>
      </w:r>
    </w:p>
    <w:p>
      <w:pPr>
        <w:spacing w:after="0" w:line="109" w:lineRule="exact"/>
        <w:rPr>
          <w:sz w:val="20"/>
          <w:szCs w:val="20"/>
          <w:color w:val="auto"/>
        </w:rPr>
      </w:pPr>
    </w:p>
    <w:p>
      <w:pPr>
        <w:ind w:left="1380" w:hanging="331"/>
        <w:spacing w:after="0"/>
        <w:tabs>
          <w:tab w:leader="none" w:pos="1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340" w:right="179"/>
        <w:spacing w:after="0" w:line="256" w:lineRule="auto"/>
        <w:rPr>
          <w:sz w:val="20"/>
          <w:szCs w:val="20"/>
          <w:color w:val="auto"/>
        </w:rPr>
      </w:pPr>
      <w:r>
        <w:rPr>
          <w:rFonts w:ascii="Times New Roman" w:cs="Times New Roman" w:eastAsia="Times New Roman" w:hAnsi="Times New Roman"/>
          <w:sz w:val="18"/>
          <w:szCs w:val="18"/>
          <w:color w:val="auto"/>
        </w:rPr>
        <w:t>The Company’s carry-forward NOLs, equal to approximately $22.2 million and $20.0 million as of December 31, 2024 and 2025, respectively,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43" w:lineRule="exact"/>
        <w:rPr>
          <w:sz w:val="20"/>
          <w:szCs w:val="20"/>
          <w:color w:val="auto"/>
        </w:rPr>
      </w:pPr>
    </w:p>
    <w:p>
      <w:pPr>
        <w:ind w:left="1380" w:hanging="331"/>
        <w:spacing w:after="0"/>
        <w:tabs>
          <w:tab w:leader="none" w:pos="1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Protalix Ltd.</w:t>
      </w:r>
    </w:p>
    <w:p>
      <w:pPr>
        <w:spacing w:after="0" w:line="2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 December 31, 2024 and 2025, the Israeli Subsidiary had approximately $205.0 million and</w:t>
      </w:r>
    </w:p>
    <w:p>
      <w:pPr>
        <w:spacing w:after="0" w:line="27" w:lineRule="exact"/>
        <w:rPr>
          <w:sz w:val="20"/>
          <w:szCs w:val="20"/>
          <w:color w:val="auto"/>
        </w:rPr>
      </w:pPr>
    </w:p>
    <w:p>
      <w:pPr>
        <w:ind w:left="1340" w:right="299"/>
        <w:spacing w:after="0" w:line="260" w:lineRule="auto"/>
        <w:rPr>
          <w:sz w:val="20"/>
          <w:szCs w:val="20"/>
          <w:color w:val="auto"/>
        </w:rPr>
      </w:pPr>
      <w:r>
        <w:rPr>
          <w:rFonts w:ascii="Times New Roman" w:cs="Times New Roman" w:eastAsia="Times New Roman" w:hAnsi="Times New Roman"/>
          <w:sz w:val="18"/>
          <w:szCs w:val="18"/>
          <w:color w:val="auto"/>
        </w:rPr>
        <w:t>$199.8 million, respectively, of carry-forward NOLs that are available to reduce future taxable income with no limited period of use.</w:t>
      </w:r>
    </w:p>
    <w:p>
      <w:pPr>
        <w:spacing w:after="0" w:line="141" w:lineRule="exact"/>
        <w:rPr>
          <w:sz w:val="20"/>
          <w:szCs w:val="20"/>
          <w:color w:val="auto"/>
        </w:rPr>
      </w:pPr>
    </w:p>
    <w:p>
      <w:pPr>
        <w:ind w:left="1340" w:right="13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reassesses its valuation allowance periodically and if future evidence allows for a partial or full release of the valuation allowance, a tax benefit will be recorded accordingly.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18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net deferred tax assets at December 31, 2024 and 2025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respect of:</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9999"/>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timing differences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Deferred taxes are computed using the tax rates expected to be in effect when those differences reverse.</w:t>
      </w:r>
    </w:p>
    <w:p>
      <w:pPr>
        <w:spacing w:after="0" w:line="194" w:lineRule="exact"/>
        <w:rPr>
          <w:sz w:val="20"/>
          <w:szCs w:val="20"/>
          <w:color w:val="auto"/>
        </w:rPr>
      </w:pPr>
    </w:p>
    <w:p>
      <w:pPr>
        <w:ind w:left="1000" w:hanging="302"/>
        <w:spacing w:after="0"/>
        <w:tabs>
          <w:tab w:leader="none" w:pos="10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theoretical tax expense to actual tax expense</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statutory U.S. federal income tax rate of 21% in 2025 to the effective income tax rate is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40" w:type="dxa"/>
            <w:vAlign w:val="bottom"/>
            <w:gridSpan w:val="2"/>
            <w:vMerge w:val="continue"/>
          </w:tcPr>
          <w:p>
            <w:pPr>
              <w:spacing w:after="0"/>
              <w:rPr>
                <w:sz w:val="16"/>
                <w:szCs w:val="16"/>
                <w:color w:val="auto"/>
              </w:rPr>
            </w:pP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099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 (Israel):</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 enacted in the current period</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 Border Tax Laws, net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996</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income tax rate of 21% in 2024 and 2023 to the effective income tax rate is as follows: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009999"/>
              </w:rPr>
              <w:t>​​​</w:t>
            </w:r>
          </w:p>
        </w:tc>
        <w:tc>
          <w:tcPr>
            <w:tcW w:w="0" w:type="dxa"/>
            <w:vAlign w:val="bottom"/>
          </w:tcPr>
          <w:p>
            <w:pPr>
              <w:spacing w:after="0"/>
              <w:rPr>
                <w:sz w:val="1"/>
                <w:szCs w:val="1"/>
                <w:color w:val="auto"/>
              </w:rPr>
            </w:pPr>
          </w:p>
        </w:tc>
      </w:tr>
      <w:tr>
        <w:trPr>
          <w:trHeight w:val="155"/>
        </w:trPr>
        <w:tc>
          <w:tcPr>
            <w:tcW w:w="6060" w:type="dxa"/>
            <w:vAlign w:val="bottom"/>
            <w:gridSpan w:val="2"/>
            <w:vMerge w:val="continue"/>
          </w:tcPr>
          <w:p>
            <w:pPr>
              <w:spacing w:after="0"/>
              <w:rPr>
                <w:sz w:val="13"/>
                <w:szCs w:val="13"/>
                <w:color w:val="auto"/>
              </w:rPr>
            </w:pPr>
          </w:p>
        </w:tc>
        <w:tc>
          <w:tcPr>
            <w:tcW w:w="2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009999"/>
              </w:rPr>
              <w:t>​​​</w:t>
            </w:r>
          </w:p>
        </w:tc>
        <w:tc>
          <w:tcPr>
            <w:tcW w:w="58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gridSpan w:val="2"/>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009999"/>
              </w:rPr>
              <w:t>​​​</w:t>
            </w:r>
          </w:p>
        </w:tc>
        <w:tc>
          <w:tcPr>
            <w:tcW w:w="56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40" w:type="dxa"/>
            <w:vAlign w:val="bottom"/>
            <w:tcBorders>
              <w:top w:val="single" w:sz="8" w:color="auto"/>
            </w:tcBorders>
          </w:tcPr>
          <w:p>
            <w:pPr>
              <w:spacing w:after="0" w:line="21" w:lineRule="exact"/>
              <w:rPr>
                <w:sz w:val="20"/>
                <w:szCs w:val="20"/>
                <w:color w:val="auto"/>
              </w:rPr>
            </w:pPr>
            <w:r>
              <w:rPr>
                <w:rFonts w:ascii="Times New Roman" w:cs="Times New Roman" w:eastAsia="Times New Roman" w:hAnsi="Times New Roman"/>
                <w:sz w:val="2"/>
                <w:szCs w:val="2"/>
                <w:color w:val="auto"/>
              </w:rPr>
              <w:t>Tax computed at the statutory U.S. income tax rate</w:t>
            </w: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580" w:type="dxa"/>
            <w:vAlign w:val="bottom"/>
            <w:tcBorders>
              <w:top w:val="single" w:sz="8" w:color="auto"/>
            </w:tcBorders>
          </w:tcPr>
          <w:p>
            <w:pPr>
              <w:jc w:val="right"/>
              <w:ind w:right="2"/>
              <w:spacing w:after="0" w:line="21" w:lineRule="exact"/>
              <w:rPr>
                <w:sz w:val="20"/>
                <w:szCs w:val="20"/>
                <w:color w:val="auto"/>
              </w:rPr>
            </w:pPr>
            <w:r>
              <w:rPr>
                <w:rFonts w:ascii="Times New Roman" w:cs="Times New Roman" w:eastAsia="Times New Roman" w:hAnsi="Times New Roman"/>
                <w:sz w:val="2"/>
                <w:szCs w:val="2"/>
                <w:color w:val="auto"/>
              </w:rPr>
              <w:t>1,799</w:t>
            </w:r>
          </w:p>
        </w:tc>
        <w:tc>
          <w:tcPr>
            <w:tcW w:w="260" w:type="dxa"/>
            <w:vAlign w:val="bottom"/>
          </w:tcPr>
          <w:p>
            <w:pPr>
              <w:spacing w:after="0" w:line="20" w:lineRule="exact"/>
              <w:rPr>
                <w:sz w:val="1"/>
                <w:szCs w:val="1"/>
                <w:color w:val="auto"/>
              </w:rPr>
            </w:pPr>
          </w:p>
        </w:tc>
        <w:tc>
          <w:tcPr>
            <w:tcW w:w="140" w:type="dxa"/>
            <w:vAlign w:val="bottom"/>
            <w:tcBorders>
              <w:top w:val="single" w:sz="8" w:color="auto"/>
            </w:tcBorders>
          </w:tcPr>
          <w:p>
            <w:pPr>
              <w:jc w:val="right"/>
              <w:ind w:right="12"/>
              <w:spacing w:after="0" w:line="21" w:lineRule="exact"/>
              <w:rPr>
                <w:sz w:val="20"/>
                <w:szCs w:val="20"/>
                <w:color w:val="auto"/>
              </w:rPr>
            </w:pPr>
            <w:r>
              <w:rPr>
                <w:rFonts w:ascii="Times New Roman" w:cs="Times New Roman" w:eastAsia="Times New Roman" w:hAnsi="Times New Roman"/>
                <w:sz w:val="2"/>
                <w:szCs w:val="2"/>
                <w:color w:val="auto"/>
              </w:rPr>
              <w:t>$</w:t>
            </w:r>
          </w:p>
        </w:tc>
        <w:tc>
          <w:tcPr>
            <w:tcW w:w="560" w:type="dxa"/>
            <w:vAlign w:val="bottom"/>
            <w:tcBorders>
              <w:top w:val="single" w:sz="8" w:color="auto"/>
            </w:tcBorders>
          </w:tcPr>
          <w:p>
            <w:pPr>
              <w:jc w:val="right"/>
              <w:spacing w:after="0" w:line="21" w:lineRule="exact"/>
              <w:rPr>
                <w:sz w:val="20"/>
                <w:szCs w:val="20"/>
                <w:color w:val="auto"/>
              </w:rPr>
            </w:pPr>
            <w:r>
              <w:rPr>
                <w:rFonts w:ascii="Times New Roman" w:cs="Times New Roman" w:eastAsia="Times New Roman" w:hAnsi="Times New Roman"/>
                <w:sz w:val="2"/>
                <w:szCs w:val="2"/>
                <w:color w:val="auto"/>
              </w:rPr>
              <w:t>872</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009999"/>
              </w:rPr>
              <w:t>​​​</w:t>
            </w:r>
          </w:p>
        </w:tc>
        <w:tc>
          <w:tcPr>
            <w:tcW w:w="0" w:type="dxa"/>
            <w:vAlign w:val="bottom"/>
          </w:tcPr>
          <w:p>
            <w:pPr>
              <w:spacing w:after="0" w:line="20" w:lineRule="exact"/>
              <w:rPr>
                <w:sz w:val="1"/>
                <w:szCs w:val="1"/>
                <w:color w:val="auto"/>
              </w:rPr>
            </w:pPr>
          </w:p>
        </w:tc>
      </w:tr>
      <w:tr>
        <w:trPr>
          <w:trHeight w:val="190"/>
        </w:trPr>
        <w:tc>
          <w:tcPr>
            <w:tcW w:w="9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009999"/>
              </w:rPr>
              <w:t>​​​</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tax rate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Statutorily non-deductible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Utilization of carry-forward losses and other temporary items without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recognition</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3,602</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4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color w:val="auto"/>
              </w:rPr>
              <w:t>F-31</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-2047875</wp:posOffset>
            </wp:positionV>
            <wp:extent cx="451739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Valuation allowance roll-forward</w:t>
      </w:r>
    </w:p>
    <w:p>
      <w:pPr>
        <w:spacing w:after="0" w:line="18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color w:val="auto"/>
        </w:rPr>
        <w:t>The following table presents the change in the Company’s valuation allowance during the periods presented:</w:t>
      </w:r>
    </w:p>
    <w:p>
      <w:pPr>
        <w:sectPr>
          <w:pgSz w:w="11900" w:h="16838" w:orient="portrait"/>
          <w:cols w:equalWidth="0" w:num="1">
            <w:col w:w="9019"/>
          </w:cols>
          <w:pgMar w:left="1440" w:top="513" w:right="1440" w:bottom="1440" w:gutter="0" w:footer="0" w:header="0"/>
        </w:sectPr>
      </w:pPr>
    </w:p>
    <w:p>
      <w:pPr>
        <w:spacing w:after="0" w:line="2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48" w:lineRule="exact"/>
        <w:rPr>
          <w:sz w:val="20"/>
          <w:szCs w:val="20"/>
          <w:color w:val="auto"/>
        </w:rPr>
      </w:pPr>
    </w:p>
    <w:p>
      <w:pPr>
        <w:ind w:left="1020" w:hanging="322"/>
        <w:spacing w:after="0"/>
        <w:tabs>
          <w:tab w:leader="none" w:pos="10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220" w:hanging="216"/>
        <w:spacing w:after="0"/>
        <w:tabs>
          <w:tab w:leader="none" w:pos="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(58,550)</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(728)</w:t>
      </w:r>
    </w:p>
    <w:p>
      <w:pPr>
        <w:spacing w:after="0" w:line="21"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5314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right"/>
        <w:ind w:right="959"/>
        <w:spacing w:after="0"/>
        <w:rPr>
          <w:sz w:val="20"/>
          <w:szCs w:val="20"/>
          <w:color w:val="auto"/>
        </w:rPr>
      </w:pPr>
      <w:r>
        <w:rPr>
          <w:rFonts w:ascii="Times New Roman" w:cs="Times New Roman" w:eastAsia="Times New Roman" w:hAnsi="Times New Roman"/>
          <w:sz w:val="18"/>
          <w:szCs w:val="18"/>
          <w:u w:val="single" w:color="auto"/>
          <w:color w:val="auto"/>
        </w:rPr>
        <w:t>$  (51,618)</w:t>
      </w:r>
    </w:p>
    <w:p>
      <w:pPr>
        <w:spacing w:after="0" w:line="261" w:lineRule="exact"/>
        <w:rPr>
          <w:sz w:val="20"/>
          <w:szCs w:val="20"/>
          <w:color w:val="auto"/>
        </w:rPr>
      </w:pPr>
    </w:p>
    <w:p>
      <w:pPr>
        <w:ind w:left="220" w:hanging="216"/>
        <w:spacing w:after="0"/>
        <w:tabs>
          <w:tab w:leader="none" w:pos="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(51,618)</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5314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(50,665)</w:t>
      </w:r>
    </w:p>
    <w:p>
      <w:pPr>
        <w:spacing w:after="0" w:line="261" w:lineRule="exact"/>
        <w:rPr>
          <w:sz w:val="20"/>
          <w:szCs w:val="20"/>
          <w:color w:val="auto"/>
        </w:rPr>
      </w:pPr>
    </w:p>
    <w:p>
      <w:pPr>
        <w:ind w:left="220" w:hanging="216"/>
        <w:spacing w:after="0"/>
        <w:tabs>
          <w:tab w:leader="none" w:pos="2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(50,665)</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5314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(50,364)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5314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spacing w:after="0" w:line="2" w:lineRule="exact"/>
        <w:rPr>
          <w:sz w:val="20"/>
          <w:szCs w:val="20"/>
          <w:color w:val="auto"/>
        </w:rPr>
      </w:pPr>
    </w:p>
    <w:p>
      <w:pPr>
        <w:ind w:left="1020" w:right="299"/>
        <w:spacing w:after="0" w:line="266" w:lineRule="auto"/>
        <w:rPr>
          <w:sz w:val="20"/>
          <w:szCs w:val="20"/>
          <w:color w:val="auto"/>
        </w:rPr>
      </w:pPr>
      <w:r>
        <w:rPr>
          <w:rFonts w:ascii="Times New Roman" w:cs="Times New Roman" w:eastAsia="Times New Roman" w:hAnsi="Times New Roman"/>
          <w:sz w:val="18"/>
          <w:szCs w:val="18"/>
          <w:color w:val="auto"/>
        </w:rPr>
        <w:t>Provisions of ASC 740-10, Income Taxes, clarify whether to recognize assets or liabilities for tax positions taken that may be challenged by a tax authority. A reconciliation of the beginning and ending amount of unrecognized tax benefits, is as follows:</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0" w:type="dxa"/>
            <w:vAlign w:val="bottom"/>
            <w:tcBorders>
              <w:top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for tax position related to current year</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for tax position related to current year</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for tax position related to current year</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188" w:lineRule="exact"/>
        <w:rPr>
          <w:rFonts w:ascii="Times New Roman" w:cs="Times New Roman" w:eastAsia="Times New Roman" w:hAnsi="Times New Roman"/>
          <w:sz w:val="18"/>
          <w:szCs w:val="18"/>
          <w:b w:val="1"/>
          <w:bCs w:val="1"/>
          <w:color w:val="auto"/>
        </w:rPr>
      </w:pPr>
    </w:p>
    <w:p>
      <w:pPr>
        <w:ind w:left="1020" w:right="9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Income Tax Ordinance, as of December 31, 2025, all of Protalix Ltd.’s tax assessments through tax year 2020 are considered final.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p>
      <w:pPr>
        <w:spacing w:after="0" w:line="192"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r>
      <w:tr>
        <w:trPr>
          <w:trHeight w:val="210"/>
        </w:trPr>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00" w:type="dxa"/>
            <w:vAlign w:val="bottom"/>
            <w:shd w:val="clear" w:color="auto" w:fill="CCEEFF"/>
          </w:tcPr>
          <w:p>
            <w:pPr>
              <w:spacing w:after="0"/>
              <w:rPr>
                <w:sz w:val="18"/>
                <w:szCs w:val="18"/>
                <w:color w:val="auto"/>
              </w:rPr>
            </w:pP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2021-2025</w:t>
            </w:r>
          </w:p>
        </w:tc>
      </w:tr>
      <w:tr>
        <w:trPr>
          <w:trHeight w:val="23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w:t>
            </w:r>
          </w:p>
        </w:tc>
        <w:tc>
          <w:tcPr>
            <w:tcW w:w="2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2022-2025</w:t>
            </w:r>
          </w:p>
        </w:tc>
      </w:tr>
    </w:tbl>
    <w:p>
      <w:pPr>
        <w:spacing w:after="0" w:line="179" w:lineRule="exact"/>
        <w:rPr>
          <w:sz w:val="20"/>
          <w:szCs w:val="20"/>
          <w:color w:val="auto"/>
        </w:rPr>
      </w:pPr>
    </w:p>
    <w:p>
      <w:pPr>
        <w:ind w:left="380" w:hanging="330"/>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state and local (or similar provincial jurisdictions) tax positions.</w:t>
      </w:r>
    </w:p>
    <w:p>
      <w:pPr>
        <w:spacing w:after="0" w:line="221" w:lineRule="exact"/>
        <w:rPr>
          <w:rFonts w:ascii="Times New Roman" w:cs="Times New Roman" w:eastAsia="Times New Roman" w:hAnsi="Times New Roman"/>
          <w:sz w:val="18"/>
          <w:szCs w:val="18"/>
          <w:color w:val="auto"/>
        </w:rPr>
      </w:pPr>
    </w:p>
    <w:p>
      <w:pPr>
        <w:ind w:left="980" w:hanging="282"/>
        <w:spacing w:after="0"/>
        <w:tabs>
          <w:tab w:leader="none" w:pos="98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(loss) before taxes on income is composed of the following:</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60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The following table summarizes the Company’s taxes on income:</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 - US (federal)</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taxes on income - US (federal)</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Following the regulatory approvals of Elfabrio in May 2023, the receipt of the $20.0 million milestone payment and the launch of Elfabrio in the United States, the Company released the valuation allowance previously recorded on deferred tax assets in respect of its NOLs in the United States resulting in a net tax benefit of $3.1 million. The Company concluded that, based upon the preponderance of positive evidence over negative evidence and the anticipated ability to use the deferred tax assets, it was more likely than not that these deferred tax assets would be realizable due to forecasted profits. The Company considered the following: (i) cumulative profits for tax over the previous 12 quarters in its U.S. operations; (ii) the impact of IRC Section 174 which requires the Company to capitalize and amortize its research and development expenses over 15 years; and (iii) its forecasted profits in the United States following the regulatory approvals of Elfabrio.</w:t>
      </w:r>
    </w:p>
    <w:p>
      <w:pPr>
        <w:spacing w:after="0" w:line="190" w:lineRule="exact"/>
        <w:rPr>
          <w:sz w:val="20"/>
          <w:szCs w:val="20"/>
          <w:color w:val="auto"/>
        </w:rPr>
      </w:pPr>
    </w:p>
    <w:p>
      <w:pPr>
        <w:ind w:left="1020" w:hanging="322"/>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paid:</w:t>
      </w:r>
    </w:p>
    <w:p>
      <w:pPr>
        <w:spacing w:after="0" w:line="18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taxes paid by the Company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5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(federal)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02" w:lineRule="exact"/>
        <w:rPr>
          <w:sz w:val="20"/>
          <w:szCs w:val="20"/>
          <w:color w:val="auto"/>
        </w:rPr>
      </w:pPr>
    </w:p>
    <w:p>
      <w:pPr>
        <w:ind w:left="1040" w:right="459" w:hanging="315"/>
        <w:spacing w:after="0" w:line="261" w:lineRule="auto"/>
        <w:tabs>
          <w:tab w:leader="none" w:pos="10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operates in Israel as a single operating segment. The Company’s President and Chief Executive Officer is the chief operating decision maker (the “CODM”). The CODM makes decisions on resource allocation, assesses performance of the business and monitors budget versus actual results on a consolidated basis. For additional information see </w:t>
      </w:r>
      <w:r>
        <w:rPr>
          <w:rFonts w:ascii="Times New Roman" w:cs="Times New Roman" w:eastAsia="Times New Roman" w:hAnsi="Times New Roman"/>
          <w:sz w:val="18"/>
          <w:szCs w:val="18"/>
          <w:u w:val="single" w:color="auto"/>
          <w:color w:val="0000EE"/>
        </w:rPr>
        <w:t>Note 14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8"/>
          <w:szCs w:val="18"/>
          <w:color w:val="auto"/>
        </w:rPr>
        <w:t>Segment information:</w:t>
      </w:r>
    </w:p>
    <w:p>
      <w:pPr>
        <w:spacing w:after="0" w:line="223"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7"/>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Sub-contractors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segment expenses*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20" w:right="939" w:firstLine="221"/>
        <w:spacing w:after="0" w:line="527" w:lineRule="auto"/>
        <w:tabs>
          <w:tab w:leader="none" w:pos="107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expenses included in net income (loss) includes raw materials, rent and utilities and others. </w:t>
      </w: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following table summarizes the Company’s disaggregation of revenues:</w:t>
      </w:r>
    </w:p>
    <w:p>
      <w:pPr>
        <w:spacing w:after="0" w:line="25"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60" w:type="dxa"/>
            <w:vAlign w:val="bottom"/>
          </w:tcPr>
          <w:p>
            <w:pPr>
              <w:spacing w:after="0"/>
              <w:rPr>
                <w:sz w:val="15"/>
                <w:szCs w:val="15"/>
                <w:color w:val="auto"/>
              </w:rPr>
            </w:pPr>
          </w:p>
        </w:tc>
        <w:tc>
          <w:tcPr>
            <w:tcW w:w="2340" w:type="dxa"/>
            <w:vAlign w:val="bottom"/>
            <w:tcBorders>
              <w:bottom w:val="single" w:sz="8" w:color="auto"/>
            </w:tcBorders>
            <w:gridSpan w:val="7"/>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$40,418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52,981</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$25,076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8"/>
          <w:szCs w:val="18"/>
          <w:color w:val="auto"/>
        </w:rPr>
        <w:t>Long lived assets are located in Israel.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SUPPLEMENTARY FINANCIAL STATEMENT INFORMATION</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w:t>
            </w: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2980" w:type="dxa"/>
            <w:vAlign w:val="bottom"/>
          </w:tcPr>
          <w:p>
            <w:pPr>
              <w:spacing w:after="0"/>
              <w:rPr>
                <w:sz w:val="24"/>
                <w:szCs w:val="24"/>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09999"/>
              </w:rPr>
              <w:t>​​​</w:t>
            </w:r>
          </w:p>
        </w:tc>
        <w:tc>
          <w:tcPr>
            <w:tcW w:w="120" w:type="dxa"/>
            <w:vAlign w:val="bottom"/>
          </w:tcPr>
          <w:p>
            <w:pPr>
              <w:spacing w:after="0"/>
              <w:rPr>
                <w:sz w:val="24"/>
                <w:szCs w:val="24"/>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380" w:type="dxa"/>
            <w:vAlign w:val="bottom"/>
            <w:gridSpan w:val="3"/>
            <w:vMerge w:val="continue"/>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2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3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Sundry</w:t>
            </w:r>
          </w:p>
        </w:tc>
        <w:tc>
          <w:tcPr>
            <w:tcW w:w="2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60" w:type="dxa"/>
            <w:vAlign w:val="bottom"/>
            <w:gridSpan w:val="3"/>
          </w:tcPr>
          <w:p>
            <w:pPr>
              <w:jc w:val="right"/>
              <w:ind w:right="1916"/>
              <w:spacing w:after="0"/>
              <w:rPr>
                <w:sz w:val="20"/>
                <w:szCs w:val="20"/>
                <w:color w:val="auto"/>
              </w:rPr>
            </w:pPr>
            <w:r>
              <w:rPr>
                <w:rFonts w:ascii="Times New Roman" w:cs="Times New Roman" w:eastAsia="Times New Roman" w:hAnsi="Times New Roman"/>
                <w:sz w:val="18"/>
                <w:szCs w:val="18"/>
                <w:color w:val="auto"/>
              </w:rPr>
              <w:t>F-34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20" w:type="dxa"/>
            <w:vAlign w:val="bottom"/>
            <w:tcBorders>
              <w:right w:val="single" w:sz="8" w:color="CCEEFF"/>
            </w:tcBorders>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Accounts payable and accruals – other:</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CEEFF"/>
            </w:tcBorders>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CEEFF"/>
            </w:tcBorders>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CEEFF"/>
            </w:tcBorders>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right w:val="single" w:sz="8" w:color="CCEEFF"/>
            </w:tcBorders>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$ 19,588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   Statements of operations:</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2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80" w:type="dxa"/>
            <w:vAlign w:val="bottom"/>
          </w:tcPr>
          <w:p>
            <w:pPr>
              <w:spacing w:after="0"/>
              <w:rPr>
                <w:sz w:val="24"/>
                <w:szCs w:val="24"/>
                <w:color w:val="auto"/>
              </w:rPr>
            </w:pPr>
          </w:p>
        </w:tc>
        <w:tc>
          <w:tcPr>
            <w:tcW w:w="244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120" w:type="dxa"/>
            <w:vAlign w:val="bottom"/>
            <w:tcBorders>
              <w:right w:val="single" w:sz="8" w:color="CCEEFF"/>
            </w:tcBorders>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009999"/>
              </w:rPr>
              <w:t>​​​</w:t>
            </w:r>
          </w:p>
        </w:tc>
        <w:tc>
          <w:tcPr>
            <w:tcW w:w="5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7,758</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auto"/>
            </w:tcBorders>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Subcontractor-related expenses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auto"/>
            </w:tcBorders>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Materials-related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CEEFF"/>
            </w:tcBorders>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auto"/>
            </w:tcBorders>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right w:val="single" w:sz="8" w:color="CCEEFF"/>
            </w:tcBorders>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$ 12,970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189" w:lineRule="exact"/>
        <w:rPr>
          <w:sz w:val="20"/>
          <w:szCs w:val="20"/>
          <w:color w:val="auto"/>
        </w:rPr>
      </w:pPr>
    </w:p>
    <w:p>
      <w:pPr>
        <w:ind w:left="1040" w:hanging="315"/>
        <w:spacing w:after="0"/>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 Compensation</w:t>
      </w:r>
    </w:p>
    <w:p>
      <w:pPr>
        <w:spacing w:after="0" w:line="3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18415</wp:posOffset>
            </wp:positionV>
            <wp:extent cx="4517390"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4517390" cy="282575"/>
                    </a:xfrm>
                    <a:prstGeom prst="rect">
                      <a:avLst/>
                    </a:prstGeom>
                    <a:noFill/>
                  </pic:spPr>
                </pic:pic>
              </a:graphicData>
            </a:graphic>
          </wp:anchor>
        </w:drawing>
      </w:r>
    </w:p>
    <w:p>
      <w:pPr>
        <w:spacing w:after="0" w:line="9" w:lineRule="exact"/>
        <w:rPr>
          <w:sz w:val="20"/>
          <w:szCs w:val="20"/>
          <w:color w:val="auto"/>
        </w:rPr>
      </w:pPr>
    </w:p>
    <w:p>
      <w:pPr>
        <w:ind w:left="940"/>
        <w:spacing w:after="0" w:line="276" w:lineRule="auto"/>
        <w:rPr>
          <w:sz w:val="20"/>
          <w:szCs w:val="20"/>
          <w:color w:val="auto"/>
        </w:rPr>
      </w:pPr>
      <w:r>
        <w:rPr>
          <w:rFonts w:ascii="Times New Roman" w:cs="Times New Roman" w:eastAsia="Times New Roman" w:hAnsi="Times New Roman"/>
          <w:sz w:val="18"/>
          <w:szCs w:val="18"/>
          <w:color w:val="auto"/>
        </w:rPr>
        <w:t>Compensation (including share-based compensation) to the non-executive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7620</wp:posOffset>
            </wp:positionV>
            <wp:extent cx="13112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5" w:lineRule="exact"/>
        <w:rPr>
          <w:sz w:val="20"/>
          <w:szCs w:val="20"/>
          <w:color w:val="auto"/>
        </w:rPr>
      </w:pPr>
    </w:p>
    <w:p>
      <w:pPr>
        <w:spacing w:after="0"/>
        <w:tabs>
          <w:tab w:leader="none" w:pos="700" w:val="left"/>
          <w:tab w:leader="none" w:pos="1440" w:val="left"/>
          <w:tab w:leader="none" w:pos="1680" w:val="left"/>
        </w:tabs>
        <w:rPr>
          <w:sz w:val="20"/>
          <w:szCs w:val="20"/>
          <w:color w:val="auto"/>
        </w:rPr>
      </w:pPr>
      <w:r>
        <w:rPr>
          <w:rFonts w:ascii="Times New Roman" w:cs="Times New Roman" w:eastAsia="Times New Roman" w:hAnsi="Times New Roman"/>
          <w:sz w:val="14"/>
          <w:szCs w:val="14"/>
          <w:b w:val="1"/>
          <w:bCs w:val="1"/>
          <w:color w:val="009999"/>
        </w:rPr>
        <w:t xml:space="preserve">​​​  </w:t>
      </w:r>
      <w:r>
        <w:rPr>
          <w:rFonts w:ascii="Times New Roman" w:cs="Times New Roman" w:eastAsia="Times New Roman" w:hAnsi="Times New Roman"/>
          <w:sz w:val="14"/>
          <w:szCs w:val="14"/>
          <w:b w:val="1"/>
          <w:bCs w:val="1"/>
          <w:color w:val="000000"/>
        </w:rPr>
        <w:t>2023</w:t>
      </w:r>
      <w:r>
        <w:rPr>
          <w:rFonts w:ascii="Times New Roman" w:cs="Times New Roman" w:eastAsia="Times New Roman" w:hAnsi="Times New Roman"/>
          <w:sz w:val="14"/>
          <w:szCs w:val="14"/>
          <w:b w:val="1"/>
          <w:bCs w:val="1"/>
          <w:color w:val="auto"/>
        </w:rPr>
        <w:tab/>
        <w:t>​​​  2024</w:t>
        <w:tab/>
        <w:t>​​​</w:t>
        <w:tab/>
        <w:t>2025</w:t>
      </w:r>
    </w:p>
    <w:p>
      <w:pPr>
        <w:spacing w:after="0" w:line="210" w:lineRule="exact"/>
        <w:rPr>
          <w:sz w:val="20"/>
          <w:szCs w:val="20"/>
          <w:color w:val="auto"/>
        </w:rPr>
      </w:pPr>
    </w:p>
    <w:p>
      <w:pPr>
        <w:ind w:left="80"/>
        <w:spacing w:after="0"/>
        <w:tabs>
          <w:tab w:leader="none" w:pos="300" w:val="left"/>
          <w:tab w:leader="none" w:pos="780" w:val="left"/>
          <w:tab w:leader="none" w:pos="1040" w:val="left"/>
          <w:tab w:leader="none" w:pos="1520" w:val="left"/>
          <w:tab w:leader="none" w:pos="1780" w:val="left"/>
        </w:tabs>
        <w:rPr>
          <w:sz w:val="20"/>
          <w:szCs w:val="20"/>
          <w:color w:val="auto"/>
        </w:rPr>
      </w:pPr>
      <w:r>
        <w:rPr>
          <w:rFonts w:ascii="Times New Roman" w:cs="Times New Roman" w:eastAsia="Times New Roman" w:hAnsi="Times New Roman"/>
          <w:sz w:val="18"/>
          <w:szCs w:val="18"/>
          <w:color w:val="auto"/>
        </w:rPr>
        <w:t>$</w:t>
        <w:tab/>
        <w:t>429</w:t>
        <w:tab/>
        <w:t>$</w:t>
        <w:tab/>
        <w:t>555</w:t>
        <w:tab/>
        <w:t>$</w:t>
        <w:tab/>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34290</wp:posOffset>
            </wp:positionV>
            <wp:extent cx="13112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5600" w:space="320"/>
            <w:col w:w="3099"/>
          </w:cols>
          <w:pgMar w:left="1440" w:top="513" w:right="1440" w:bottom="1440" w:gutter="0" w:footer="0" w:header="0"/>
          <w:type w:val="continuous"/>
        </w:sectPr>
      </w:pPr>
    </w:p>
    <w:p>
      <w:pPr>
        <w:ind w:left="1040" w:right="379" w:hanging="315"/>
        <w:spacing w:after="0" w:line="258"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with the consent of the Audit Committee of the Board of Directors, the Company engaged one of its non-executive directors to advise the Company regarding business development and licensing efforts on a consultancy basis. The engagement expired in September 2025. For the years ended December 31, 2023, 2024, and 2025, we recorded an expense of a total of $35,475, $1,350, and $0 for consulting fees under such engagement, respectively.</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02" w:lineRule="exact"/>
        <w:rPr>
          <w:sz w:val="20"/>
          <w:szCs w:val="20"/>
          <w:color w:val="auto"/>
        </w:rPr>
      </w:pPr>
    </w:p>
    <w:p>
      <w:pPr>
        <w:ind w:left="1040" w:right="599" w:hanging="315"/>
        <w:spacing w:after="0" w:line="282" w:lineRule="auto"/>
        <w:tabs>
          <w:tab w:leader="none" w:pos="10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the Company has collected approximately $5.5 million from sales to Chiesi $1.4 million from sales to Pfizer and approximately $1.9 million from sales to Brazil.</w:t>
      </w:r>
    </w:p>
    <w:p>
      <w:pPr>
        <w:spacing w:after="0" w:line="12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became entitled to a regulatory milestone payment of $25.0 million from Chiesi in connection with the EC’s approval of the E4W dosing regimen.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 xml:space="preserve">The following summarizes the material terms of the capital stock of Protalix BioTherapeutics, Inc. We are a Delaware corporation. The rights of our stockholders are governed by the Delaware General Corporation Law (the “DGCL”) and by our Certificate of Incorporation, as amended (the “Charter”), and our Second Amended and Restated Bylaws (the “Bylaws”), which are exhibits to our Annual Report on Form 10-K filed with the U.S. Securities and Exchange Commission (the “Commission”) and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following summary is qualified in its entirety by reference to the applicable provisions of the DGCL, our Charter and our Bylaws, which are subject to future amendment in accordance with the provisions thereof. Our common stock is the only class of our securities registered under Section 12 of the U.S. Securities Exchange Act of 1934, as amended (the “Exchange Act”).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Charter provides that we may issue up to 185,000,000 shares of common stock, par value $0.001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100,000,000 shares of preferred stock, par value $0.0001 per share. The number of shares of our common stock issued and outstanding as of a recent date is set forth on the cover page of our most recent Annual Report on Form 10-K or Quarterly Report on Form 10-Q filed with the Commission. We currently have no outstanding shares of preferred stock.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stockholders and do not have cumulative voting rights. Accordingly, holders of a majority of the shares of common stock entitled to vote in any election of directors may elect all of the directors standing for election.</w:t>
      </w:r>
    </w:p>
    <w:p>
      <w:pPr>
        <w:spacing w:after="0" w:line="133" w:lineRule="exact"/>
        <w:rPr>
          <w:sz w:val="20"/>
          <w:szCs w:val="20"/>
          <w:color w:val="auto"/>
        </w:rPr>
      </w:pPr>
    </w:p>
    <w:p>
      <w:pPr>
        <w:jc w:val="both"/>
        <w:ind w:left="20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preferential rights, if any, of the holders of any outstanding series of our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our common stock are entitled to receive dividends when, as and if declared by our Board of Directors (our “Board of Directors”) out of funds legally available therefor.</w:t>
      </w:r>
    </w:p>
    <w:p>
      <w:pPr>
        <w:spacing w:after="0" w:line="14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have never declared or paid any cash dividends on our capital stock. We currently intend to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future earnings to finance the growth and development of our business and therefore do not anticipate paying any cash dividends in the foreseeable future. Any future determination to pay cash dividends will be at the discretion of our Board of Directors and will depend upon our financial condition, operating results, capital requirements, covenants in our debt instruments (if any), and such other factors as our Board of Directors deems relevant.</w:t>
      </w:r>
    </w:p>
    <w:p>
      <w:pPr>
        <w:spacing w:after="0" w:line="143"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our liquidation, dissolution or winding-up, after payment of all of our debts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our common stock are entitled to share ratably in all remaining assets available for distribution after the payment of debts and liabilities and after provision has been made for each class of stock, if any, having preferences over our common stock. Holders of our common stock, as such, have no preemptive or other rights and there are no redemption provisions applicable to our common stock. All of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44"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The holders of our common stock have no preemptive rights and no rights to convert their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into any other securities, and our common stock is not subject to any redemption or sinking fund provisions.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auto"/>
        </w:rPr>
        <w:t>Our Charter authorizes the issuance of up to 100,000,000 shares of preferred stock with such voting rights, rights of redemption and other relative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our common stock. The preferred stock could be utilized, under certain circumstances, as a method of discouraging, delaying or preventing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6" w:name="page117"/>
    <w:bookmarkEnd w:id="116"/>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Certificate of Incorporation, as Amended, and Our By-laws</w:t>
      </w:r>
    </w:p>
    <w:p>
      <w:pPr>
        <w:spacing w:after="0" w:line="11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Delaware statutory law, our Charter and our Bylaws contain provisions that could make acquisition of our ompany by means of a tender offer, a proxy contest or otherwise more difficult. These provisions are intended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of our Charter and our Bylaws set forth below is only a summary and is qualified in its entirety by reference to our Charter and our Bylaws which are exhibits to our most recent Annual Report on Form 10-K.</w:t>
      </w:r>
    </w:p>
    <w:p>
      <w:pPr>
        <w:spacing w:after="0" w:line="159"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Charter permits us to issue, without any further vote or action by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100,000,000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4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Directors; Filling Vacancies; Removal. </w:t>
      </w:r>
      <w:r>
        <w:rPr>
          <w:rFonts w:ascii="Times New Roman" w:cs="Times New Roman" w:eastAsia="Times New Roman" w:hAnsi="Times New Roman"/>
          <w:sz w:val="18"/>
          <w:szCs w:val="18"/>
          <w:color w:val="auto"/>
        </w:rPr>
        <w:t>Our Bylaws provide that the number of directors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the whole of the Board of Directors shall be fixed from time to time by resolution of the Board of Directors. Directors shall be elected by a plurality vote of the shares represented in person or by proxy at the annual meeting of stockholders in each year and entitled to vote on the election of directors.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thereafter as convenient at a special meeting of stockholders called for that purpose in the manner provided in our Bylaws. In addition, our Bylaws provide that a Board of Directors vacancy resulting from the death or resignation of a director, as well as a vacancy resulting from an increase in the number of directors or if the stockholders fail at any meeting of stockholders at which directors are to be elected to elect the number of directors then constituting the whole Board of Directors, may be filled solely by the affirmative vote of a majority of the remaining directors then in office even though that may be less than a quorum of the Board of Directors.</w:t>
      </w:r>
    </w:p>
    <w:p>
      <w:pPr>
        <w:spacing w:after="0" w:line="14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Special Meetings of our stockholders may be called, for any purpose or purposes, by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Directors or the President or the Board of Directors at any time. Upon written request of any stockholder or stockholders holding in the aggregate not less than 25% of all of the votes entitled to be cast on any issue proposed to be considered at the Special Meeting signed, dated and delivered in person or sent by registered mail to the Chairman of the Board of Directors, President or Secretary of our company, in a form that complies with all applicable provisions of our Bylaws, the Secretary shall call a special meeting of stockholders to be held at the principal office of the corporation or at such place and at such time as the Secretary may fix, such meeting to be held not less than 30 nor more than 60 days after the receipt of such request, and if the Secretary shall neglect or refuse to call such meeting within 10 days after the receipt of such request, the stockholder making such request may do so.</w:t>
      </w:r>
    </w:p>
    <w:p>
      <w:pPr>
        <w:spacing w:after="0" w:line="161"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Section 203 of the DGCL provides that,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which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7" w:name="page118"/>
    <w:bookmarkEnd w:id="117"/>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defines a “business combination” to include (1) any merger or consolidation with an interested stockholder or other entity if the merger or consolidation is caused by the interested stockholder and as a result section (a) of Section 203 is no longer applicable to the surviving entity, (2) sales or other dispositions of 10% or more of the corporation’s assets with or to an interested stockholder, (3) certain transactions resulting in the issuance or transfer to the interested stockholder of any stock of the corporation or its subsidiaries, (4) certain transactions which would increase the proportionate share of the stock of the corporation or its subsidiaries owned by the interested stockholder and (5) receipt by the interested stockholder of the benefit (except proportionately as a stockholder) of any loans, advances, guarantees, pledges, or other financial benefits.</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elected not to be subject to Section 203 of the DGCL.</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Information</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“PLX.”</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-116840</wp:posOffset>
            </wp:positionV>
            <wp:extent cx="762635" cy="763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626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333-237736 and No. 333-286802) and on Form S-8 (No. 333-148983, No. 333-182677, No. 333-203960, No. 333-225526, No. 333-239101, No. 333-266131, No. 333-273396 and No. 280644) of Protalix BioTherapeutics, Inc. of our report dated March 18, 2026 relating to the financial statements, which appears in this Form 10-K.</w:t>
      </w:r>
    </w:p>
    <w:p>
      <w:pPr>
        <w:spacing w:after="0" w:line="311" w:lineRule="exact"/>
        <w:rPr>
          <w:sz w:val="20"/>
          <w:szCs w:val="20"/>
          <w:color w:val="auto"/>
        </w:rPr>
      </w:pPr>
    </w:p>
    <w:p>
      <w:pPr>
        <w:spacing w:after="0"/>
        <w:rPr>
          <w:sz w:val="20"/>
          <w:szCs w:val="20"/>
          <w:color w:val="auto"/>
        </w:rPr>
      </w:pPr>
      <w:r>
        <w:rPr>
          <w:rFonts w:ascii="Georgia" w:cs="Georgia" w:eastAsia="Georgia" w:hAnsi="Georgia"/>
          <w:sz w:val="18"/>
          <w:szCs w:val="18"/>
          <w:color w:val="auto"/>
        </w:rPr>
        <w:t>/s/ Kesselman &amp; Kesselman</w:t>
      </w:r>
    </w:p>
    <w:p>
      <w:pPr>
        <w:spacing w:after="0" w:line="106" w:lineRule="exact"/>
        <w:rPr>
          <w:sz w:val="20"/>
          <w:szCs w:val="20"/>
          <w:color w:val="auto"/>
        </w:rPr>
      </w:pPr>
    </w:p>
    <w:p>
      <w:pPr>
        <w:spacing w:after="0"/>
        <w:rPr>
          <w:sz w:val="20"/>
          <w:szCs w:val="20"/>
          <w:color w:val="auto"/>
        </w:rPr>
      </w:pPr>
      <w:r>
        <w:rPr>
          <w:rFonts w:ascii="Georgia" w:cs="Georgia" w:eastAsia="Georgia" w:hAnsi="Georgia"/>
          <w:sz w:val="18"/>
          <w:szCs w:val="18"/>
          <w:color w:val="auto"/>
        </w:rPr>
        <w:t>Certified Public Accountants (lsr.)</w:t>
      </w:r>
    </w:p>
    <w:p>
      <w:pPr>
        <w:spacing w:after="0" w:line="92" w:lineRule="exact"/>
        <w:rPr>
          <w:sz w:val="20"/>
          <w:szCs w:val="20"/>
          <w:color w:val="auto"/>
        </w:rPr>
      </w:pPr>
    </w:p>
    <w:p>
      <w:pPr>
        <w:spacing w:after="0"/>
        <w:rPr>
          <w:sz w:val="20"/>
          <w:szCs w:val="20"/>
          <w:color w:val="auto"/>
        </w:rPr>
      </w:pPr>
      <w:r>
        <w:rPr>
          <w:rFonts w:ascii="Georgia" w:cs="Georgia" w:eastAsia="Georgia" w:hAnsi="Georgia"/>
          <w:sz w:val="18"/>
          <w:szCs w:val="18"/>
          <w:color w:val="auto"/>
        </w:rPr>
        <w:t xml:space="preserve">A member firm of PricewaterhouseCoopers </w:t>
      </w:r>
      <w:r>
        <w:rPr>
          <w:rFonts w:ascii="Times New Roman" w:cs="Times New Roman" w:eastAsia="Times New Roman" w:hAnsi="Times New Roman"/>
          <w:sz w:val="18"/>
          <w:szCs w:val="18"/>
          <w:color w:val="auto"/>
        </w:rPr>
        <w:t>International Limited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Tel-Aviv, Israel</w:t>
      </w: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131" w:right="11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225"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Gilad Mamlok, certify that:</w:t>
      </w:r>
    </w:p>
    <w:p>
      <w:pPr>
        <w:spacing w:after="0" w:line="225" w:lineRule="exact"/>
        <w:rPr>
          <w:sz w:val="20"/>
          <w:szCs w:val="20"/>
          <w:color w:val="auto"/>
        </w:rPr>
      </w:pPr>
    </w:p>
    <w:p>
      <w:pPr>
        <w:ind w:left="360" w:hanging="352"/>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2025 as filed with the Securities and Exchange Commission (the “Report”), I, Dror Bashan, President and Chief Executive Officer of the Company, hereby certify as of the date hereof, solely for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December 31, 2025 as filed with the Securities and Exchange Commission (the “Report”), I, Gilad Mamlok, Sr. Vice President and Chief Financial Officer of the Company, hereby certify as of the date hereof, solely for the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lvl w:ilvl="1">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lowerRoman"/>
      <w:start w:val="4"/>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1."/>
      <w:numFmt w:val="decimal"/>
      <w:start w:val="2"/>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1."/>
      <w:numFmt w:val="lowerLetter"/>
      <w:start w:val="2"/>
    </w:lvl>
  </w:abstractNum>
  <w:abstractNum w:abstractNumId="53">
    <w:nsid w:val="71EA1109"/>
    <w:multiLevelType w:val="hybridMultilevel"/>
    <w:lvl w:ilvl="0">
      <w:lvlJc w:val="left"/>
      <w:lvlText w:val="%1."/>
      <w:numFmt w:val="lowerLetter"/>
      <w:start w:val="7"/>
    </w:lvl>
  </w:abstractNum>
  <w:abstractNum w:abstractNumId="54">
    <w:nsid w:val="100F59DC"/>
    <w:multiLevelType w:val="hybridMultilevel"/>
    <w:lvl w:ilvl="0">
      <w:lvlJc w:val="left"/>
      <w:lvlText w:val="%1."/>
      <w:numFmt w:val="lowerLetter"/>
      <w:start w:val="8"/>
    </w:lvl>
  </w:abstractNum>
  <w:abstractNum w:abstractNumId="55">
    <w:nsid w:val="7FB7E0AA"/>
    <w:multiLevelType w:val="hybridMultilevel"/>
    <w:lvl w:ilvl="0">
      <w:lvlJc w:val="left"/>
      <w:lvlText w:val="%1."/>
      <w:numFmt w:val="lowerLetter"/>
      <w:start w:val="10"/>
    </w:lvl>
    <w:lvl w:ilvl="1">
      <w:lvlJc w:val="left"/>
      <w:lvlText w:val="%2."/>
      <w:numFmt w:val="decimal"/>
      <w:start w:val="1"/>
    </w:lvl>
  </w:abstractNum>
  <w:abstractNum w:abstractNumId="56">
    <w:nsid w:val="6EB5BD4"/>
    <w:multiLevelType w:val="hybridMultilevel"/>
    <w:lvl w:ilvl="0">
      <w:lvlJc w:val="left"/>
      <w:lvlText w:val="%1."/>
      <w:numFmt w:val="lowerLetter"/>
      <w:start w:val="11"/>
    </w:lvl>
    <w:lvl w:ilvl="1">
      <w:lvlJc w:val="left"/>
      <w:lvlText w:val="%2."/>
      <w:numFmt w:val="decimal"/>
      <w:start w:val="1"/>
    </w:lvl>
  </w:abstractNum>
  <w:abstractNum w:abstractNumId="57">
    <w:nsid w:val="6F6DD9AC"/>
    <w:multiLevelType w:val="hybridMultilevel"/>
    <w:lvl w:ilvl="0">
      <w:lvlJc w:val="left"/>
      <w:lvlText w:val="%1."/>
      <w:numFmt w:val="decimal"/>
      <w:start w:val="2"/>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2"/>
    </w:lvl>
  </w:abstractNum>
  <w:abstractNum w:abstractNumId="60">
    <w:nsid w:val="76272110"/>
    <w:multiLevelType w:val="hybridMultilevel"/>
    <w:lvl w:ilvl="0">
      <w:lvlJc w:val="left"/>
      <w:lvlText w:val="%1."/>
      <w:numFmt w:val="lowerLetter"/>
      <w:start w:val="14"/>
    </w:lvl>
  </w:abstractNum>
  <w:abstractNum w:abstractNumId="61">
    <w:nsid w:val="4C04A8AF"/>
    <w:multiLevelType w:val="hybridMultilevel"/>
    <w:lvl w:ilvl="0">
      <w:lvlJc w:val="left"/>
      <w:lvlText w:val="%1."/>
      <w:numFmt w:val="lowerLetter"/>
      <w:start w:val="16"/>
    </w:lvl>
  </w:abstractNum>
  <w:abstractNum w:abstractNumId="62">
    <w:nsid w:val="1716703B"/>
    <w:multiLevelType w:val="hybridMultilevel"/>
    <w:lvl w:ilvl="0">
      <w:lvlJc w:val="left"/>
      <w:lvlText w:val="%1."/>
      <w:numFmt w:val="lowerLetter"/>
      <w:start w:val="19"/>
    </w:lvl>
  </w:abstractNum>
  <w:abstractNum w:abstractNumId="63">
    <w:nsid w:val="14E17E33"/>
    <w:multiLevelType w:val="hybridMultilevel"/>
    <w:lvl w:ilvl="0">
      <w:lvlJc w:val="left"/>
      <w:lvlText w:val="%1."/>
      <w:numFmt w:val="lowerLetter"/>
      <w:start w:val="20"/>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lowerLetter"/>
      <w:start w:val="1"/>
    </w:lvl>
    <w:lvl w:ilvl="1">
      <w:lvlJc w:val="left"/>
      <w:lvlText w:val="%2."/>
      <w:numFmt w:val="decimal"/>
      <w:start w:val="1"/>
    </w:lvl>
  </w:abstractNum>
  <w:abstractNum w:abstractNumId="66">
    <w:nsid w:val="68EBC550"/>
    <w:multiLevelType w:val="hybridMultilevel"/>
    <w:lvl w:ilvl="0">
      <w:lvlJc w:val="left"/>
      <w:lvlText w:val="%1."/>
      <w:numFmt w:val="lowerLetter"/>
      <w:start w:val="2"/>
    </w:lvl>
    <w:lvl w:ilvl="1">
      <w:lvlJc w:val="left"/>
      <w:lvlText w:val="%2"/>
      <w:numFmt w:val="decimal"/>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1"/>
    </w:lvl>
  </w:abstractNum>
  <w:abstractNum w:abstractNumId="69">
    <w:nsid w:val="4A2AC315"/>
    <w:multiLevelType w:val="hybridMultilevel"/>
    <w:lvl w:ilvl="0">
      <w:lvlJc w:val="left"/>
      <w:lvlText w:val="%1."/>
      <w:numFmt w:val="lowerLetter"/>
      <w:start w:val="3"/>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2"/>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Letter"/>
      <w:start w:val="2"/>
    </w:lvl>
  </w:abstractNum>
  <w:abstractNum w:abstractNumId="74">
    <w:nsid w:val="60EF0119"/>
    <w:multiLevelType w:val="hybridMultilevel"/>
    <w:lvl w:ilvl="0">
      <w:lvlJc w:val="left"/>
      <w:lvlText w:val="%1."/>
      <w:numFmt w:val="lowerLetter"/>
      <w:start w:val="1"/>
    </w:lvl>
  </w:abstractNum>
  <w:abstractNum w:abstractNumId="75">
    <w:nsid w:val="26F324BA"/>
    <w:multiLevelType w:val="hybridMultilevel"/>
    <w:lvl w:ilvl="0">
      <w:lvlJc w:val="left"/>
      <w:lvlText w:val="%1."/>
      <w:numFmt w:val="lowerLetter"/>
      <w:start w:val="2"/>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3"/>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3"/>
    </w:lvl>
  </w:abstractNum>
  <w:abstractNum w:abstractNumId="81">
    <w:nsid w:val="488AC1A"/>
    <w:multiLevelType w:val="hybridMultilevel"/>
    <w:lvl w:ilvl="0">
      <w:lvlJc w:val="left"/>
      <w:lvlText w:val="%1)"/>
      <w:numFmt w:val="lowerLetter"/>
      <w:start w:val="4"/>
    </w:lvl>
  </w:abstractNum>
  <w:abstractNum w:abstractNumId="82">
    <w:nsid w:val="5FB8011C"/>
    <w:multiLevelType w:val="hybridMultilevel"/>
    <w:lvl w:ilvl="0">
      <w:lvlJc w:val="left"/>
      <w:lvlText w:val="%1)"/>
      <w:numFmt w:val="lowerLetter"/>
      <w:start w:val="5"/>
    </w:lvl>
  </w:abstractNum>
  <w:abstractNum w:abstractNumId="83">
    <w:nsid w:val="6AA78F7F"/>
    <w:multiLevelType w:val="hybridMultilevel"/>
    <w:lvl w:ilvl="0">
      <w:lvlJc w:val="left"/>
      <w:lvlText w:val="%1)"/>
      <w:numFmt w:val="lowerLetter"/>
      <w:start w:val="6"/>
    </w:lvl>
  </w:abstractNum>
  <w:abstractNum w:abstractNumId="84">
    <w:nsid w:val="7672BD23"/>
    <w:multiLevelType w:val="hybridMultilevel"/>
    <w:lvl w:ilvl="0">
      <w:lvlJc w:val="left"/>
      <w:lvlText w:val="%1."/>
      <w:numFmt w:val="lowerLetter"/>
      <w:start w:val="4"/>
    </w:lvl>
    <w:lvl w:ilvl="1">
      <w:lvlJc w:val="left"/>
      <w:lvlText w:val="(%2)"/>
      <w:numFmt w:val="lowerRoman"/>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2"/>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decimal"/>
      <w:start w:val="2"/>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1"/>
    </w:lvl>
    <w:lvl w:ilvl="1">
      <w:lvlJc w:val="left"/>
      <w:lvlText w:val="%2."/>
      <w:numFmt w:val="lowerLetter"/>
      <w:start w:val="3"/>
    </w:lvl>
  </w:abstractNum>
  <w:abstractNum w:abstractNumId="92">
    <w:nsid w:val="3FA62ACA"/>
    <w:multiLevelType w:val="hybridMultilevel"/>
    <w:lvl w:ilvl="0">
      <w:lvlJc w:val="left"/>
      <w:lvlText w:val="%1."/>
      <w:numFmt w:val="lowerLetter"/>
      <w:start w:val="3"/>
    </w:lvl>
    <w:lvl w:ilvl="1">
      <w:lvlJc w:val="left"/>
      <w:lvlText w:val="%2"/>
      <w:numFmt w:val="lowerLetter"/>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2"/>
    </w:lvl>
  </w:abstractNum>
  <w:abstractNum w:abstractNumId="95">
    <w:nsid w:val="71C91298"/>
    <w:multiLevelType w:val="hybridMultilevel"/>
    <w:lvl w:ilvl="0">
      <w:lvlJc w:val="left"/>
      <w:lvlText w:val="%1."/>
      <w:numFmt w:val="lowerLetter"/>
      <w:start w:val="4"/>
    </w:lvl>
  </w:abstractNum>
  <w:abstractNum w:abstractNumId="96">
    <w:nsid w:val="9DAF632"/>
    <w:multiLevelType w:val="hybridMultilevel"/>
    <w:lvl w:ilvl="0">
      <w:lvlJc w:val="left"/>
      <w:lvlText w:val="%1."/>
      <w:numFmt w:val="lowerLetter"/>
      <w:start w:val="5"/>
    </w:lvl>
  </w:abstractNum>
  <w:abstractNum w:abstractNumId="97">
    <w:nsid w:val="53299938"/>
    <w:multiLevelType w:val="hybridMultilevel"/>
    <w:lvl w:ilvl="0">
      <w:lvlJc w:val="left"/>
      <w:lvlText w:val="%1."/>
      <w:numFmt w:val="lowerLetter"/>
      <w:start w:val="7"/>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1."/>
      <w:numFmt w:val="lowerLetter"/>
      <w:start w:val="8"/>
    </w:lvl>
  </w:abstractNum>
  <w:abstractNum w:abstractNumId="102">
    <w:nsid w:val="288F1A34"/>
    <w:multiLevelType w:val="hybridMultilevel"/>
    <w:lvl w:ilvl="0">
      <w:lvlJc w:val="left"/>
      <w:lvlText w:val="(*)"/>
      <w:numFmt w:val="bullet"/>
      <w:start w:val="1"/>
    </w:lvl>
    <w:lvl w:ilvl="1">
      <w:lvlJc w:val="left"/>
      <w:lvlText w:val="%2."/>
      <w:numFmt w:val="lowerRoman"/>
      <w:start w:val="1"/>
    </w:lvl>
  </w:abstractNum>
  <w:abstractNum w:abstractNumId="103">
    <w:nsid w:val="2A155DBC"/>
    <w:multiLevelType w:val="hybridMultilevel"/>
    <w:lvl w:ilvl="0">
      <w:lvlJc w:val="left"/>
      <w:lvlText w:val="%1."/>
      <w:numFmt w:val="lowerLetter"/>
      <w:start w:val="11"/>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lowerLetter"/>
      <w:start w:val="1"/>
    </w:lvl>
    <w:lvl w:ilvl="1">
      <w:lvlJc w:val="left"/>
      <w:lvlText w:val="*"/>
      <w:numFmt w:val="bullet"/>
      <w:start w:val="1"/>
    </w:lvl>
  </w:abstractNum>
  <w:abstractNum w:abstractNumId="106">
    <w:nsid w:val="51088277"/>
    <w:multiLevelType w:val="hybridMultilevel"/>
    <w:lvl w:ilvl="0">
      <w:lvlJc w:val="left"/>
      <w:lvlText w:val="%1."/>
      <w:numFmt w:val="lowerLetter"/>
      <w:start w:val="1"/>
    </w:lvl>
  </w:abstractNum>
  <w:abstractNum w:abstractNumId="107">
    <w:nsid w:val="1CA0C5FA"/>
    <w:multiLevelType w:val="hybridMultilevel"/>
    <w:lvl w:ilvl="0">
      <w:lvlJc w:val="left"/>
      <w:lvlText w:val="%1."/>
      <w:numFmt w:val="lowerLetter"/>
      <w:start w:val="2"/>
    </w:lvl>
  </w:abstractNum>
  <w:abstractNum w:abstractNumId="108">
    <w:nsid w:val="53584BCB"/>
    <w:multiLevelType w:val="hybridMultilevel"/>
    <w:lvl w:ilvl="0">
      <w:lvlJc w:val="left"/>
      <w:lvlText w:val="%1."/>
      <w:numFmt w:val="lowerLetter"/>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3" Type="http://schemas.openxmlformats.org/officeDocument/2006/relationships/image" Target="media/image89.png"/><Relationship Id="rId118"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jpe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jpe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96" Type="http://schemas.openxmlformats.org/officeDocument/2006/relationships/hyperlink" Target="https://www.sec.gov/Archives/edgar/data/1006281/000155837023002104/plx-20230227xex1d1.htm" TargetMode="External"/><Relationship Id="rId97" Type="http://schemas.openxmlformats.org/officeDocument/2006/relationships/hyperlink" Target="https://www.sec.gov/Archives/edgar/data/1006281/000155837025003143/plx-20250317xex1d1.htm" TargetMode="External"/><Relationship Id="rId98" Type="http://schemas.openxmlformats.org/officeDocument/2006/relationships/hyperlink" Target="https://www.sec.gov/Archives/edgar/data/1006281/000110465925081924/tm2524070d1_ex1-1.htm" TargetMode="External"/><Relationship Id="rId99" Type="http://schemas.openxmlformats.org/officeDocument/2006/relationships/hyperlink" Target="https://www.sec.gov/Archives/edgar/data/1006281/000114420416092335/v435826_ex3-1.htm" TargetMode="External"/><Relationship Id="rId100" Type="http://schemas.openxmlformats.org/officeDocument/2006/relationships/hyperlink" Target="https://www.sec.gov/Archives/edgar/data/1006281/000114420416111273/v443094_def14a.htm" TargetMode="External"/><Relationship Id="rId101" Type="http://schemas.openxmlformats.org/officeDocument/2006/relationships/hyperlink" Target="https://www.sec.gov/Archives/edgar/data/1006281/000114420418054229/tv504383-def14a.htm" TargetMode="External"/><Relationship Id="rId102" Type="http://schemas.openxmlformats.org/officeDocument/2006/relationships/hyperlink" Target="https://www.sec.gov/Archives/edgar/data/1006281/000110465919074602/tm1926620d1_ex3-1.htm" TargetMode="External"/><Relationship Id="rId104" Type="http://schemas.openxmlformats.org/officeDocument/2006/relationships/hyperlink" Target="https://www.sec.gov/Archives/edgar/data/1006281/000155837022013560/plx-20220630xex3d5.htm" TargetMode="External"/><Relationship Id="rId105" Type="http://schemas.openxmlformats.org/officeDocument/2006/relationships/hyperlink" Target="https://www.sec.gov/Archives/edgar/data/1006281/000155837023013483/plx-20230630xex3d6.htm" TargetMode="External"/><Relationship Id="rId106" Type="http://schemas.openxmlformats.org/officeDocument/2006/relationships/hyperlink" Target="https://www.sec.gov/Archives/edgar/data/1006281/000155837025007063/plx-20250331xex3d7.htm" TargetMode="External"/><Relationship Id="rId107" Type="http://schemas.openxmlformats.org/officeDocument/2006/relationships/hyperlink" Target="https://www.sec.gov/Archives/edgar/data/1006281/000114420412040015/v318898_ex4-1.htm" TargetMode="External"/><Relationship Id="rId108" Type="http://schemas.openxmlformats.org/officeDocument/2006/relationships/hyperlink" Target="https://www.sec.gov/Archives/edgar/data/1006281/000110465920092375/plx-20200630xex4d8.htm" TargetMode="External"/><Relationship Id="rId109" Type="http://schemas.openxmlformats.org/officeDocument/2006/relationships/hyperlink" Target="https://www.sec.gov/Archives/edgar/data/1006281/000110465920092375/plx-20200630xex4d9.htm" TargetMode="External"/><Relationship Id="rId110" Type="http://schemas.openxmlformats.org/officeDocument/2006/relationships/hyperlink" Target="https://www.sec.gov/Archives/edgar/data/1006281/000095014407000141/g04822exv10w9.htm" TargetMode="External"/><Relationship Id="rId111" Type="http://schemas.openxmlformats.org/officeDocument/2006/relationships/hyperlink" Target="https://www.sec.gov/Archives/edgar/data/1006281/000095013608001374/file2.htm" TargetMode="External"/><Relationship Id="rId112" Type="http://schemas.openxmlformats.org/officeDocument/2006/relationships/hyperlink" Target="https://www.sec.gov/Archives/edgar/data/1006281/000155837021007157/plx-20210331xex10d1.htm" TargetMode="External"/><Relationship Id="rId113" Type="http://schemas.openxmlformats.org/officeDocument/2006/relationships/hyperlink" Target="https://www.sec.gov/Archives/edgar/data/1006281/000155837021007157/plx-20210331xex10d2.htm" TargetMode="External"/><Relationship Id="rId114" Type="http://schemas.openxmlformats.org/officeDocument/2006/relationships/hyperlink" Target="https://www.sec.gov/Archives/edgar/data/1006281/000155837021007157/plx-20210331xex10d3.htm" TargetMode="External"/><Relationship Id="rId115" Type="http://schemas.openxmlformats.org/officeDocument/2006/relationships/hyperlink" Target="https://www.sec.gov/Archives/edgar/data/1006281/000110465925110824/plx-20250930xex10d1.htm" TargetMode="External"/><Relationship Id="rId116" Type="http://schemas.openxmlformats.org/officeDocument/2006/relationships/hyperlink" Target="https://www.sec.gov/Archives/edgar/data/1006281/000114420418013053/tv486893_ex10-16.htm" TargetMode="External"/><Relationship Id="rId117" Type="http://schemas.openxmlformats.org/officeDocument/2006/relationships/hyperlink" Target="https://www.sec.gov/Archives/edgar/data/1006281/000114420418057990/tv505296_ex10-1.htm" TargetMode="External"/><Relationship Id="rId119" Type="http://schemas.openxmlformats.org/officeDocument/2006/relationships/hyperlink" Target="https://www.sec.gov/Archives/edgar/data/1006281/000114420419027423/tv522023_ex10-1.htm" TargetMode="External"/><Relationship Id="rId120" Type="http://schemas.openxmlformats.org/officeDocument/2006/relationships/hyperlink" Target="https://www.sec.gov/Archives/edgar/data/1006281/000155837024009567/plx-20240627xex10d1.htm" TargetMode="External"/><Relationship Id="rId121" Type="http://schemas.openxmlformats.org/officeDocument/2006/relationships/hyperlink" Target="https://www.sec.gov/Archives/edgar/data/1006281/000155837022017554/plx-20220930xex10d1.htm" TargetMode="External"/><Relationship Id="rId122" Type="http://schemas.openxmlformats.org/officeDocument/2006/relationships/hyperlink" Target="https://www.sec.gov/Archives/edgar/data/1006281/000155837022017554/plx-20220930xex10d2.htm" TargetMode="External"/><Relationship Id="rId123" Type="http://schemas.openxmlformats.org/officeDocument/2006/relationships/hyperlink" Target="https://www.sec.gov/Archives/edgar/data/1006281/000155837025009308/plx-20250613xex10d1.htm" TargetMode="External"/><Relationship Id="rId124" Type="http://schemas.openxmlformats.org/officeDocument/2006/relationships/hyperlink" Target="https://www.sec.gov/Archives/edgar/data/1006281/000155837025003039/plx-20241231xex19.htm" TargetMode="External"/><Relationship Id="rId125" Type="http://schemas.openxmlformats.org/officeDocument/2006/relationships/hyperlink" Target="https://www.sec.gov/Archives/edgar/data/1006281/000155837025003039/plx-20241231xex21d1.htm" TargetMode="External"/><Relationship Id="rId126" Type="http://schemas.openxmlformats.org/officeDocument/2006/relationships/hyperlink" Target="https://www.sec.gov/Archives/edgar/data/1006281/000155837024003161/pl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2026-03-18T06:20:50Z</dcterms:created>
  <dcterms:modified xsi:type="dcterms:W3CDTF">2026-03-18T06:20:50Z</dcterms:modified>
</cp:coreProperties>
</file>