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before="0" w:after="0"/>
        <w:ind w:left="0" w:right="0" w:hanging="0"/>
        <w:jc w:val="center"/>
        <w:rPr/>
      </w:pPr>
      <w:bookmarkStart w:id="0" w:name="plx-20260625xdef14a.htm"/>
      <w:bookmarkStart w:id="1" w:name="ksplx20260625xdef14a"/>
      <w:bookmarkEnd w:id="0"/>
      <w:bookmarkEnd w:id="1"/>
      <w:r>
        <w:rPr/>
        <w:t>​</w:t>
      </w:r>
    </w:p>
    <w:p>
      <w:pPr>
        <w:pStyle w:val="TextBody"/>
        <w:pBdr>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7"/>
        </w:rPr>
      </w:pPr>
      <w:bookmarkStart w:id="2" w:name="_1835620a_4974_47c0_8e54_394d3855a832"/>
      <w:bookmarkEnd w:id="2"/>
      <w:r>
        <w:rPr>
          <w:rFonts w:ascii="Times New Roman;Times;serif" w:hAnsi="Times New Roman;Times;serif"/>
          <w:b/>
          <w:sz w:val="27"/>
        </w:rPr>
        <w:t>UNITED STATES</w:t>
      </w:r>
    </w:p>
    <w:p>
      <w:pPr>
        <w:pStyle w:val="TextBody"/>
        <w:bidi w:val="0"/>
        <w:spacing w:before="0" w:after="0"/>
        <w:ind w:left="0" w:right="0" w:hanging="0"/>
        <w:jc w:val="center"/>
        <w:rPr>
          <w:rFonts w:ascii="Times New Roman;Times;serif" w:hAnsi="Times New Roman;Times;serif"/>
          <w:b/>
          <w:sz w:val="27"/>
        </w:rPr>
      </w:pPr>
      <w:r>
        <w:rPr>
          <w:rFonts w:ascii="Times New Roman;Times;serif" w:hAnsi="Times New Roman;Times;serif"/>
          <w:b/>
          <w:sz w:val="27"/>
        </w:rPr>
        <w:t>SECURITIES AND EXCHANGE COMMISSION</w:t>
      </w:r>
    </w:p>
    <w:p>
      <w:pPr>
        <w:pStyle w:val="TextBody"/>
        <w:bidi w:val="0"/>
        <w:spacing w:before="0" w:after="6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SCHEDULE 14A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Proxy Statement Pursuant to Section 14(a) of the Securities Exchange Act of 1934</w:t>
      </w:r>
    </w:p>
    <w:p>
      <w:pPr>
        <w:pStyle w:val="TextBody"/>
        <w:bidi w:val="0"/>
        <w:spacing w:before="0" w:after="0"/>
        <w:ind w:left="0" w:right="0" w:hanging="0"/>
        <w:jc w:val="center"/>
        <w:rPr/>
      </w:pPr>
      <w:r>
        <w:rPr/>
        <w:t>​</w:t>
      </w:r>
    </w:p>
    <w:p>
      <w:pPr>
        <w:pStyle w:val="TextBody"/>
        <w:pBdr/>
        <w:bidi w:val="0"/>
        <w:spacing w:before="0" w:after="90"/>
        <w:ind w:left="0" w:right="0" w:hanging="245"/>
        <w:jc w:val="left"/>
        <w:rPr>
          <w:rFonts w:ascii="Times New Roman;Times;serif" w:hAnsi="Times New Roman;Times;serif"/>
          <w:sz w:val="20"/>
        </w:rPr>
      </w:pPr>
      <w:r>
        <w:rPr>
          <w:rFonts w:ascii="Times New Roman;Times;serif" w:hAnsi="Times New Roman;Times;serif"/>
          <w:sz w:val="20"/>
        </w:rPr>
        <w:t>Filed by the Registrant  ☒</w:t>
      </w:r>
    </w:p>
    <w:p>
      <w:pPr>
        <w:pStyle w:val="TextBody"/>
        <w:pBdr/>
        <w:bidi w:val="0"/>
        <w:spacing w:before="0" w:after="90"/>
        <w:ind w:left="0" w:right="0" w:hanging="245"/>
        <w:jc w:val="left"/>
        <w:rPr>
          <w:rFonts w:ascii="Times New Roman;Times;serif" w:hAnsi="Times New Roman;Times;serif"/>
          <w:sz w:val="20"/>
        </w:rPr>
      </w:pPr>
      <w:r>
        <w:rPr>
          <w:rFonts w:ascii="Times New Roman;Times;serif" w:hAnsi="Times New Roman;Times;serif"/>
          <w:sz w:val="20"/>
        </w:rPr>
        <w:t xml:space="preserve">Filed by a Party other than the Registrant  ☐ </w:t>
      </w:r>
    </w:p>
    <w:p>
      <w:pPr>
        <w:pStyle w:val="TextBody"/>
        <w:pBdr/>
        <w:bidi w:val="0"/>
        <w:spacing w:before="0" w:after="0"/>
        <w:ind w:left="0" w:right="0" w:hanging="245"/>
        <w:jc w:val="left"/>
        <w:rPr>
          <w:rFonts w:ascii="Times New Roman;Times;serif" w:hAnsi="Times New Roman;Times;serif"/>
          <w:sz w:val="20"/>
        </w:rPr>
      </w:pPr>
      <w:r>
        <w:rPr>
          <w:rFonts w:ascii="Times New Roman;Times;serif" w:hAnsi="Times New Roman;Times;serif"/>
          <w:sz w:val="20"/>
        </w:rPr>
        <w:t>Check the appropriate box:</w:t>
      </w:r>
    </w:p>
    <w:p>
      <w:pPr>
        <w:pStyle w:val="TextBody"/>
        <w:bidi w:val="0"/>
        <w:spacing w:before="0" w:after="0"/>
        <w:ind w:left="0" w:right="0" w:hanging="0"/>
        <w:jc w:val="left"/>
        <w:rPr/>
      </w:pPr>
      <w:r>
        <w:rPr/>
        <w:t>​</w:t>
      </w:r>
    </w:p>
    <w:tbl>
      <w:tblPr>
        <w:tblW w:w="2852" w:type="dxa"/>
        <w:jc w:val="left"/>
        <w:tblInd w:w="0" w:type="dxa"/>
        <w:tblLayout w:type="fixed"/>
        <w:tblCellMar>
          <w:top w:w="0" w:type="dxa"/>
          <w:left w:w="0" w:type="dxa"/>
          <w:bottom w:w="0" w:type="dxa"/>
          <w:right w:w="0" w:type="dxa"/>
        </w:tblCellMar>
      </w:tblPr>
      <w:tblGrid>
        <w:gridCol w:w="331"/>
        <w:gridCol w:w="25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Preliminary Proxy Statement </w:t>
            </w:r>
          </w:p>
        </w:tc>
      </w:tr>
    </w:tbl>
    <w:p>
      <w:pPr>
        <w:pStyle w:val="TextBody"/>
        <w:bidi w:val="0"/>
        <w:spacing w:before="0" w:after="0"/>
        <w:ind w:left="0" w:right="0" w:hanging="0"/>
        <w:jc w:val="left"/>
        <w:rPr/>
      </w:pPr>
      <w:r>
        <w:rPr/>
        <w:t>​</w:t>
      </w:r>
    </w:p>
    <w:tbl>
      <w:tblPr>
        <w:tblW w:w="7202" w:type="dxa"/>
        <w:jc w:val="left"/>
        <w:tblInd w:w="0" w:type="dxa"/>
        <w:tblLayout w:type="fixed"/>
        <w:tblCellMar>
          <w:top w:w="0" w:type="dxa"/>
          <w:left w:w="0" w:type="dxa"/>
          <w:bottom w:w="0" w:type="dxa"/>
          <w:right w:w="0" w:type="dxa"/>
        </w:tblCellMar>
      </w:tblPr>
      <w:tblGrid>
        <w:gridCol w:w="331"/>
        <w:gridCol w:w="68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687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Confidential, for Use of the Commission Only (as permitted by Rule 14a-6(e)(2)) </w:t>
            </w:r>
          </w:p>
        </w:tc>
      </w:tr>
    </w:tbl>
    <w:p>
      <w:pPr>
        <w:pStyle w:val="TextBody"/>
        <w:bidi w:val="0"/>
        <w:spacing w:before="0" w:after="0"/>
        <w:ind w:left="0" w:right="0" w:hanging="0"/>
        <w:jc w:val="left"/>
        <w:rPr/>
      </w:pPr>
      <w:r>
        <w:rPr/>
        <w:t>​</w:t>
      </w:r>
    </w:p>
    <w:tbl>
      <w:tblPr>
        <w:tblW w:w="2732" w:type="dxa"/>
        <w:jc w:val="left"/>
        <w:tblInd w:w="0" w:type="dxa"/>
        <w:tblLayout w:type="fixed"/>
        <w:tblCellMar>
          <w:top w:w="0" w:type="dxa"/>
          <w:left w:w="0" w:type="dxa"/>
          <w:bottom w:w="0" w:type="dxa"/>
          <w:right w:w="0" w:type="dxa"/>
        </w:tblCellMar>
      </w:tblPr>
      <w:tblGrid>
        <w:gridCol w:w="331"/>
        <w:gridCol w:w="240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240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Definitive Proxy Statement </w:t>
            </w:r>
          </w:p>
        </w:tc>
      </w:tr>
    </w:tbl>
    <w:p>
      <w:pPr>
        <w:pStyle w:val="TextBody"/>
        <w:bidi w:val="0"/>
        <w:spacing w:before="0" w:after="0"/>
        <w:ind w:left="0" w:right="0" w:hanging="0"/>
        <w:jc w:val="left"/>
        <w:rPr/>
      </w:pPr>
      <w:r>
        <w:rPr/>
        <w:t>​</w:t>
      </w:r>
    </w:p>
    <w:tbl>
      <w:tblPr>
        <w:tblW w:w="3092" w:type="dxa"/>
        <w:jc w:val="left"/>
        <w:tblInd w:w="0" w:type="dxa"/>
        <w:tblLayout w:type="fixed"/>
        <w:tblCellMar>
          <w:top w:w="0" w:type="dxa"/>
          <w:left w:w="0" w:type="dxa"/>
          <w:bottom w:w="0" w:type="dxa"/>
          <w:right w:w="0" w:type="dxa"/>
        </w:tblCellMar>
      </w:tblPr>
      <w:tblGrid>
        <w:gridCol w:w="331"/>
        <w:gridCol w:w="276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276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Definitive Additional Materials </w:t>
            </w:r>
          </w:p>
        </w:tc>
      </w:tr>
    </w:tbl>
    <w:p>
      <w:pPr>
        <w:pStyle w:val="TextBody"/>
        <w:bidi w:val="0"/>
        <w:spacing w:before="0" w:after="0"/>
        <w:ind w:left="0" w:right="0" w:hanging="0"/>
        <w:jc w:val="left"/>
        <w:rPr/>
      </w:pPr>
      <w:r>
        <w:rPr/>
        <w:t>​</w:t>
      </w:r>
    </w:p>
    <w:tbl>
      <w:tblPr>
        <w:tblW w:w="4067" w:type="dxa"/>
        <w:jc w:val="left"/>
        <w:tblInd w:w="0" w:type="dxa"/>
        <w:tblLayout w:type="fixed"/>
        <w:tblCellMar>
          <w:top w:w="0" w:type="dxa"/>
          <w:left w:w="0" w:type="dxa"/>
          <w:bottom w:w="0" w:type="dxa"/>
          <w:right w:w="0" w:type="dxa"/>
        </w:tblCellMar>
      </w:tblPr>
      <w:tblGrid>
        <w:gridCol w:w="331"/>
        <w:gridCol w:w="373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373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Protalix BioTherapeutics, Inc.</w:t>
      </w:r>
    </w:p>
    <w:p>
      <w:pPr>
        <w:pStyle w:val="TextBody"/>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(Name of Registrant as Specified In Its Charter)</w:t>
      </w:r>
    </w:p>
    <w:p>
      <w:pPr>
        <w:pStyle w:val="TextBody"/>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(Name of Person(s) Filing Proxy Statement, if other than the Registrant)</w:t>
      </w:r>
    </w:p>
    <w:p>
      <w:pPr>
        <w:pStyle w:val="TextBody"/>
        <w:bidi w:val="0"/>
        <w:spacing w:before="0" w:after="0"/>
        <w:ind w:left="0" w:right="0" w:hanging="0"/>
        <w:jc w:val="center"/>
        <w:rPr/>
      </w:pPr>
      <w:r>
        <w:rPr/>
        <w:t>​</w:t>
      </w:r>
    </w:p>
    <w:p>
      <w:pPr>
        <w:pStyle w:val="TextBody"/>
        <w:pBdr/>
        <w:bidi w:val="0"/>
        <w:spacing w:before="0" w:after="0"/>
        <w:ind w:left="0" w:right="0" w:hanging="245"/>
        <w:jc w:val="left"/>
        <w:rPr>
          <w:rFonts w:ascii="Times New Roman;Times;serif" w:hAnsi="Times New Roman;Times;serif"/>
          <w:sz w:val="20"/>
        </w:rPr>
      </w:pPr>
      <w:r>
        <w:rPr>
          <w:rFonts w:ascii="Times New Roman;Times;serif" w:hAnsi="Times New Roman;Times;serif"/>
          <w:sz w:val="20"/>
        </w:rPr>
        <w:t>Payment of Filing Fee (Check the appropriate box):</w:t>
      </w:r>
    </w:p>
    <w:p>
      <w:pPr>
        <w:pStyle w:val="TextBody"/>
        <w:bidi w:val="0"/>
        <w:spacing w:before="0" w:after="0"/>
        <w:ind w:left="0" w:right="0" w:hanging="0"/>
        <w:jc w:val="left"/>
        <w:rPr/>
      </w:pPr>
      <w:r>
        <w:rPr/>
        <w:t>​</w:t>
      </w:r>
    </w:p>
    <w:tbl>
      <w:tblPr>
        <w:tblW w:w="1817" w:type="dxa"/>
        <w:jc w:val="left"/>
        <w:tblInd w:w="0" w:type="dxa"/>
        <w:tblLayout w:type="fixed"/>
        <w:tblCellMar>
          <w:top w:w="0" w:type="dxa"/>
          <w:left w:w="0" w:type="dxa"/>
          <w:bottom w:w="0" w:type="dxa"/>
          <w:right w:w="0" w:type="dxa"/>
        </w:tblCellMar>
      </w:tblPr>
      <w:tblGrid>
        <w:gridCol w:w="331"/>
        <w:gridCol w:w="148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 fee required. </w:t>
            </w:r>
          </w:p>
        </w:tc>
      </w:tr>
    </w:tbl>
    <w:p>
      <w:pPr>
        <w:pStyle w:val="TextBody"/>
        <w:bidi w:val="0"/>
        <w:spacing w:before="0" w:after="0"/>
        <w:ind w:left="0" w:right="0" w:hanging="0"/>
        <w:jc w:val="left"/>
        <w:rPr/>
      </w:pPr>
      <w:r>
        <w:rPr/>
        <w:t>​</w:t>
      </w:r>
    </w:p>
    <w:tbl>
      <w:tblPr>
        <w:tblW w:w="4352" w:type="dxa"/>
        <w:jc w:val="left"/>
        <w:tblInd w:w="0" w:type="dxa"/>
        <w:tblLayout w:type="fixed"/>
        <w:tblCellMar>
          <w:top w:w="0" w:type="dxa"/>
          <w:left w:w="0" w:type="dxa"/>
          <w:bottom w:w="0" w:type="dxa"/>
          <w:right w:w="0" w:type="dxa"/>
        </w:tblCellMar>
      </w:tblPr>
      <w:tblGrid>
        <w:gridCol w:w="331"/>
        <w:gridCol w:w="40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40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bl>
    <w:p>
      <w:pPr>
        <w:pStyle w:val="TextBody"/>
        <w:bidi w:val="0"/>
        <w:spacing w:before="0" w:after="0"/>
        <w:ind w:left="0" w:right="0" w:hanging="0"/>
        <w:jc w:val="left"/>
        <w:rPr/>
      </w:pPr>
      <w:r>
        <w:rPr/>
        <w:t>​</w:t>
      </w:r>
    </w:p>
    <w:tbl>
      <w:tblPr>
        <w:tblW w:w="8642" w:type="dxa"/>
        <w:jc w:val="left"/>
        <w:tblInd w:w="0" w:type="dxa"/>
        <w:tblLayout w:type="fixed"/>
        <w:tblCellMar>
          <w:top w:w="0" w:type="dxa"/>
          <w:left w:w="0" w:type="dxa"/>
          <w:bottom w:w="0" w:type="dxa"/>
          <w:right w:w="0" w:type="dxa"/>
        </w:tblCellMar>
      </w:tblPr>
      <w:tblGrid>
        <w:gridCol w:w="331"/>
        <w:gridCol w:w="831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31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 w:name="_8e2e1ce4_3412_452b_8cea_5119a6f8b6cd"/>
      <w:bookmarkEnd w:id="3"/>
      <w:r>
        <w:rPr/>
        <w:drawing>
          <wp:inline distT="0" distB="0" distL="0" distR="0">
            <wp:extent cx="1543685" cy="4622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685" cy="4622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00"/>
        <w:ind w:left="0" w:right="0" w:hanging="1"/>
        <w:jc w:val="left"/>
        <w:rPr>
          <w:rFonts w:ascii="Times New Roman;Times;serif" w:hAnsi="Times New Roman;Times;serif"/>
          <w:sz w:val="20"/>
        </w:rPr>
      </w:pPr>
      <w:r>
        <w:rPr>
          <w:rFonts w:ascii="Times New Roman;Times;serif" w:hAnsi="Times New Roman;Times;serif"/>
          <w:sz w:val="20"/>
        </w:rPr>
        <w:t>April 30, 2026</w:t>
      </w:r>
    </w:p>
    <w:p>
      <w:pPr>
        <w:pStyle w:val="TextBody"/>
        <w:pBdr/>
        <w:bidi w:val="0"/>
        <w:spacing w:before="0" w:after="200"/>
        <w:ind w:left="0" w:right="0" w:hanging="245"/>
        <w:jc w:val="left"/>
        <w:rPr>
          <w:rFonts w:ascii="Times New Roman;Times;serif" w:hAnsi="Times New Roman;Times;serif"/>
          <w:sz w:val="20"/>
        </w:rPr>
      </w:pPr>
      <w:r>
        <w:rPr>
          <w:rFonts w:ascii="Times New Roman;Times;serif" w:hAnsi="Times New Roman;Times;serif"/>
          <w:sz w:val="20"/>
        </w:rPr>
        <w:t>Dear Stockholder,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cordially invite you to attend the 2026 Annual Meeting of Stockholders of Protalix BioTherapeutics, Inc. to be held at 3:00 P.M. IDT (8:00 A.M. EDT) on June 25, 2026 at the offices of LifeSci Advisors, our Investor Relations advisors, at Azrieli Center Round Tower, Derech Menachem Begin 132, 11th Floor, Tel Aviv 6701203, Israel.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attached notice of annual meeting and proxy statement describe the business we will conduct at the meeting and provide information that you should consider when you vote your shares. As set forth in the attached proxy statement, the meeting will be held to:</w:t>
      </w:r>
    </w:p>
    <w:p>
      <w:pPr>
        <w:pStyle w:val="TextBody"/>
        <w:bidi w:val="0"/>
        <w:spacing w:before="0" w:after="0"/>
        <w:ind w:left="0" w:right="0" w:firstLine="720"/>
        <w:jc w:val="left"/>
        <w:rPr/>
      </w:pPr>
      <w:r>
        <w:rPr/>
        <w:t>​</w:t>
      </w:r>
    </w:p>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 the election of directors;</w:t>
            </w:r>
          </w:p>
        </w:tc>
      </w:tr>
    </w:tbl>
    <w:p>
      <w:pPr>
        <w:pStyle w:val="TextBody"/>
        <w:pBdr/>
        <w:bidi w:val="0"/>
        <w:spacing w:before="0" w:after="0"/>
        <w:ind w:left="720" w:right="0" w:hanging="360"/>
        <w:jc w:val="left"/>
        <w:rPr/>
      </w:pPr>
      <w:r>
        <w:rPr/>
        <w:t>​</w:t>
      </w:r>
    </w:p>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an advisory vote on executive compensation;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Amended and Restated Protalix BioTherapeutics, Inc. 2006 Stock Incentive Plan (the “Plan”), to increase the number of shares of common stock available under the Plan from 17,475,171 shares to 20,975,171 shares and to amend certain other terms of the Plan; and</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ratify the appointment of our independent registered public accounting firm for the fiscal year ending December 31, 2026.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Please take the time to carefully read each of the proposals you are being asked to consider and vote on.</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Please promptly vote your shares either via the Internet, by telephone or by marking, signing, dating and returning the proxy card in the enclosed envelope. Your vote is important, whether or not you attend the meeting in person. We encourage you to vote by proxy so that your shares will be represented and voted at the meeting. If you decide to attend the meeting and vote in person, your proxy may be revoked at your request.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appreciate your support and look forward to your attending the meeting.</w:t>
      </w:r>
    </w:p>
    <w:p>
      <w:pPr>
        <w:pStyle w:val="TextBody"/>
        <w:bidi w:val="0"/>
        <w:spacing w:before="0" w:after="0"/>
        <w:ind w:left="0" w:right="0" w:hanging="0"/>
        <w:jc w:val="left"/>
        <w:rPr/>
      </w:pPr>
      <w:r>
        <w:rPr/>
        <w:t>​</w:t>
      </w:r>
    </w:p>
    <w:tbl>
      <w:tblPr>
        <w:tblW w:w="3950" w:type="dxa"/>
        <w:jc w:val="left"/>
        <w:tblInd w:w="0" w:type="dxa"/>
        <w:tblLayout w:type="fixed"/>
        <w:tblCellMar>
          <w:top w:w="0" w:type="dxa"/>
          <w:left w:w="0" w:type="dxa"/>
          <w:bottom w:w="0" w:type="dxa"/>
          <w:right w:w="0" w:type="dxa"/>
        </w:tblCellMar>
      </w:tblPr>
      <w:tblGrid>
        <w:gridCol w:w="3796"/>
        <w:gridCol w:w="154"/>
      </w:tblGrid>
      <w:tr>
        <w:trPr/>
        <w:tc>
          <w:tcPr>
            <w:tcW w:w="37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drawing>
                <wp:inline distT="0" distB="0" distL="0" distR="0">
                  <wp:extent cx="904875" cy="1447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 cy="144780"/>
                          </a:xfrm>
                          <a:prstGeom prst="rect">
                            <a:avLst/>
                          </a:prstGeom>
                        </pic:spPr>
                      </pic:pic>
                    </a:graphicData>
                  </a:graphic>
                </wp:inline>
              </w:drawing>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Gilad Mamlok</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Sr.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2 University Plaza, Suite 100, Hackensack, NJ 07601</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Tel: 1-201-696-9435 | Web: www.protalix.com</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 w:name="_1e0c2ce2_db5a_413a_a3dc_5efdc841ab91"/>
      <w:bookmarkEnd w:id="4"/>
      <w:r>
        <w:rPr>
          <w:rFonts w:ascii="Times New Roman;Times;serif" w:hAnsi="Times New Roman;Times;serif"/>
          <w:b/>
          <w:sz w:val="20"/>
        </w:rPr>
        <w:t>NOTICE OF 2026 ANNUAL MEETING OF STOCKHOLDERS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 BE HELD ON JUNE 25,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Stockholders of Protalix BioTherapeutics,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2026 Annual Meeting of Stockholders of Protalix BioTherapeutics, Inc. (the “Company”) will be held at the following time, date and place for the following purposes:</w:t>
      </w:r>
    </w:p>
    <w:p>
      <w:pPr>
        <w:pStyle w:val="Normal"/>
        <w:bidi w:val="0"/>
        <w:spacing w:before="0" w:after="0"/>
        <w:jc w:val="left"/>
        <w:rPr>
          <w:sz w:val="4"/>
          <w:szCs w:val="4"/>
        </w:rPr>
      </w:pPr>
      <w:r>
        <w:rPr>
          <w:sz w:val="4"/>
          <w:szCs w:val="4"/>
        </w:rPr>
      </w:r>
      <w:bookmarkStart w:id="5" w:name="_Hlk227891025"/>
      <w:bookmarkStart w:id="6" w:name="_Hlk227891025"/>
      <w:bookmarkEnd w:id="6"/>
    </w:p>
    <w:tbl>
      <w:tblPr>
        <w:tblW w:w="10205" w:type="dxa"/>
        <w:jc w:val="left"/>
        <w:tblInd w:w="0" w:type="dxa"/>
        <w:tblLayout w:type="fixed"/>
        <w:tblCellMar>
          <w:top w:w="0" w:type="dxa"/>
          <w:left w:w="0" w:type="dxa"/>
          <w:bottom w:w="0" w:type="dxa"/>
          <w:right w:w="0" w:type="dxa"/>
        </w:tblCellMar>
      </w:tblPr>
      <w:tblGrid>
        <w:gridCol w:w="1086"/>
        <w:gridCol w:w="9119"/>
      </w:tblGrid>
      <w:tr>
        <w:trPr/>
        <w:tc>
          <w:tcPr>
            <w:tcW w:w="1086"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 P.M. IDT (8:00 A.M. EDT)</w:t>
            </w:r>
          </w:p>
        </w:tc>
      </w:tr>
      <w:tr>
        <w:trPr/>
        <w:tc>
          <w:tcPr>
            <w:tcW w:w="1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 P.M. IDT (8:00 A.M. EDT)</w:t>
            </w:r>
          </w:p>
        </w:tc>
      </w:tr>
      <w:tr>
        <w:trPr/>
        <w:tc>
          <w:tcPr>
            <w:tcW w:w="1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25, 2026</w:t>
            </w:r>
          </w:p>
        </w:tc>
      </w:tr>
      <w:tr>
        <w:trPr/>
        <w:tc>
          <w:tcPr>
            <w:tcW w:w="1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PLACE:</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LifeSci Advisors, Azrieli Center Round Tower, Derech Menachem Begin 132, 11th Floor, Tel Aviv 6701203, Israel</w:t>
            </w:r>
          </w:p>
        </w:tc>
      </w:tr>
      <w:tr>
        <w:trPr/>
        <w:tc>
          <w:tcPr>
            <w:tcW w:w="1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PURPOSES:</w:t>
            </w:r>
          </w:p>
        </w:tc>
        <w:tc>
          <w:tcPr>
            <w:tcW w:w="9119" w:type="dxa"/>
            <w:tcBorders/>
            <w:vAlign w:val="center"/>
          </w:tcPr>
          <w:p>
            <w:pPr>
              <w:pStyle w:val="TableContents"/>
              <w:bidi w:val="0"/>
              <w:spacing w:before="0" w:after="0"/>
              <w:ind w:left="0" w:right="0" w:hanging="0"/>
              <w:jc w:val="left"/>
              <w:rPr/>
            </w:pPr>
            <w:r>
              <w:rPr/>
              <w:t>​</w:t>
            </w:r>
          </w:p>
        </w:tc>
      </w:tr>
      <w:tr>
        <w:trPr/>
        <w:tc>
          <w:tcPr>
            <w:tcW w:w="1086"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r>
              <w:rPr/>
              <w:t>​</w:t>
            </w:r>
          </w:p>
        </w:tc>
      </w:tr>
      <w:tr>
        <w:trPr/>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elect eight members to the Board of Directors to serve for the ensuing year or until their respective successors have been duly elected and qualified;</w:t>
            </w:r>
          </w:p>
        </w:tc>
      </w:tr>
      <w:tr>
        <w:trPr/>
        <w:tc>
          <w:tcPr>
            <w:tcW w:w="1086" w:type="dxa"/>
            <w:tcBorders/>
            <w:vAlign w:val="center"/>
          </w:tcPr>
          <w:p>
            <w:pPr>
              <w:pStyle w:val="TableContents"/>
              <w:bidi w:val="0"/>
              <w:spacing w:before="0" w:after="0"/>
              <w:ind w:left="0" w:right="0" w:hanging="0"/>
              <w:jc w:val="right"/>
              <w:rPr/>
            </w:pPr>
            <w:r>
              <w:rPr/>
              <w:t>​</w:t>
            </w:r>
          </w:p>
        </w:tc>
        <w:tc>
          <w:tcPr>
            <w:tcW w:w="9119" w:type="dxa"/>
            <w:tcBorders/>
            <w:vAlign w:val="center"/>
          </w:tcPr>
          <w:p>
            <w:pPr>
              <w:pStyle w:val="TableContents"/>
              <w:bidi w:val="0"/>
              <w:spacing w:before="0" w:after="0"/>
              <w:ind w:left="0" w:right="0" w:hanging="0"/>
              <w:jc w:val="left"/>
              <w:rPr/>
            </w:pPr>
            <w:r>
              <w:rPr/>
              <w:t>​</w:t>
            </w:r>
          </w:p>
        </w:tc>
      </w:tr>
      <w:tr>
        <w:trPr/>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approve, on a non-binding advisory basis, the compensation of the Company’s named executive officers as disclosed in the proxy statement that accompanies this notice;</w:t>
            </w:r>
          </w:p>
        </w:tc>
      </w:tr>
      <w:tr>
        <w:trPr/>
        <w:tc>
          <w:tcPr>
            <w:tcW w:w="1086" w:type="dxa"/>
            <w:tcBorders/>
            <w:vAlign w:val="center"/>
          </w:tcPr>
          <w:p>
            <w:pPr>
              <w:pStyle w:val="TableContents"/>
              <w:bidi w:val="0"/>
              <w:spacing w:before="0" w:after="0"/>
              <w:ind w:left="0" w:right="0" w:hanging="0"/>
              <w:jc w:val="right"/>
              <w:rPr/>
            </w:pPr>
            <w:r>
              <w:rPr/>
              <w:t>​</w:t>
            </w:r>
          </w:p>
        </w:tc>
        <w:tc>
          <w:tcPr>
            <w:tcW w:w="9119" w:type="dxa"/>
            <w:tcBorders/>
            <w:vAlign w:val="center"/>
          </w:tcPr>
          <w:p>
            <w:pPr>
              <w:pStyle w:val="TableContents"/>
              <w:bidi w:val="0"/>
              <w:spacing w:before="0" w:after="0"/>
              <w:ind w:left="0" w:right="0" w:hanging="0"/>
              <w:jc w:val="left"/>
              <w:rPr/>
            </w:pPr>
            <w:r>
              <w:rPr/>
              <w:t>​</w:t>
            </w:r>
          </w:p>
        </w:tc>
      </w:tr>
      <w:tr>
        <w:trPr/>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approve the Amended and Restated Protalix BioTherapeutics, Inc. 2006 Stock Incentive Plan (the “Plan”), to increase the number of shares of common stock available under the Plan from 17,475,171 shares to 20,975,171 shares and to amend certain other terms of the Plan;</w:t>
            </w:r>
          </w:p>
        </w:tc>
      </w:tr>
      <w:tr>
        <w:trPr/>
        <w:tc>
          <w:tcPr>
            <w:tcW w:w="1086" w:type="dxa"/>
            <w:tcBorders/>
            <w:vAlign w:val="center"/>
          </w:tcPr>
          <w:p>
            <w:pPr>
              <w:pStyle w:val="TableContents"/>
              <w:bidi w:val="0"/>
              <w:spacing w:before="0" w:after="0"/>
              <w:ind w:left="0" w:right="0" w:hanging="0"/>
              <w:jc w:val="right"/>
              <w:rPr/>
            </w:pPr>
            <w:r>
              <w:rPr/>
              <w:t>​</w:t>
            </w:r>
          </w:p>
        </w:tc>
        <w:tc>
          <w:tcPr>
            <w:tcW w:w="9119" w:type="dxa"/>
            <w:tcBorders/>
            <w:vAlign w:val="center"/>
          </w:tcPr>
          <w:p>
            <w:pPr>
              <w:pStyle w:val="TableContents"/>
              <w:bidi w:val="0"/>
              <w:spacing w:before="0" w:after="0"/>
              <w:ind w:left="0" w:right="0" w:hanging="0"/>
              <w:jc w:val="left"/>
              <w:rPr/>
            </w:pPr>
            <w:r>
              <w:rPr/>
              <w:t>​</w:t>
            </w:r>
          </w:p>
        </w:tc>
      </w:tr>
      <w:tr>
        <w:trPr/>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ratify the appointment of Kesselman &amp; Kesselman, Certified Public Accountant (Isr.), a member of PricewaterhouseCoopers International Limited, as the Company’s independent registered public accounting firm for the fiscal year ending December 31, 2026; and</w:t>
            </w:r>
          </w:p>
        </w:tc>
      </w:tr>
      <w:tr>
        <w:trPr/>
        <w:tc>
          <w:tcPr>
            <w:tcW w:w="1086" w:type="dxa"/>
            <w:tcBorders/>
            <w:vAlign w:val="center"/>
          </w:tcPr>
          <w:p>
            <w:pPr>
              <w:pStyle w:val="TableContents"/>
              <w:bidi w:val="0"/>
              <w:spacing w:before="0" w:after="0"/>
              <w:ind w:left="0" w:right="0" w:hanging="0"/>
              <w:jc w:val="right"/>
              <w:rPr/>
            </w:pPr>
            <w:r>
              <w:rPr/>
              <w:t>​</w:t>
            </w:r>
          </w:p>
        </w:tc>
        <w:tc>
          <w:tcPr>
            <w:tcW w:w="9119" w:type="dxa"/>
            <w:tcBorders/>
            <w:vAlign w:val="center"/>
          </w:tcPr>
          <w:p>
            <w:pPr>
              <w:pStyle w:val="TableContents"/>
              <w:bidi w:val="0"/>
              <w:spacing w:before="0" w:after="0"/>
              <w:ind w:left="0" w:right="0" w:hanging="0"/>
              <w:jc w:val="left"/>
              <w:rPr/>
            </w:pPr>
            <w:r>
              <w:rPr/>
              <w:t>​</w:t>
            </w:r>
          </w:p>
        </w:tc>
      </w:tr>
      <w:tr>
        <w:trPr/>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9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transact such other business that is properly presented at the meeting or any postponement or adjournment thereof.</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All of these proposals are more fully described in the proxy statement that follows. You may vote at the meeting and any adjournments or postponements thereof if you were the record owner of the Company’s common stock at the close of business on April 30, 2026 (the “Record Date”). A list of stockholders of record will be available at the meeting and, during the 10 days prior to the annual meeting, at the office of the Company’s Corporate Secretary in the headquarters at 2 Snunit Street, Science Park, Carmiel 2161401, Israel.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Your vote is important. Whether or not you are able to attend the meeting in person, please vote via the Internet, telephone or by returning the enclosed proxy card by mail so that your shares may be represented at the meeting. We recommend arriving early to the meeting as there may be delays at the entrance to the meeting venue.</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Please sign, date and promptly return the enclosed proxy card in the enclosed envelope, or vote by telephone or Internet (instructions are on your proxy card), so that your shares will be represented whether or not you attend the annual meeting.</w:t>
      </w:r>
    </w:p>
    <w:tbl>
      <w:tblPr>
        <w:tblW w:w="5507" w:type="dxa"/>
        <w:jc w:val="left"/>
        <w:tblInd w:w="0" w:type="dxa"/>
        <w:tblLayout w:type="fixed"/>
        <w:tblCellMar>
          <w:top w:w="0" w:type="dxa"/>
          <w:left w:w="0" w:type="dxa"/>
          <w:bottom w:w="0" w:type="dxa"/>
          <w:right w:w="0" w:type="dxa"/>
        </w:tblCellMar>
      </w:tblPr>
      <w:tblGrid>
        <w:gridCol w:w="1336"/>
        <w:gridCol w:w="4171"/>
      </w:tblGrid>
      <w:tr>
        <w:trPr/>
        <w:tc>
          <w:tcPr>
            <w:tcW w:w="1336"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336"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pPr>
            <w:r>
              <w:rPr/>
              <w:drawing>
                <wp:inline distT="0" distB="0" distL="0" distR="0">
                  <wp:extent cx="904875" cy="1447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 cy="144780"/>
                          </a:xfrm>
                          <a:prstGeom prst="rect">
                            <a:avLst/>
                          </a:prstGeom>
                        </pic:spPr>
                      </pic:pic>
                    </a:graphicData>
                  </a:graphic>
                </wp:inline>
              </w:drawing>
            </w:r>
          </w:p>
        </w:tc>
      </w:tr>
      <w:tr>
        <w:trPr/>
        <w:tc>
          <w:tcPr>
            <w:tcW w:w="1336"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Gilad Mamlok</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Carmiel, Israel </w:t>
              <w:br/>
              <w:t>April 30, 2026</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Sr. Vice President and Chief Financial Officer and</w:t>
              <w:br/>
              <w:t>Corporate Secretary</w:t>
            </w:r>
          </w:p>
        </w:tc>
      </w:tr>
    </w:tbl>
    <w:p>
      <w:pPr>
        <w:pStyle w:val="TextBody"/>
        <w:bidi w:val="0"/>
        <w:spacing w:before="0" w:after="240"/>
        <w:ind w:left="144"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7" w:name="_6354a0b8_36fc_4119_8626_5581287db886"/>
      <w:bookmarkEnd w:id="7"/>
      <w:r>
        <w:rPr>
          <w:rFonts w:ascii="Times New Roman;Times;serif" w:hAnsi="Times New Roman;Times;serif"/>
          <w:b/>
          <w:sz w:val="20"/>
        </w:rPr>
        <w:t xml:space="preserve">Protalix BioTherapeutics, Inc. </w:t>
      </w:r>
    </w:p>
    <w:p>
      <w:pPr>
        <w:pStyle w:val="TextBody"/>
        <w:bidi w:val="0"/>
        <w:spacing w:before="0" w:after="0"/>
        <w:ind w:left="0" w:right="0" w:firstLine="403"/>
        <w:jc w:val="center"/>
        <w:rPr>
          <w:rFonts w:ascii="Times New Roman;Times;serif" w:hAnsi="Times New Roman;Times;serif"/>
          <w:b/>
          <w:sz w:val="20"/>
        </w:rPr>
      </w:pPr>
      <w:r>
        <w:rPr>
          <w:rFonts w:ascii="Times New Roman;Times;serif" w:hAnsi="Times New Roman;Times;serif"/>
          <w:b/>
          <w:sz w:val="20"/>
        </w:rPr>
        <w:t>2 University Plaza, Suite 100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Hackensack, NJ 07601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201-696-9345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FOR 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ANNUAL MEETING OF STOCKHOLDERS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 BE HELD ON JUNE 25, 2026</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GENERAL INFORMATION ABOUT THE ANNUAL MEETING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Why Did You Send Me This Proxy Statement?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sent you this proxy statement and the enclosed proxy card because the Board of Directors of the Company is soliciting your proxy to vote at the 2026 Annual Meeting of Stockholders and any adjournments of the meeting to be held at 3:00 P.M. IDT (8:00 A.M. EDT) on June 25, 2026 at the offices of LifeSci Advisors, our Investor Relations advisors, Azrieli Center Round Tower, Derech Menachem Begin 132, 11th Floor, Tel Aviv 6701203, Israel. This proxy statement, along with the accompanying Notice of Annual Meeting of Stockholders, summarizes the purposes of the meeting and the information you need to know to vote at the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anticipate that on or about May 8, 2026, we will begin sending this proxy statement, the attached Notice of Annual Meeting and the form of proxy enclosed to all stockholders entitled to vote at the meeting. Although not part of this proxy statement, we are also sending along with this proxy statement our Annual Report on Form 10-K which includes financial statements for the fiscal year ended December 31, 2025 (the “FY2025 Annual Report”). You can also find a copy of the FY2025 Annual Report via EDGAR, the electronic data system provided by the Securities and Exchange Commission (the “SEC”), at http://www.sec.gov or through the Investor Relations section of our website at http://www.protalix.com. Our FY2025 Annual Report and the information on our website other than this proxy statement are not part of our proxy soliciting materials. Additional copies of the FY2025 Annual Report are available upon request.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Who Can Vote?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Only holders of record of our common stock, par value $0.001 per share, on April 30, 2026 (the “Record Date”), are entitled to vote at the meeting. On the Record Date, there were 80,571,642 shares of common stock outstanding and entitled to vote. The common stock is currently our only outstanding class of voting stock.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You do not need to attend the meeting to vote your shares. Shares represented by valid proxies, received in time for the meeting and not revoked prior to the meeting, will be voted at the meeting.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How Many Votes Do I Have?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Each share of common stock that you own entitles you to one vote.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How Do I Vote?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Whether you plan to attend the meeting or not, we urge you to vote by proxy. Voting by proxy will not affect your right to attend the meeting. If your shares are registered directly in your name through our stock transfer agent, Equiniti Trust Company, LLC, or you have stock certificates, you may vote: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By mail.</w:t>
            </w:r>
            <w:r>
              <w:rPr>
                <w:caps w:val="false"/>
                <w:smallCaps w:val="false"/>
              </w:rPr>
              <w:t xml:space="preserve"> </w:t>
            </w:r>
            <w:r>
              <w:rPr>
                <w:rFonts w:ascii="Times New Roman;Times;serif" w:hAnsi="Times New Roman;Times;serif"/>
                <w:b w:val="false"/>
                <w:i w:val="false"/>
                <w:caps w:val="false"/>
                <w:smallCaps w:val="false"/>
                <w:sz w:val="20"/>
              </w:rPr>
              <w:t>Complete, date, sign and mail the enclosed proxy card in the enclosed postage prepaid envelope. Your proxy will be voted in accordance with your instructions. If you sign the proxy card but do not specify how you want your shares voted, they will be voted as recommended by our Board of Directors.</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By Internet or by telephone.</w:t>
            </w:r>
            <w:r>
              <w:rPr>
                <w:caps w:val="false"/>
                <w:smallCaps w:val="false"/>
              </w:rPr>
              <w:t xml:space="preserve"> </w:t>
            </w:r>
            <w:r>
              <w:rPr>
                <w:rFonts w:ascii="Times New Roman;Times;serif" w:hAnsi="Times New Roman;Times;serif"/>
                <w:b w:val="false"/>
                <w:i w:val="false"/>
                <w:caps w:val="false"/>
                <w:smallCaps w:val="false"/>
                <w:sz w:val="20"/>
              </w:rPr>
              <w:t>Follow the instructions attached to the proxy card to vote by Internet or telephone.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 person at the meeting.</w:t>
            </w:r>
            <w:r>
              <w:rPr>
                <w:caps w:val="false"/>
                <w:smallCaps w:val="false"/>
              </w:rPr>
              <w:t xml:space="preserve"> </w:t>
            </w:r>
            <w:r>
              <w:rPr>
                <w:rFonts w:ascii="Times New Roman;Times;serif" w:hAnsi="Times New Roman;Times;serif"/>
                <w:b w:val="false"/>
                <w:i w:val="false"/>
                <w:caps w:val="false"/>
                <w:smallCaps w:val="false"/>
                <w:sz w:val="20"/>
              </w:rPr>
              <w:t>If you attend the meeting, you may deliver your completed proxy card in person or you may vote by completing a ballot, which will be available at the meeting. We recommend arriving early to the meeting as there may be delays at the entrance to the meeting venue.</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If your shares are held in “street name” (held in the name of a bank, broker or other nominee), you must provide the bank, broker or other nominee with instructions on how to vote your shares and can generally do so as follows: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By mail.</w:t>
            </w:r>
            <w:r>
              <w:rPr>
                <w:caps w:val="false"/>
                <w:smallCaps w:val="false"/>
              </w:rPr>
              <w:t xml:space="preserve"> </w:t>
            </w:r>
            <w:r>
              <w:rPr>
                <w:rFonts w:ascii="Times New Roman;Times;serif" w:hAnsi="Times New Roman;Times;serif"/>
                <w:b w:val="false"/>
                <w:i w:val="false"/>
                <w:caps w:val="false"/>
                <w:smallCaps w:val="false"/>
                <w:sz w:val="20"/>
              </w:rPr>
              <w:t>Complete, date, sign and mail the enclosed proxy card in the enclosed postage prepaid envelope. Your proxy will be voted in accordance with your instructions. If you sign the proxy card but do not specify how you want your shares voted, they will be voted as recommended by our Board of Directors.</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By Internet or by telephone. </w:t>
            </w:r>
            <w:r>
              <w:rPr>
                <w:rFonts w:ascii="Times New Roman;Times;serif" w:hAnsi="Times New Roman;Times;serif"/>
                <w:b w:val="false"/>
                <w:i w:val="false"/>
                <w:caps w:val="false"/>
                <w:smallCaps w:val="false"/>
                <w:sz w:val="20"/>
              </w:rPr>
              <w:t>Follow the instructions attached to the proxy card to vote by Internet or telephone.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In person at the meeting. </w:t>
            </w:r>
            <w:r>
              <w:rPr>
                <w:rFonts w:ascii="Times New Roman;Times;serif" w:hAnsi="Times New Roman;Times;serif"/>
                <w:b w:val="false"/>
                <w:i w:val="false"/>
                <w:caps w:val="false"/>
                <w:smallCaps w:val="false"/>
                <w:sz w:val="20"/>
              </w:rPr>
              <w:t>If you attend the meeting, you may deliver your completed proxy card in person or you may vote by completing a ballot, which will be available at the meeting. We recommend arriving early to the meeting as there may be delays at the entrance to the meeting venue.</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you need assistance in voting by telephone or over the Internet or completing your proxy card or have questions regarding the meeting, please contact our proxy advisor:</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Alliance Advisors, LLC</w:t>
        <w:br/>
        <w:t>150 Clove Road #400</w:t>
        <w:br/>
        <w:t>Little Falls Township, NJ 07424</w:t>
        <w:br/>
        <w:t>+1-844-202-5989 (toll free in the United States)</w:t>
        <w:br/>
        <w:t>PLX@AllianceAdvisors.com</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What Am I Voting 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You are voting 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eight members to our Board of Directors to serve for the ensuing year or until their respective successors have been duly elected and qualified (Eliot Richard Forster, Ph.D., Dror Bashan, Amos Bar Shalev, Shmuel “Muli” Ben Zvi, Ph.D., Pol F. Boudes, M.D., Christian Elze, Gwen A. Melincoff, and Aharon Schwartz, Ph.D.).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compensation of our named executive officers as disclosed in this proxy statement.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Amended and Restated Protalix BioTherapeutics, Inc. 2006 Stock Incentive Plan (the “Plan”), in order to increase the number of shares of common stock available under the Plan from 17,475,171 shares to 20,975,171 shares and to amend certain other terms of the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Kesselman and Kesselman, Certified Public Accountant (Isr.), a member of PricewaterhouseCoopers International Limited, as our independent registered public accounting firm for the fiscal year ending December 31, 2026.</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How Does The Board Of Directors Recommend That I Vote At The Annual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Board of Directors recommends that you vote as follows:</w:t>
      </w:r>
    </w:p>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election of all director nominees named in “Proposal 1: Election of Directors” of this proxy statement.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approval, on a non-binding advisory basis, of our executive compensation as disclosed in the proxy statement that accompanies this notice and as described in “Proposal 2: Advisory Vote on Executive Compensation” of this proxy statement.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approval of the Plan in order to increase the number of shares of common stock available under the Plan from 17,475,171 shares to 20,975,171 shares and to amend certain other terms of the Plan as disclosed in the proxy statement that accompanies this notice and as described in “Proposal 3: Approval of the Stock Incentive Plan</w:t>
            </w:r>
            <w:r>
              <w:rPr>
                <w:caps w:val="false"/>
                <w:smallCaps w:val="false"/>
                <w:color w:val="231F20"/>
              </w:rPr>
              <w:t xml:space="preserve">” </w:t>
            </w:r>
            <w:r>
              <w:rPr>
                <w:rFonts w:ascii="Times New Roman;Times;serif" w:hAnsi="Times New Roman;Times;serif"/>
                <w:b w:val="false"/>
                <w:i w:val="false"/>
                <w:caps w:val="false"/>
                <w:smallCaps w:val="false"/>
                <w:color w:val="231F20"/>
                <w:sz w:val="20"/>
              </w:rPr>
              <w:t>of this proxy statement</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ratification of Kesselman and Kesselman as our independent registered public accounting firm for the 2026 fiscal year, as named in “Proposal 4: Ratification of Independent Registered Public Accounting Firm” of this proxy statement.</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any other matter is properly presented at the meeting or any adjournment or postponement thereof, the proxy card provides that your shares will be voted by the proxy holder listed on the proxy card in accordance with his or her best judgment. At the time this proxy statement was printed, we knew of no matters that needed to be acted on at the annual meeting, other than those discussed in this proxy statement.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Constitutes A Quorum For The Annual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Of the 80,571,642 shares of common stock outstanding as of the Record Date, the holders of at least one-third (1/3) of those shares, or at least 26,857,214 shares, must be present at the meeting in person or represented by proxy to hold the meeting and conduct business. Once a quorum is established at a meeting, it shall not be broken by the withdrawal of enough votes to leave less than a quorum. Shares held by stockholders of record who are present at the meeting in person or by proxy are counted for purposes of determining whether a quorum exists. Abstentions and “broker non-votes” are also counted as present and entitled to vote for purposes of determining whether a quorum exists. If a quorum is not present, the meeting will be adjourned until a quorum is obtained.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Are The Voting Requirements To Approve A Proposal?</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Election of directors</w:t>
      </w:r>
    </w:p>
    <w:p>
      <w:pPr>
        <w:pStyle w:val="TextBody"/>
        <w:bidi w:val="0"/>
        <w:spacing w:before="0" w:after="0"/>
        <w:ind w:left="0" w:right="0" w:firstLine="720"/>
        <w:jc w:val="left"/>
        <w:rPr/>
      </w:pPr>
      <w:r>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Director nominees will be elected by a plurality of votes cast, which means that the director nominees receiving the highest number of votes will be elected. In voting to elect nominees to the Board of Directors, stockholders may vote in favor of all the nominees or any individual nominee or withhold their votes as to all the nominees or any individual nominee. Only “FOR” and “WITHHOLD” votes will affect the outcome. Abstentions and broker non-votes will have no effect on Proposal 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Approval of non-binding advisory resolution on executive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You may vote “FOR,” “AGAINST,” or “ABSTAIN” on the advisory vote to approve executive compensation. Approval requires the affirmative vote of the majority of shares present in person or represented by proxy at the meeting and entitled to vote on the resolution. The outcome of this vote is not binding; however, the Board of Directors and the Compensation Committee will consider the outcome of the vote when developing and reviewing the future executive compensation plans. Abstentions and broker non-votes will have no effect on Proposal 2.</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Adoption of amendments to the Plan to increase the number of authorized shares of common stock reserved for issuance under the Plan and to amend certain other terms of the Plan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You may vote “FOR,” “AGAINST,” or “ABSTAIN” on the approval of the Plan. If a quorum is present, adoption of the amendment requires that the number of votes cast at the meeting in favor of adoption exceeds the number of votes cast opposing adoption. Abstentions and broker non-votes will have no effect on Proposal 3.</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Ratification of the selection of Kesselman &amp; Kesselman as our independent auditor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You may vote “FOR,” “AGAINST,” or “ABSTAIN” on the ratification of the selection of Kesselman &amp; Kesselman to serve as our principal independent registered public accounting firm for the fiscal year ending December 31, 2026. Ratification of the appointment of our independent registered public accounting firm requires the affirmative vote of the majority of shares present in person or represented by proxy at the meeting and entitled to vote on the proposal. Abstentions will have no effect on Proposal 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How Are My Votes Cast When I Sign And Return A Proxy Card?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When you sign the proxy card or submit your proxy by telephone or over the Internet, you appoint Dror Bashan, our President and Chief Executive Officer, and Gilad Mamlok, our Sr. Vice President and Chief Financial Officer, as your representatives at the meeting. Either Mr. Bashan or Mr. Mamlok will vote your shares at the meeting as you have instructed them on the proxy card. Each such person may appoint a substitute for himself.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Even if you plan to attend the meeting, it is a good idea to complete, sign, and return your proxy card or submit your proxy by telephone or over the Internet in advance of the meeting in case your plans change. This way, your shares will be voted by you whether or not you actually attend the meeting. We recommend arriving early to the meeting as there may be delays at the entrance to the meeting venue.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May I Revoke My Proxy?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If you give us your proxy, you may revoke it at any time before it is voted at the meeting. There will be no double counting of votes. You may revoke your proxy in any one of the following ways: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entering a new vote or by granting a new proxy card or new voting instruction bearing a later date (which automatically revokes the earlier instructions);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re-voting by Internet or by telephone as instructed above (only your latest Internet or telephone vote will be counted);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notifying our Corporate Secretary, Gilad Mamlok, in writing before the meeting that you have revoked your proxy;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the meeting in person and voting in person. Attending the meeting in person will not in and of itself revoke a previously submitted proxy unless you specifically request it.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Can My Broker Vote My Shares For 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 broker “non-vote” occurs when a broker or nominee holding shares for a beneficial owner does not vote on a particular matter because the matter is not routine and such broker or nominee does not have the discretionary voting authority to vote the shares for which it is the holder of record with respect to a particular matter at the meeting and such broker or nominee has not received instructions from the beneficial owner. Broker “non-votes,” and shares as to which proxy authority has been withheld with respect to any matter, are generally not deemed to be entitled to vote for purposes of determining whether stockholders’ approval of that matter has been obtained. Pursuant to New York Stock Exchange (“NYSE”) Rule 452, the uncontested election of directors (Proposal No. 1) and the approval of a non-binding advisory resolution on executive compensation (Proposal No. 2) </w:t>
      </w:r>
      <w:r>
        <w:rPr>
          <w:rFonts w:ascii="Times New Roman;Times;serif" w:hAnsi="Times New Roman;Times;serif"/>
          <w:color w:val="231F20"/>
          <w:sz w:val="20"/>
        </w:rPr>
        <w:t xml:space="preserve">and the adoption of amendments to the </w:t>
      </w:r>
      <w:r>
        <w:rPr>
          <w:rFonts w:ascii="Times New Roman;Times;serif" w:hAnsi="Times New Roman;Times;serif"/>
          <w:sz w:val="20"/>
        </w:rPr>
        <w:t>Plan</w:t>
      </w:r>
      <w:r>
        <w:rPr>
          <w:rFonts w:ascii="Times New Roman;Times;serif" w:hAnsi="Times New Roman;Times;serif"/>
          <w:color w:val="231F20"/>
          <w:sz w:val="20"/>
        </w:rPr>
        <w:t xml:space="preserve"> (Proposal </w:t>
      </w:r>
      <w:r>
        <w:rPr>
          <w:rFonts w:ascii="Times New Roman;Times;serif" w:hAnsi="Times New Roman;Times;serif"/>
          <w:color w:val="231F20"/>
          <w:spacing w:val="-4"/>
          <w:sz w:val="20"/>
        </w:rPr>
        <w:t>No. </w:t>
      </w:r>
      <w:r>
        <w:rPr>
          <w:rFonts w:ascii="Times New Roman;Times;serif" w:hAnsi="Times New Roman;Times;serif"/>
          <w:color w:val="231F20"/>
          <w:sz w:val="20"/>
        </w:rPr>
        <w:t>3)</w:t>
      </w:r>
      <w:r>
        <w:rPr>
          <w:rFonts w:ascii="Times New Roman;Times;serif" w:hAnsi="Times New Roman;Times;serif"/>
          <w:sz w:val="20"/>
        </w:rPr>
        <w:t xml:space="preserve"> are non-routine matters and, therefore, may not be voted upon by brokers without instructions from beneficial owners. Consequently, proxies submitted by brokers for shares beneficially owned by other persons may not, in the absence of specific instructions from such beneficial owners, vote the shares in favor of or withhold votes from such proposals at the brokers’ discretion. The ratification of the selection of Kesselman &amp; Kesselman to serve as our principal independent registered public accounting firm for the fiscal year ending December 31, 2026 (Proposal No. 4) is a routine matter. </w:t>
      </w:r>
      <w:r>
        <w:rPr>
          <w:rFonts w:ascii="Times New Roman;Times;serif" w:hAnsi="Times New Roman;Times;serif"/>
          <w:b/>
          <w:sz w:val="20"/>
        </w:rPr>
        <w:t>Please complete your proxy and return it as instructed so your vote can be counted.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If I Receive More Than One Proxy Card?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You may receive more than one proxy card or voting instruction form if you hold shares of our common stock in more than one account, which may be in registered form or held in street name. Please vote in the manner described under “How Do I Vote?” for each account to ensure that all of your shares are voted.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If I Do Not Vote For Some Of The Matters Listed On My Proxy Card?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If you return your proxy card without indicating your vote, your shares will be voted </w:t>
      </w:r>
      <w:r>
        <w:rPr>
          <w:rFonts w:ascii="Times New Roman;Times;serif" w:hAnsi="Times New Roman;Times;serif"/>
          <w:i/>
          <w:sz w:val="20"/>
        </w:rPr>
        <w:t>for</w:t>
      </w:r>
      <w:r>
        <w:rPr>
          <w:rFonts w:ascii="Times New Roman;Times;serif" w:hAnsi="Times New Roman;Times;serif"/>
          <w:sz w:val="20"/>
        </w:rPr>
        <w:t xml:space="preserve"> all of the nominees listed on the card; </w:t>
      </w:r>
      <w:r>
        <w:rPr>
          <w:rFonts w:ascii="Times New Roman;Times;serif" w:hAnsi="Times New Roman;Times;serif"/>
          <w:i/>
          <w:sz w:val="20"/>
        </w:rPr>
        <w:t>for</w:t>
      </w:r>
      <w:r>
        <w:rPr>
          <w:rFonts w:ascii="Times New Roman;Times;serif" w:hAnsi="Times New Roman;Times;serif"/>
          <w:sz w:val="20"/>
        </w:rPr>
        <w:t xml:space="preserve"> the approval, on an advisory basis, of the executive compensation; </w:t>
      </w:r>
      <w:r>
        <w:rPr>
          <w:rFonts w:ascii="Times New Roman;Times;serif" w:hAnsi="Times New Roman;Times;serif"/>
          <w:i/>
          <w:color w:val="231F20"/>
          <w:sz w:val="20"/>
        </w:rPr>
        <w:t xml:space="preserve">for </w:t>
      </w:r>
      <w:r>
        <w:rPr>
          <w:rFonts w:ascii="Times New Roman;Times;serif" w:hAnsi="Times New Roman;Times;serif"/>
          <w:color w:val="231F20"/>
          <w:sz w:val="20"/>
        </w:rPr>
        <w:t xml:space="preserve">the adoption of amendments to the Plan; </w:t>
      </w:r>
      <w:r>
        <w:rPr>
          <w:rFonts w:ascii="Times New Roman;Times;serif" w:hAnsi="Times New Roman;Times;serif"/>
          <w:sz w:val="20"/>
        </w:rPr>
        <w:t xml:space="preserve">and </w:t>
      </w:r>
      <w:r>
        <w:rPr>
          <w:rFonts w:ascii="Times New Roman;Times;serif" w:hAnsi="Times New Roman;Times;serif"/>
          <w:i/>
          <w:sz w:val="20"/>
        </w:rPr>
        <w:t>for</w:t>
      </w:r>
      <w:r>
        <w:rPr>
          <w:rFonts w:ascii="Times New Roman;Times;serif" w:hAnsi="Times New Roman;Times;serif"/>
          <w:sz w:val="20"/>
        </w:rPr>
        <w:t xml:space="preserve"> the ratification of the appointment of Kesselman &amp; Kesselman.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Will My Shares Be Voted If I Do Not Return My Proxy Card And Do Not Attend The Annual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your shares are registered in your name or if you have stock certificates, they will not be voted if you do not return your proxy card by mail or vote at the meeting as described above under “How Do I Vote?”.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your shares are held in street name and you do not provide voting instructions to the bank, broker or other nominee that holds your shares as described above under “How Do I Vote?,” the bank, broker or other nominee has the authority to vote your shares on certain routine matters scheduled to come before the meeting even if it does not receive instructions from you. We encourage you to provide voting instructions. This ensures your shares will be voted at the meeting in the manner you desire.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Is Voting Confidential?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Yes. Only the inspector of elections and our employees who have been assigned the responsibility for overseeing the legal aspects of the meeting and our proxy solicitors will have access to your proxy card. The inspector of elections will tabulate and certify the vote. Any comments written on the proxy card will remain confidential unless you ask that your name be disclosed.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What Are The Costs Of Soliciting These Proxies?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will pay all of the costs of soliciting these proxies. Our officers, directors and employees may solicit proxies in person or by telephone, fax or email. We will pay these officers,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We have engaged Alliance Advisors LLC to assist us in soliciting proxies for the meeting. We will pay Alliance Advisors a base fee of $10,000, plus reasonable out-of-pocket expenses, plus an additional fee based upon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number of contacts with stockholders made and work performed. We estimate the total amount payable to Alliance Advisors will be approximately $35,000.</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Could Other Matters Be Decided At The Annual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do not know of any other matters that will be considered at the annual meeting. If any other matters arise at the meeting at or by the direction of the Board of Directors, the proxies will be voted at the discretion of the proxy holders.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Happens If The Annual Meeting Is Postponed Or Adjourned?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Your proxy will still be valid and may be voted at the postponed or adjourned meeting. You will still be able to change or revoke your proxy until it is voted.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Do I Need A Ticket To Attend The Annual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Yes, you will need an admission ticket or proof of ownership of common stock to enter the annual meeting. If you are a stockholder of record, your admission ticket is the bottom half of the proxy card sent to you. If you plan to attend the meeting, please so indicate when you vote and bring the ticket with you to the meeting. If your shares are held in the name of a bank, broker or other holder of record, your admission ticket is the left side of your voting information form. If you do not bring your admission ticket, you will need proof of ownership to be admitted to the meeting. A recent brokerage statement or letter from a bank or broker is an example of proof of ownership. If you arrive at the meeting without an admission ticket, we will admit you only if we are able to verify that you are a stockholder of our Company. We recommend arriving early to the meeting as there may be delays at the entrance to the meeting venue.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SECURITY OWNERSHIP OF CERTAIN BENEFICIAL OWNERS AND MANAGEMENT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as of April 30, 2026, regarding beneficial ownership of our common stock:</w:t>
      </w:r>
    </w:p>
    <w:p>
      <w:pPr>
        <w:pStyle w:val="TextBody"/>
        <w:bidi w:val="0"/>
        <w:spacing w:before="0" w:after="200"/>
        <w:ind w:left="720" w:right="0" w:hanging="0"/>
        <w:jc w:val="left"/>
        <w:rPr/>
      </w:pPr>
      <w:r>
        <w:rPr>
          <w:color w:val="231F20"/>
        </w:rPr>
        <w:t>●</w:t>
      </w:r>
      <w:r>
        <w:rPr>
          <w:rFonts w:ascii="Times New Roman;Times;serif" w:hAnsi="Times New Roman;Times;serif"/>
          <w:color w:val="231F20"/>
          <w:sz w:val="20"/>
        </w:rPr>
        <w:t>each person, if any, who is known by us to own beneficially more than 5% of our common stock;</w:t>
      </w:r>
    </w:p>
    <w:p>
      <w:pPr>
        <w:pStyle w:val="TextBody"/>
        <w:bidi w:val="0"/>
        <w:spacing w:before="0" w:after="200"/>
        <w:ind w:left="720" w:right="0" w:hanging="0"/>
        <w:jc w:val="left"/>
        <w:rPr/>
      </w:pPr>
      <w:r>
        <w:rPr>
          <w:color w:val="231F20"/>
        </w:rPr>
        <w:t>●</w:t>
      </w:r>
      <w:r>
        <w:rPr>
          <w:rFonts w:ascii="Times New Roman;Times;serif" w:hAnsi="Times New Roman;Times;serif"/>
          <w:color w:val="231F20"/>
          <w:sz w:val="20"/>
        </w:rPr>
        <w:t>each director;</w:t>
      </w:r>
    </w:p>
    <w:p>
      <w:pPr>
        <w:pStyle w:val="TextBody"/>
        <w:bidi w:val="0"/>
        <w:spacing w:before="0" w:after="200"/>
        <w:ind w:left="720" w:right="0" w:hanging="0"/>
        <w:jc w:val="left"/>
        <w:rPr/>
      </w:pPr>
      <w:r>
        <w:rPr>
          <w:color w:val="231F20"/>
        </w:rPr>
        <w:t>●</w:t>
      </w:r>
      <w:r>
        <w:rPr>
          <w:rFonts w:ascii="Times New Roman;Times;serif" w:hAnsi="Times New Roman;Times;serif"/>
          <w:color w:val="231F20"/>
          <w:sz w:val="20"/>
        </w:rPr>
        <w:t>each of our executive officers; and</w:t>
      </w:r>
    </w:p>
    <w:p>
      <w:pPr>
        <w:pStyle w:val="TextBody"/>
        <w:bidi w:val="0"/>
        <w:ind w:left="720" w:right="0" w:hanging="0"/>
        <w:jc w:val="left"/>
        <w:rPr/>
      </w:pPr>
      <w:r>
        <w:rPr>
          <w:color w:val="231F20"/>
        </w:rPr>
        <w:t>●</w:t>
      </w:r>
      <w:r>
        <w:rPr>
          <w:rFonts w:ascii="Times New Roman;Times;serif" w:hAnsi="Times New Roman;Times;serif"/>
          <w:color w:val="231F20"/>
          <w:sz w:val="20"/>
        </w:rPr>
        <w:t>all of our directors and executive officers collectively.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Unless otherwise noted, we believe that all persons named in the table have sole voting and investment power with respect to all shares of our common stock beneficially owned by each of them. For purposes of this table, a person is deemed to be the beneficial owner of securities that can be acquired by such person within 60 days from April 30, 2026 upon exercise of options, warrants and convertible securities. Each beneficial owner’s percentage ownership is determined by assuming that options to purchase shares of our common stock that are held by such person (but not those held by any other person) and that are exercisable within 60 days from such date have been exercised. The information set forth below is based upon information obtained from the beneficial owners, upon information in our possession regarding their respective holdings and upon information filed by the holders with the SEC. The percentages of beneficial ownership are based on 80,571,642 shares of our common stock outstanding as of April 30, 2026.</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address for all directors and officers is c/o Protalix BioTherapeutics, Inc., 2 Snunit Street, Science Park, P.O. Box 455, Carmiel 2161401, Israel.</w:t>
      </w:r>
    </w:p>
    <w:p>
      <w:pPr>
        <w:pStyle w:val="TextBody"/>
        <w:bidi w:val="0"/>
        <w:spacing w:before="0" w:after="240"/>
        <w:ind w:left="0" w:right="0" w:firstLine="720"/>
        <w:jc w:val="left"/>
        <w:rPr/>
      </w:pPr>
      <w:r>
        <w:rPr/>
        <w:t>​</w:t>
      </w:r>
    </w:p>
    <w:tbl>
      <w:tblPr>
        <w:tblW w:w="9620" w:type="dxa"/>
        <w:jc w:val="left"/>
        <w:tblInd w:w="0" w:type="dxa"/>
        <w:tblLayout w:type="fixed"/>
        <w:tblCellMar>
          <w:top w:w="0" w:type="dxa"/>
          <w:left w:w="0" w:type="dxa"/>
          <w:bottom w:w="0" w:type="dxa"/>
          <w:right w:w="0" w:type="dxa"/>
        </w:tblCellMar>
      </w:tblPr>
      <w:tblGrid>
        <w:gridCol w:w="6016"/>
        <w:gridCol w:w="346"/>
        <w:gridCol w:w="1756"/>
        <w:gridCol w:w="346"/>
        <w:gridCol w:w="1156"/>
      </w:tblGrid>
      <w:tr>
        <w:trPr/>
        <w:tc>
          <w:tcPr>
            <w:tcW w:w="6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820160" cy="175260"/>
                      <wp:effectExtent l="0" t="0" r="0" b="0"/>
                      <wp:wrapNone/>
                      <wp:docPr id="4" name="Frame1"/>
                      <a:graphic xmlns:a="http://schemas.openxmlformats.org/drawingml/2006/main">
                        <a:graphicData uri="http://schemas.microsoft.com/office/word/2010/wordprocessingShape">
                          <wps:wsp>
                            <wps:cNvSpPr txBox="1"/>
                            <wps:spPr>
                              <a:xfrm>
                                <a:off x="0" y="0"/>
                                <a:ext cx="3820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5"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115060" cy="175260"/>
                      <wp:effectExtent l="0" t="0" r="0" b="0"/>
                      <wp:wrapNone/>
                      <wp:docPr id="6" name="Frame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7"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34060" cy="175260"/>
                      <wp:effectExtent l="0" t="0" r="0" b="0"/>
                      <wp:wrapNone/>
                      <wp:docPr id="8" name="Frame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1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and Nature of</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60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Address of Beneficial Owners</w:t>
            </w:r>
          </w:p>
        </w:tc>
        <w:tc>
          <w:tcPr>
            <w:tcW w:w="346" w:type="dxa"/>
            <w:tcBorders/>
            <w:vAlign w:val="center"/>
          </w:tcPr>
          <w:p>
            <w:pPr>
              <w:pStyle w:val="TableContents"/>
              <w:bidi w:val="0"/>
              <w:spacing w:before="0" w:after="1"/>
              <w:ind w:left="0" w:right="0" w:hanging="0"/>
              <w:jc w:val="left"/>
              <w:rPr/>
            </w:pPr>
            <w:r>
              <w:rPr/>
              <w:t>  ​ ​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 Ownership</w:t>
            </w:r>
          </w:p>
        </w:tc>
        <w:tc>
          <w:tcPr>
            <w:tcW w:w="346" w:type="dxa"/>
            <w:tcBorders/>
            <w:vAlign w:val="center"/>
          </w:tcPr>
          <w:p>
            <w:pPr>
              <w:pStyle w:val="TableContents"/>
              <w:bidi w:val="0"/>
              <w:spacing w:before="0" w:after="1"/>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w:t>
            </w:r>
          </w:p>
        </w:tc>
      </w:tr>
      <w:tr>
        <w:trPr/>
        <w:tc>
          <w:tcPr>
            <w:tcW w:w="601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Board of Directors and Executive Officers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75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15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6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Eliot Richard Forster, Ph.D.</w:t>
            </w:r>
            <w:r>
              <w:rPr>
                <w:rFonts w:ascii="Times New Roman;Times;serif" w:hAnsi="Times New Roman;Times;serif"/>
                <w:color w:val="231F20"/>
                <w:sz w:val="15"/>
              </w:rPr>
              <w:t>(1)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89,822</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Dror Bashan</w:t>
            </w:r>
            <w:r>
              <w:rPr>
                <w:rFonts w:ascii="Times New Roman;Times;serif" w:hAnsi="Times New Roman;Times;serif"/>
                <w:color w:val="231F20"/>
                <w:sz w:val="15"/>
              </w:rPr>
              <w:t>(2)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3,481,059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w:t>
            </w:r>
          </w:p>
        </w:tc>
      </w:tr>
      <w:tr>
        <w:trPr/>
        <w:tc>
          <w:tcPr>
            <w:tcW w:w="6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Amos Bar Shalev</w:t>
            </w:r>
            <w:r>
              <w:rPr>
                <w:rFonts w:ascii="Times New Roman;Times;serif" w:hAnsi="Times New Roman;Times;serif"/>
                <w:color w:val="231F20"/>
                <w:sz w:val="15"/>
              </w:rPr>
              <w:t>(3)</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154,661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Shmuel “Muli” Ben Zvi, Ph.D.</w:t>
            </w:r>
            <w:r>
              <w:rPr>
                <w:rFonts w:ascii="Times New Roman;Times;serif" w:hAnsi="Times New Roman;Times;serif"/>
                <w:color w:val="231F20"/>
                <w:sz w:val="15"/>
              </w:rPr>
              <w:t>(4)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114,661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Pol F. Boudes, M.D.</w:t>
            </w:r>
            <w:r>
              <w:rPr>
                <w:rFonts w:ascii="Times New Roman;Times;serif" w:hAnsi="Times New Roman;Times;serif"/>
                <w:color w:val="231F20"/>
                <w:sz w:val="15"/>
              </w:rPr>
              <w:t>(5)</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154,701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Christian Elze</w:t>
            </w:r>
            <w:r>
              <w:rPr>
                <w:rFonts w:ascii="Times New Roman;Times;serif" w:hAnsi="Times New Roman;Times;serif"/>
                <w:color w:val="231F20"/>
                <w:sz w:val="15"/>
              </w:rPr>
              <w:t>(6)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11,250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Gwen A. Melincoff</w:t>
            </w:r>
            <w:r>
              <w:rPr>
                <w:rFonts w:ascii="Times New Roman;Times;serif" w:hAnsi="Times New Roman;Times;serif"/>
                <w:color w:val="231F20"/>
                <w:sz w:val="15"/>
              </w:rPr>
              <w:t>(7)</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154,661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Aharon Schwartz, Ph.D.</w:t>
            </w:r>
            <w:r>
              <w:rPr>
                <w:rFonts w:ascii="Times New Roman;Times;serif" w:hAnsi="Times New Roman;Times;serif"/>
                <w:color w:val="231F20"/>
                <w:sz w:val="15"/>
              </w:rPr>
              <w:t>(8)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457,661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Gilad Mamlok</w:t>
            </w:r>
            <w:r>
              <w:rPr>
                <w:rFonts w:ascii="Times New Roman;Times;serif" w:hAnsi="Times New Roman;Times;serif"/>
                <w:color w:val="231F20"/>
                <w:sz w:val="15"/>
              </w:rPr>
              <w:t>(9)</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153,128</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Yaron Naos</w:t>
            </w:r>
            <w:r>
              <w:rPr>
                <w:rFonts w:ascii="Times New Roman;Times;serif" w:hAnsi="Times New Roman;Times;serif"/>
                <w:color w:val="231F20"/>
                <w:sz w:val="15"/>
              </w:rPr>
              <w:t>(10)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804,538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r>
      <w:tr>
        <w:trPr/>
        <w:tc>
          <w:tcPr>
            <w:tcW w:w="6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All executive officers, directors, and nominees as a group (10 persons)</w:t>
            </w:r>
            <w:r>
              <w:rPr>
                <w:rFonts w:ascii="Times New Roman;Times;serif" w:hAnsi="Times New Roman;Times;serif"/>
                <w:color w:val="231F20"/>
                <w:sz w:val="15"/>
              </w:rPr>
              <w:t>(11)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5,576,142</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6.7</w:t>
            </w:r>
          </w:p>
        </w:tc>
      </w:tr>
    </w:tbl>
    <w:p>
      <w:pPr>
        <w:pStyle w:val="TextBody"/>
        <w:pBdr/>
        <w:bidi w:val="0"/>
        <w:spacing w:before="0" w:after="120"/>
        <w:ind w:left="0" w:right="0" w:hanging="540"/>
        <w:jc w:val="left"/>
        <w:rPr>
          <w:rFonts w:ascii="Times New Roman;Times;serif" w:hAnsi="Times New Roman;Times;serif"/>
          <w:sz w:val="20"/>
        </w:rPr>
      </w:pPr>
      <w:r>
        <w:rPr>
          <w:rFonts w:ascii="Times New Roman;Times;serif" w:hAnsi="Times New Roman;Times;serif"/>
          <w:sz w:val="20"/>
        </w:rPr>
        <w:t>* Less than 1%.</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Consists of 1,875 outstanding restricted shares of our common stock that are not subject to forfeiture within 60 days of April 30, 2026, 5,625 outstanding restricted shares of our common stock that are subject to forfeiture as of April 30, 2026 and 82,322 shares of our common stock issuable upon exercise of outstanding options within 60 days of April 30, 2026. Does not include 18,393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Consists of 188,516 outstanding shares of our common stock, 2,198,168 outstanding restricted shares of our common stock that are not subject to forfeiture within 60 days of April 30, 2026, 146,250 outstanding restricted shares of our common stock that are subject to forfeiture as of April 30, 2026 and 948,125 shares of our common stock issuable upon exercise of outstanding options within 60 days of April 30, 2026. Does not include 301,875 shares of our common stock underlying options that will not vest within 60 days of April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Consists of 1,875 outstanding restricted shares of our common stock that are not subject to forfeiture within 60 days of April 30, 2026, 5,625 outstanding restricted shares of our common stock that are subject to forfeiture as of April 30, 2026 and 147,161 shares of our common stock issuable upon exercise of outstanding options within 60 days of April 30, 2026. Does not include 19,515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Consists of 1,875 outstanding restricted shares of our common stock that are not subject to forfeiture within 60 days of April 30, 2026, 5,625 outstanding restricted shares of our common stock that are subject to forfeiture as of April 30, 2026 and 107,161 shares of our common stock issuable upon exercise of outstanding options within 60 days of April 30, 2026. Does not include 19,515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Consists of 40 outstanding shares of our common stock, 1,875 outstanding restricted shares of our common stock that are not subject to forfeiture within 60 days of April 30, 2026, 5,625 outstanding restricted shares of our common stock that are subject to forfeiture as of April 30, 2026 and 147,161 shares of our common stock issuable upon exercise of outstanding options within 60 days of April 30, 2026. Does not include 19,515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Consists of 1,875 outstanding restricted shares of our common stock that are not subject to forfeiture within 60 days of April 30, 2026, 5,625 outstanding restricted shares of our common stock that are subject to forfeiture as of April 30, 2026 and 3,750 shares of our common stock issuable upon exercise of outstanding options within 60 days of April 30, 2026. Does not include 11,250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Consists of 1,875 outstanding restricted shares of our common stock that are not subject to forfeiture within 60 days of April 30, 2026, 5,625 outstanding restricted shares of our common stock that are subject to forfeiture as of April 30, 2026 and 147,161 shares of our common stock issuable upon exercise of outstanding options within 60 days of April 30, 2026. Does not include 19,515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Consists of 303,000 outstanding shares of our common stock, 1,875 outstanding restricted shares of our common stock that are not subject to forfeiture within 60 days of April 30, 2026, 5,625 outstanding restricted shares of our common stock that are subject to forfeiture as of April 30, 2026 and 147,161 shares of our common stock issuable upon exercise of outstanding options within 60 days of April 30, 2026. Does not include 19,515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Consists of 3,631 outstanding shares of our common stock and 149,497 shares of our common stock issuable upon exercise of outstanding options within 60 days of April 30, 2026. Does not include 448,493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Consists of 12,955 outstanding shares of our common stock, 184,982 outstanding restricted shares of our common stock that are not subject to forfeiture within 60 days of April 30, 2026, 34,362 outstanding restricted shares of our common stock that are subject to forfeiture within 60 days of April 30, 2026 and 572,239 shares of our common stock issuable upon exercise of outstanding options within 60 days of April 30, 2026. Does not include 100,417 shares of our common stock underlying options that will not vest within 60 days of April 30, 2026.</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Consists of 508,142 outstanding shares of our common stock, 2,396,275 outstanding restricted shares of our common stock that are not subject to forfeiture within 60 days of April 30, 2026, 219,987 outstanding restricted shares of our common stock that are subject to forfeiture as of April 30, 2026 and 2,451,738 shares of our common stock issuable upon exercise of outstanding options within 60 days of April 30, 2026. Does not include 978,003 shares of our common stock underlying options that will not vest within 60 days of April 30, 2026.</w:t>
      </w:r>
    </w:p>
    <w:p>
      <w:pPr>
        <w:pStyle w:val="TextBody"/>
        <w:pBdr/>
        <w:bidi w:val="0"/>
        <w:spacing w:before="0" w:after="120"/>
        <w:ind w:left="0" w:right="0" w:hanging="547"/>
        <w:jc w:val="left"/>
        <w:rPr>
          <w:rFonts w:ascii="Times New Roman;Times;serif" w:hAnsi="Times New Roman;Times;serif"/>
          <w:b/>
          <w:sz w:val="20"/>
        </w:rPr>
      </w:pPr>
      <w:r>
        <w:rPr>
          <w:rFonts w:ascii="Times New Roman;Times;serif" w:hAnsi="Times New Roman;Times;serif"/>
          <w:b/>
          <w:sz w:val="20"/>
        </w:rPr>
        <w:t>Section 16(a) Beneficial Ownership Reporting Compliance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Section 16(a) of the Exchange Act requires our directors, executive officers and holders of more than 10% of our common stock to file with the SEC reports regarding their ownership and changes in ownership of our equity securities. We believe that all Section 16 filings requirements were met by our officers and directors during 2025. In making this statement, we have relied solely upon examination of the copies of Forms 3, 4, and 5, and written representations of our former and current officers and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00"/>
        <w:ind w:left="0" w:right="0" w:hanging="0"/>
        <w:jc w:val="center"/>
        <w:rPr>
          <w:rFonts w:ascii="Times New Roman;Times;serif" w:hAnsi="Times New Roman;Times;serif"/>
          <w:b/>
          <w:sz w:val="20"/>
        </w:rPr>
      </w:pPr>
      <w:bookmarkStart w:id="8" w:name="_da0638ea_afaf_425f_8d69_7f7587fe90e3"/>
      <w:bookmarkEnd w:id="8"/>
      <w:r>
        <w:rPr>
          <w:rFonts w:ascii="Times New Roman;Times;serif" w:hAnsi="Times New Roman;Times;serif"/>
          <w:b/>
          <w:sz w:val="20"/>
        </w:rPr>
        <w:t>PROPOSAL 1: ELECTION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At the annual meeting, our stockholders will be asked to elect or re-elect eight directors, each for a one-year term expiring at the next meeting of stockholders. Each director will hold office until his or her successor has been elected and qualified or until the director’s earlier resignation or removal.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recommends that the persons named below be elected as directors of the Company and it is intended that the accompanying proxy will be voted for their election as directors, unless the proxy contains contrary instructions. Shares of common stock represented by all proxies received by the Board of Directors and not so marked as to withhold authority to vote for any individual nominee or for all nominees will be voted (unless one or more nominees are unable to serve) for the election of the nominees named below. The Board of Directors knows of no reason why any such nominee should be unable or unwilling to serve, but if such should be the case, proxies will be voted for the election of some other person or the size of the Board of Directors will be fixed at a lower number.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Each of the nominees currently serves as a member of our Board of Directors. The directors are elected by a plurality of the votes cast by the stockholders present or represented by proxy and entitled to vote at the Annual Meeting.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Nominees for Election to the Board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names of the nominees for election to the Board of Directors and certain information about such nominees are set forth below. For information concerning the number of shares of common stock beneficially owned by each nominee, see “Security Ownership of Certain Beneficial Owners and Management” above.</w:t>
      </w:r>
    </w:p>
    <w:tbl>
      <w:tblPr>
        <w:tblW w:w="7685" w:type="dxa"/>
        <w:jc w:val="left"/>
        <w:tblInd w:w="0" w:type="dxa"/>
        <w:tblLayout w:type="fixed"/>
        <w:tblCellMar>
          <w:top w:w="0" w:type="dxa"/>
          <w:left w:w="0" w:type="dxa"/>
          <w:bottom w:w="0" w:type="dxa"/>
          <w:right w:w="0" w:type="dxa"/>
        </w:tblCellMar>
      </w:tblPr>
      <w:tblGrid>
        <w:gridCol w:w="2596"/>
        <w:gridCol w:w="346"/>
        <w:gridCol w:w="436"/>
        <w:gridCol w:w="346"/>
        <w:gridCol w:w="396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48460" cy="29210"/>
                      <wp:effectExtent l="0" t="0" r="0" b="0"/>
                      <wp:wrapNone/>
                      <wp:docPr id="9" name="Frame6"/>
                      <a:graphic xmlns:a="http://schemas.openxmlformats.org/drawingml/2006/main">
                        <a:graphicData uri="http://schemas.microsoft.com/office/word/2010/wordprocessingShape">
                          <wps:wsp>
                            <wps:cNvSpPr txBox="1"/>
                            <wps:spPr>
                              <a:xfrm>
                                <a:off x="0" y="0"/>
                                <a:ext cx="1648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29210"/>
                      <wp:effectExtent l="0" t="0" r="0" b="0"/>
                      <wp:wrapNone/>
                      <wp:docPr id="10" name="Frame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76860" cy="29210"/>
                      <wp:effectExtent l="0" t="0" r="0" b="0"/>
                      <wp:wrapNone/>
                      <wp:docPr id="11" name="Frame8"/>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29210"/>
                      <wp:effectExtent l="0" t="0" r="0" b="0"/>
                      <wp:wrapNone/>
                      <wp:docPr id="12"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515235" cy="29210"/>
                      <wp:effectExtent l="0" t="0" r="0" b="0"/>
                      <wp:wrapNone/>
                      <wp:docPr id="13" name="Frame10"/>
                      <a:graphic xmlns:a="http://schemas.openxmlformats.org/drawingml/2006/main">
                        <a:graphicData uri="http://schemas.microsoft.com/office/word/2010/wordprocessingShape">
                          <wps:wsp>
                            <wps:cNvSpPr txBox="1"/>
                            <wps:spPr>
                              <a:xfrm>
                                <a:off x="0" y="0"/>
                                <a:ext cx="2515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59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w:t>
            </w:r>
          </w:p>
        </w:tc>
      </w:tr>
      <w:tr>
        <w:trPr/>
        <w:tc>
          <w:tcPr>
            <w:tcW w:w="259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Eliot Richard Forster, Ph.D.</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396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r>
      <w:tr>
        <w:trPr/>
        <w:tc>
          <w:tcPr>
            <w:tcW w:w="25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Dror Bashan</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Director</w:t>
            </w:r>
          </w:p>
        </w:tc>
      </w:tr>
      <w:tr>
        <w:trPr/>
        <w:tc>
          <w:tcPr>
            <w:tcW w:w="25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Amos Bar Shalev</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5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Shmuel “Muli” Ben Zvi, Ph.D.</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5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 F. Boudes, M.D.</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5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Christian Elze </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5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Gwen A. Melincoff</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5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Aharon Schwartz, Ph.D.</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Re-Nominated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 xml:space="preserve">Eliot Richard Forster, Ph.D. </w:t>
      </w:r>
      <w:r>
        <w:rPr>
          <w:rFonts w:ascii="Times New Roman;Times;serif" w:hAnsi="Times New Roman;Times;serif"/>
          <w:sz w:val="20"/>
        </w:rPr>
        <w:t>Dr. Forster joined our Board of Directors as its Chairman in September 2023. Dr. Forster has served as the Chief Executive Officer of Levicept Ltd., a privately-held, UK-based biotechnology company since November 2023. He has also served as a Non-Executive Director of Immatics NV (NASDAQ:IMTX) since September 2020, and as the Non-Executive Chairman of each of Ochre Bio, Ltd., a UK-based private biotechnology company since May 2023, Tessellate BIO NV., a Netherlands-based private biotechnology company, since September 2023 and Granite Bio Ag, a Swiss-based private biotechnology company, since December 2024. Commencing in September 2018, Dr. Forster served as the Chief Executive Officer of F-Star Therapeutics Ltd. (NASDAQ:FSTX) until its March 2023 sale to invoX Ltd. Prior to that, he served as Chief Executive Officer of Immunocure Ltd. from January 2015 through February 2018, Chief Executive Officer of Creabilis SA from May 2010 through January 2015 and President and Chief Executive Officer of Solace Pharmaceuticals Inc. from May 2007 through May 2010. He also served, from June 2018 through June 2024, as the Non-Executive Chairman of Avacta Group PLC (AIM:AVCT). Earlier in his career, he held positions at Pfizer Global Research &amp; Development and Glaxo/GlaxoWellcome. Dr. Forster holds a B.Sc. (Hons) and a Ph.D. from the University of Liverpool and an MBA from the Henley Management College. He is an Honorary Visiting Professor at the University of Liverpool and at the University of Pavia. We believe Dr. Forster’s qualifications to serve on our Board of Directors include his established reputation for management and leadership in the life sciences field and his successful experience and industry relationships in the United States, European Union and Asia.</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Dror Bashan. </w:t>
      </w:r>
      <w:r>
        <w:rPr>
          <w:rFonts w:ascii="Times New Roman;Times;serif" w:hAnsi="Times New Roman;Times;serif"/>
          <w:sz w:val="20"/>
        </w:rPr>
        <w:t xml:space="preserve">Mr. Bashan has served as our President and Chief Executive Officer and a director since June 2019. He has over 20 years of experience in the pharmaceutical industry with roles ranging from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development, marketing, sales and finance which provides him with both cross regional and cross discipline experience and a deep knowledge of the global pharmaceutical and health industries. From 1998 through 2018, he served in a number of senior positions at Teva Pharmaceutical Industries Ltd. (NYSE:TEVA; TASE:TEVA). Most recently, he served as Teva’s Senior Vice President, Global Business Development, and was involved in strategic alliances, cross-company strategic projects and the acquisition and divestiture of assets. Mr. Bashan holds a BA in Economics and Business Management and an MBA from the Tel Aviv University. We believe Mr. Bashan’s qualifications to serve on our Board of Directors includes his service as our President and Chief Executive Officer as well as his extensive experience in the life sciences and pharmaceutical industry on a global scale.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 xml:space="preserve">Amos Bar Shalev. </w:t>
      </w:r>
      <w:r>
        <w:rPr>
          <w:rFonts w:ascii="Times New Roman;Times;serif" w:hAnsi="Times New Roman;Times;serif"/>
          <w:sz w:val="20"/>
        </w:rPr>
        <w:t>Mr. Bar Shalev joined our Board of Directors in July 2008. Previously, Mr. Bar Shalev served as a director of Protalix Ltd. from 2005 through January 2008, and as our director from 2006 through January 2008. Mr. Bar Shalev brings to us extensive experience in managing technology companies. Since 2011, Mr. Bar Shalev has served on the Board of Directors of Interna Therapeutics Ltd. (formerly, Aposense Ltd.), a privately-held pharmaceutical company. He served on the Board of Directors of Sirvir Ltd., a privately held pharmaceutical company and subsidiary of Interna Therapeutics, from 2014 through its merger into Interna Therapeutics in November 2024. From 2004 through 2012, Mr. Bar Shalev served as a director of Technorov Holdings (1993) Ltd. and managed its portfolio. From 1997 through 2004, he was a Managing Director of TDA Capital Partners, a management company of the TGF (Templeton Tadiran) Fund. From 2004 through 2007, he was the President of Win Buyer Ltd. He has served on the Board of Directors of a number of Israeli publicly traded and privately-held Israeli companies including, among others, Ripple Ltd. (formerly, Steam CC Ltd.), Velox Ltd., NESS Ltd. (acquired by BioNess Inc.), Idanit (acquired by Scitex Corporation Ltd.), Objet Geometrix (merged with Stratasys, Inc. (NASDAQ:SSYS)), Verisity, Scitex Vision (acquired by Hewlett Packard (NYSE:HPE)), Golden Wings Investment Company Ltd., the venture capital fund of the Israeli Air Force Veterans Business Club, Win Buyer Ltd. and Sun Light Ltd. Mr. Bar Shalev holds a B.Sc. in Electrical Engineering from the Technion, Israel Institute of Technology and an MBA from the Tel Aviv University in 1981. He holds the highest award from the Israeli Air Force for technological achievements. We believe Mr. Bar Shalev’s qualifications to serve on our Board of Directors include his years of experience in the management of Israeli businesses.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color w:val="231F20"/>
          <w:sz w:val="20"/>
        </w:rPr>
        <w:t xml:space="preserve">Shmuel “Muli” Ben Zvi, Ph.D. </w:t>
      </w:r>
      <w:r>
        <w:rPr>
          <w:rFonts w:ascii="Times New Roman;Times;serif" w:hAnsi="Times New Roman;Times;serif"/>
          <w:sz w:val="20"/>
        </w:rPr>
        <w:t>Dr. Ben Zvi joined our Board of Directors in June 2022. In February 2026, he was appointed Chairman of the Board of Revolut Israel, the Israeli branch of Revolut Ltd., a privately-held global financial technology company. In addition, he has been a member of the Board of Directors of BATM Advanced Communications Ltd. (LSE:BVC; TASE:BVC) since December 2024. From August 2015 through December 2024, Dr. Ben Zvi served on the Board of Directors of Bank Leumi of Israel (TASE:LUMI), and was the Chairman of Bank Leumi’s Board from November 2023 through December 2024. He served on the Board of Directors of Vascular Biogenics Ltd. (NASDAQ:VBLT) from 2018 until its acquisition by Notable Labs, Inc. (NASDAQ:NTBL) in October 2023, and on the Board of Directors of Sol-Gel Technologies Ltd. (NASDAQ:SLGL), from February 2018 through November 2023. From 2004 through 2014, Dr. Ben Zvi served in a number of managerial positions at Teva Pharmaceutical Industries Ltd. (NYSE:TEVA; TASE:TEVA), the last two being Vice President, Strategy and Vice President, Finance. From 2000 through 2004, Dr. Ben Zvi was the financial advisor to the chief of general staff of the Israel Defense Forces and head of the budget department of the Israeli Defense Ministry. Dr. Ben Zvi holds a B.A. and an M.A., both cum laude, and a Ph.D. in economics, all from the Tel Aviv University, Israel. He also participated in the Harvard Business School Advanced Management Program (AMP) and in National Security &amp; Political Science programs at the National Security College, Israel and Haifa University, Israel. Dr. Ben Zvi performed post-doctoral studies in Economics at the Massachusetts Institute of Technology. We believe Dr. Ben Zvi’s qualifications to serve on our Board of Directors include his years of experience in the management of public Israeli companies, including life science companies, and in particular his experience in financial and investment matters and participation on audit committees.</w:t>
      </w:r>
    </w:p>
    <w:p>
      <w:pPr>
        <w:pStyle w:val="TextBody"/>
        <w:bidi w:val="0"/>
        <w:spacing w:lineRule="auto" w:line="290" w:before="87" w:after="0"/>
        <w:ind w:left="0" w:right="0" w:firstLine="403"/>
        <w:jc w:val="left"/>
        <w:rPr>
          <w:rFonts w:ascii="Times New Roman;Times;serif" w:hAnsi="Times New Roman;Times;serif"/>
          <w:sz w:val="20"/>
        </w:rPr>
      </w:pPr>
      <w:r>
        <w:rPr>
          <w:rFonts w:ascii="Times New Roman;Times;serif" w:hAnsi="Times New Roman;Times;serif"/>
          <w:b/>
          <w:sz w:val="20"/>
        </w:rPr>
        <w:t xml:space="preserve">Pol F. Boudes, M.D. </w:t>
      </w:r>
      <w:r>
        <w:rPr>
          <w:rFonts w:ascii="Times New Roman;Times;serif" w:hAnsi="Times New Roman;Times;serif"/>
          <w:sz w:val="20"/>
        </w:rPr>
        <w:t xml:space="preserve">Dr. Boudes joined our Board of Directors in January 2020. He is a senior physician and chief medical officer with more than 25 years of experience in research and development, with a special emphasis on orphan drugs and translational medicine. In August 2024, Dr. Boudes was appointed Chief Medical Officer of Rectify Pharmaceuticals, Inc., a privately-held company focused on the development of Positive Functional Modulators (PFMs), a novel class of disease-modifying oral, small molecules specifically designed to rectify the dysfunction of membrane proteins. He also serves as an independent research and development consultant to other parties. From March 2020 through August 2024, he served as the Chief Medical Officer of Galectin Therapeutics Inc. (NASDAQ:GALT) where 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advanced the development of belapectin for the treatment of liver cirrhosis. From April 2014 through October 2019, he served as the Chief Medical Officer of CymaBay Therapeutics, Inc. (NASDAQ:CBAY) where he led the development of treatments for rare liver diseases, including seladelpar for primary biliary cholangitis. Dr. Boudes was also Chief Medical Officer at Amicus Therapeutics Inc. (NASDAQ:FOLD) from 2009 through 2013 where he was instrumental in the development of migalastat (Galafold</w:t>
      </w:r>
      <w:r>
        <w:rPr>
          <w:rFonts w:ascii="Times New Roman;Times;serif" w:hAnsi="Times New Roman;Times;serif"/>
          <w:sz w:val="15"/>
        </w:rPr>
        <w:t>®</w:t>
      </w:r>
      <w:r>
        <w:rPr>
          <w:rFonts w:ascii="Times New Roman;Times;serif" w:hAnsi="Times New Roman;Times;serif"/>
          <w:sz w:val="20"/>
        </w:rPr>
        <w:t>) for the treatment of Fabry disease, as well as treatments for Pompe disease and Gaucher disease. He has served in various roles at Berlex Laboratories (acquired by Bayer HealthCare Pharmaceuticals), Wyeth-Ayerst Research, Hoffmann-La Roche and Pasteur-Merieux Serums &amp; Vaccines. Dr. Boudes holds an M.D. from the University of Aix-Marseilles, France and has specialized in Endocrinology and Metabolic Diseases, Internal Medicine, and Geriatric diseases. We believe Dr. Boudes’ qualifications to serve on our Board of Directors include his vast experience and knowledge of the research and development of pharmaceuticals.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Christian Elze.</w:t>
      </w:r>
      <w:r>
        <w:rPr>
          <w:rFonts w:ascii="Times New Roman;Times;serif" w:hAnsi="Times New Roman;Times;serif"/>
          <w:sz w:val="20"/>
        </w:rPr>
        <w:t xml:space="preserve"> Mr. Elze joined our Board of Directors in June 2025. He founded Catenion GmbH, a global science-driven strategy consulting firm focused on biopharmaceutical innovation, in 2003 where he served as a Senior Partner. He retired from Catenion in 2024. Since January 2024, he has been serving as a member of the Scientific Advisory Board of Recordati Industria Chimica e Farmaceutica S.p.A., a global pharmaceutical company headquartered in Italy (XMIL:REC), and as an observer on the Board of Directors of Pangea Biomed Ltd., a privately-held Israeli company. Mr. Elze is also a co-founder and Board Member of the Japanese Foundation for Rare Disease Research, a not-for-profit venture incorporated in Tokyo, Japan in December 2025. Mr. Elze holds an MBA from Columbia University and a B.Sc., Economics, from the London School of Economics. We believe Mr. Elze’ qualifications to serve on our Board of Directors include his experience in the global biopharmaceutical industry for over 30 years and his vast experience and knowledge of the research and development of pharmaceuticals.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 xml:space="preserve">Gwen A. Melincoff. </w:t>
      </w:r>
      <w:r>
        <w:rPr>
          <w:rFonts w:ascii="Times New Roman;Times;serif" w:hAnsi="Times New Roman;Times;serif"/>
          <w:sz w:val="20"/>
        </w:rPr>
        <w:t>Ms. Melincoff joined our Board of Directors in January 2020. She is a seasoned business development and venture professional with over 25 years of deal-making and management experience in the biotechnology and pharmaceutical industries. Her experience spans public and private company boards, venture financing, business development, licensing, mergers and acquisitions, research operations, marketing, product management and project management. Ms. Melincoff has served on the Board of Directors of Gain Therapeutics, Inc. (NASDAQ:GANX), since March 2021. She also serves in an advisory capacity at a number of pharmaceutical companies. From August 2017 through May 2025 she served on the Board of Directors of Collegium Pharmaceutical, Inc. (NASDAQ:COLL), from April 2019 through June 2024 she served on the Board of Directors of Soleno Therapeutics, Inc. (NASDAQ:SOLN), from April 2017 through June 2020, she served on the Board of Directors of Photocure ASA, from January 2017 through January 2019, she served on the Board of Directors of Kamada Ltd. (NASDAQ:KMDA, TASE:KMDA), and from June 2014 through November 2016, she served on the Board of Directors of Tobira Therapeutics Inc. (acquired by Allergan plc). From August 2014 through September 2016, Ms. Melincoff served as Vice President of Business Development at BTG International Inc. Prior to that, she was Senior Vice President of Corporate Development at Shire Plc. Additionally, she led the Shire Strategic Investment Group, the venture capital arm of Shire Plc. Ms. Melincoff was Vice President of Business Development at Adolor Corporation and held executive positions at Eastman Kodak for over ten years in a number of their health care companies. Ms. Melincoff holds a B.S. in Biology from The George Washington University and an M.S. in Management and Health Care Administration from Pennsylvania State University. Ms. Melincoff has also attained the designation of Certified Licensing Professional (CLP™) and was named to the “Top Women in Biotech 2013” by Fierce Biotech and to the Powerlist 100 of Corporate Venture Capital in 2012 and 2013. We believe Ms. Melincoff’s qualifications to serve on our Board of Directors include her years of experience at pharmaceutical companies, particularly with respect to business development.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Aharon Schwartz, Ph.D. </w:t>
      </w:r>
      <w:r>
        <w:rPr>
          <w:rFonts w:ascii="Times New Roman;Times;serif" w:hAnsi="Times New Roman;Times;serif"/>
          <w:sz w:val="20"/>
        </w:rPr>
        <w:t xml:space="preserve">Dr. Schwartz joined our Board of Directors in November 2014. He retired from Teva Pharmaceutical Industries Ltd. (NYSE:TEVA; TASE:TEVA) in 2011, where he served in a number of positions from 1975 through 2011, the most recent being Vice President, Head of Teva Innovative Ventures. Dr. Schwartz was a founder of BiolineRx Ltd. (NASDAQ:BLRX, TASE:BLRX) in 2004, and has served as the chairman of its Board of Directors since its founding. He also works as an independent consultant. From May 2015 through March 2020, he served as a member of the Board of Directors of Foamix Pharmaceuticals Ltd. (Nasdaq:FOMX), which was acquired by Menlo Therapeutics Inc. (NASDAQ:MNLO), and from January 2013 through November 2017, he served as a member of the Board of Directors of Alcobra Ltd., which is now called Arcturus Therapeutics Ltd. (NASDAQ:ARCT). Dr. Schwartz holds a Ph.D. in organic chemistry from the Weizmann Institute of Science, Israel, an M.Sc. in organic chemistry from the Technion, Israel Institute of Technology and a B.Sc. in chemistry and physics from the Hebrew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University of Jerusalem. Dr. Schwartz received a second Ph.D. in 2014 from the Hebrew University of Jerusalem in the history and philosophy of science. We believe Dr. Schwartz’s qualifications to serve on our Board of Directors include his years of experience at life science companies.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Our Board of Directors recommends that stockholders vote “FOR” the election of all director nominees named in this “Proposal 1: Election of Directors.”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Corporate Governance and Independent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compliance with the listing requirements of the NYSE American, we have a comprehensive plan of corporate governance for the purpose of defining responsibilities, setting high standards of professional and personal conduct and assuring compliance with such responsibilities and standards. We regularly monitor for developments in the area of corporate governance to ensure we are in compliance with the standards and regulations required by the NYSE American. A summary of our corporate governance measures follows.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Independent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a majority of the members of our Board of Directors are independent from management. When making determinations from time to time regarding independence, the Board of Directors will reference the listing standards adopted by the NYSE American as well as the independence standards set forth in the Sarbanes-Oxley Act of 2002, or the SOX, and the rules and regulations promulgated by the SEC under that Act, as well as other factors which could assist our Board of Directors and its committees in determining that a director will have no material relationship with us that could compromise that director’s independence.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rules of the NYSE American, a director of our Company will only qualify as an “independent director” if, among other things, in the opinion of our Board of Directors, that person does not have a material relationship that would interfere with the exercise of independent judgment in carrying out the responsibilities of a director. The Board of Directors has determined that neither Dr. Forster, Mr. Bar Shalev, Dr. Ben Zvi, Dr. Boudes, Ms. Melincoff, nor Dr. Schwartz has a relationship that would interfere with the exercise of independent judgment in carrying out the responsibilities of a director, and that each such non-employee director is an “independent director” as defined under the rules of the NYSE American and the SEC. In addition, the Board of Directors has determined that all members of the Audit and Finance Committee meet the independence requirements set forth in Section 803B(2) of the NYSE American Company Guide and Section 10A(m)(3) of the Exchange Act, and that all members of the Compensation Committee meet the independence requirements set forth in Rule 805(c) of the NYSE American Listed Company Guide.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position of Chairman of the Board is not held by our chief executive officer at this time. The Board of Directors does not have a policy mandating the separation of these functions. We believe it is in our best interest that Dr. Forster serve as the chairman of our Board of Directors. This decision was based on Dr. Forster’s established reputation for management and leadership in the life sciences field and his successful experience and industry relationships in the United States, Europe, and Asia. Our non-management directors hold formal meetings, separate from management, at least twice per year.</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The Board’s Role in Risk Oversight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the Company. The participation of our Board of Directors in our risk oversight process includes receiving regular reports from members of senior management on areas of material risk to the Company, including operational, financial, legal, and regulatory, and strategic and reputational risks. While the full Board of Directors has the ultimate oversight responsibility for the risk management process, various committees of the Board of Directors also have responsibility for risk management. For example, financial risks, including internal controls, are overseen by the Audit and Finance Committee and risks that may be implicated by our executive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compensation programs are overseen by the Compensation Committee. Upon identification of a risk, the assigned committee or our full Board of Directors discuss or review risk management and risk mitigation strategies. Additional review or reporting on enterprise risks is conducted as needed or as requested by our Board of Directors or a committee thereof.</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Board and Committee Meetings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has an Audit and Finance Committee, a Compensation Committee and a Nominating Committee. The membership of each committee is as follows:</w:t>
      </w:r>
    </w:p>
    <w:tbl>
      <w:tblPr>
        <w:tblW w:w="10205" w:type="dxa"/>
        <w:jc w:val="left"/>
        <w:tblInd w:w="0" w:type="dxa"/>
        <w:tblLayout w:type="fixed"/>
        <w:tblCellMar>
          <w:top w:w="0" w:type="dxa"/>
          <w:left w:w="0" w:type="dxa"/>
          <w:bottom w:w="0" w:type="dxa"/>
          <w:right w:w="0" w:type="dxa"/>
        </w:tblCellMar>
      </w:tblPr>
      <w:tblGrid>
        <w:gridCol w:w="2210"/>
        <w:gridCol w:w="346"/>
        <w:gridCol w:w="2175"/>
        <w:gridCol w:w="346"/>
        <w:gridCol w:w="5128"/>
      </w:tblGrid>
      <w:tr>
        <w:trPr/>
        <w:tc>
          <w:tcPr>
            <w:tcW w:w="2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03350" cy="29210"/>
                      <wp:effectExtent l="0" t="0" r="0" b="0"/>
                      <wp:wrapNone/>
                      <wp:docPr id="14" name="Frame11"/>
                      <a:graphic xmlns:a="http://schemas.openxmlformats.org/drawingml/2006/main">
                        <a:graphicData uri="http://schemas.microsoft.com/office/word/2010/wordprocessingShape">
                          <wps:wsp>
                            <wps:cNvSpPr txBox="1"/>
                            <wps:spPr>
                              <a:xfrm>
                                <a:off x="0" y="0"/>
                                <a:ext cx="14033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29210"/>
                      <wp:effectExtent l="0" t="0" r="0" b="0"/>
                      <wp:wrapNone/>
                      <wp:docPr id="15" name="Frame1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81125" cy="29210"/>
                      <wp:effectExtent l="0" t="0" r="0" b="0"/>
                      <wp:wrapNone/>
                      <wp:docPr id="16" name="Frame13"/>
                      <a:graphic xmlns:a="http://schemas.openxmlformats.org/drawingml/2006/main">
                        <a:graphicData uri="http://schemas.microsoft.com/office/word/2010/wordprocessingShape">
                          <wps:wsp>
                            <wps:cNvSpPr txBox="1"/>
                            <wps:spPr>
                              <a:xfrm>
                                <a:off x="0" y="0"/>
                                <a:ext cx="13811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29210"/>
                      <wp:effectExtent l="0" t="0" r="0" b="0"/>
                      <wp:wrapNone/>
                      <wp:docPr id="17" name="Frame1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256280" cy="29210"/>
                      <wp:effectExtent l="0" t="0" r="0" b="0"/>
                      <wp:wrapNone/>
                      <wp:docPr id="18" name="Frame15"/>
                      <a:graphic xmlns:a="http://schemas.openxmlformats.org/drawingml/2006/main">
                        <a:graphicData uri="http://schemas.microsoft.com/office/word/2010/wordprocessingShape">
                          <wps:wsp>
                            <wps:cNvSpPr txBox="1"/>
                            <wps:spPr>
                              <a:xfrm>
                                <a:off x="0" y="0"/>
                                <a:ext cx="3256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Committee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1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Chairman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1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Membership</w:t>
            </w:r>
          </w:p>
        </w:tc>
      </w:tr>
      <w:tr>
        <w:trPr/>
        <w:tc>
          <w:tcPr>
            <w:tcW w:w="221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and Finance Committee</w:t>
            </w:r>
          </w:p>
        </w:tc>
        <w:tc>
          <w:tcPr>
            <w:tcW w:w="346" w:type="dxa"/>
            <w:tcBorders/>
            <w:shd w:fill="CCEEFF" w:val="clear"/>
            <w:vAlign w:val="center"/>
          </w:tcPr>
          <w:p>
            <w:pPr>
              <w:pStyle w:val="TableContents"/>
              <w:bidi w:val="0"/>
              <w:spacing w:before="0" w:after="0"/>
              <w:ind w:left="0" w:right="0" w:hanging="0"/>
              <w:jc w:val="left"/>
              <w:rPr/>
            </w:pPr>
            <w:r>
              <w:rPr/>
              <w:t>​</w:t>
            </w:r>
          </w:p>
        </w:tc>
        <w:tc>
          <w:tcPr>
            <w:tcW w:w="217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Shmuel “Muli” Ben Zvi, Ph.D.</w:t>
            </w:r>
          </w:p>
        </w:tc>
        <w:tc>
          <w:tcPr>
            <w:tcW w:w="346" w:type="dxa"/>
            <w:tcBorders/>
            <w:shd w:fill="CCEEFF" w:val="clear"/>
            <w:vAlign w:val="center"/>
          </w:tcPr>
          <w:p>
            <w:pPr>
              <w:pStyle w:val="TableContents"/>
              <w:bidi w:val="0"/>
              <w:spacing w:before="0" w:after="0"/>
              <w:ind w:left="0" w:right="0" w:hanging="0"/>
              <w:jc w:val="left"/>
              <w:rPr/>
            </w:pPr>
            <w:r>
              <w:rPr/>
              <w:t>​</w:t>
            </w:r>
          </w:p>
        </w:tc>
        <w:tc>
          <w:tcPr>
            <w:tcW w:w="512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Shmuel “Muli” Ben Zvi, Ph.D., Amos Bar Shalev, and Aharon Schwartz, Ph.D.</w:t>
            </w:r>
          </w:p>
        </w:tc>
      </w:tr>
      <w:tr>
        <w:trPr/>
        <w:tc>
          <w:tcPr>
            <w:tcW w:w="2210" w:type="dxa"/>
            <w:tcBorders/>
            <w:vAlign w:val="center"/>
          </w:tcPr>
          <w:p>
            <w:pPr>
              <w:pStyle w:val="TableContents"/>
              <w:pBdr/>
              <w:bidi w:val="0"/>
              <w:spacing w:before="0" w:after="0"/>
              <w:ind w:left="0" w:right="0" w:hanging="144"/>
              <w:jc w:val="left"/>
              <w:rPr>
                <w:rFonts w:ascii="Times New Roman;Times;serif" w:hAnsi="Times New Roman;Times;serif"/>
                <w:sz w:val="20"/>
              </w:rPr>
            </w:pPr>
            <w:r>
              <w:rPr>
                <w:rFonts w:ascii="Times New Roman;Times;serif" w:hAnsi="Times New Roman;Times;serif"/>
                <w:sz w:val="20"/>
              </w:rPr>
              <w:t>Compensation</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Committee</w:t>
            </w:r>
          </w:p>
        </w:tc>
        <w:tc>
          <w:tcPr>
            <w:tcW w:w="346" w:type="dxa"/>
            <w:tcBorders/>
            <w:vAlign w:val="center"/>
          </w:tcPr>
          <w:p>
            <w:pPr>
              <w:pStyle w:val="TableContents"/>
              <w:bidi w:val="0"/>
              <w:spacing w:before="0" w:after="0"/>
              <w:ind w:left="0" w:right="0" w:hanging="0"/>
              <w:jc w:val="left"/>
              <w:rPr/>
            </w:pPr>
            <w:r>
              <w:rPr/>
              <w:t>​</w:t>
            </w:r>
          </w:p>
        </w:tc>
        <w:tc>
          <w:tcPr>
            <w:tcW w:w="2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Amos Bar Shalev</w:t>
            </w:r>
          </w:p>
        </w:tc>
        <w:tc>
          <w:tcPr>
            <w:tcW w:w="346" w:type="dxa"/>
            <w:tcBorders/>
            <w:vAlign w:val="center"/>
          </w:tcPr>
          <w:p>
            <w:pPr>
              <w:pStyle w:val="TableContents"/>
              <w:bidi w:val="0"/>
              <w:spacing w:before="0" w:after="0"/>
              <w:ind w:left="0" w:right="0" w:hanging="0"/>
              <w:jc w:val="left"/>
              <w:rPr/>
            </w:pPr>
            <w:r>
              <w:rPr/>
              <w:t>​</w:t>
            </w:r>
          </w:p>
        </w:tc>
        <w:tc>
          <w:tcPr>
            <w:tcW w:w="51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Amos Bar Shalev, Shmuel “Muli” Ben Zvi, Ph.D., and Aharon Schwartz, Ph.D.</w:t>
            </w:r>
          </w:p>
        </w:tc>
      </w:tr>
      <w:tr>
        <w:trPr/>
        <w:tc>
          <w:tcPr>
            <w:tcW w:w="2210" w:type="dxa"/>
            <w:tcBorders/>
            <w:shd w:fill="CCEEFF" w:val="clear"/>
            <w:vAlign w:val="center"/>
          </w:tcPr>
          <w:p>
            <w:pPr>
              <w:pStyle w:val="TableContents"/>
              <w:pBdr/>
              <w:bidi w:val="0"/>
              <w:spacing w:before="0" w:after="0"/>
              <w:ind w:left="0" w:right="0" w:hanging="144"/>
              <w:jc w:val="left"/>
              <w:rPr>
                <w:rFonts w:ascii="Times New Roman;Times;serif" w:hAnsi="Times New Roman;Times;serif"/>
                <w:sz w:val="20"/>
              </w:rPr>
            </w:pPr>
            <w:r>
              <w:rPr>
                <w:rFonts w:ascii="Times New Roman;Times;serif" w:hAnsi="Times New Roman;Times;serif"/>
                <w:sz w:val="20"/>
              </w:rPr>
              <w:t>Nominating</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Committee</w:t>
            </w:r>
          </w:p>
        </w:tc>
        <w:tc>
          <w:tcPr>
            <w:tcW w:w="346" w:type="dxa"/>
            <w:tcBorders/>
            <w:shd w:fill="CCEEFF" w:val="clear"/>
            <w:vAlign w:val="center"/>
          </w:tcPr>
          <w:p>
            <w:pPr>
              <w:pStyle w:val="TableContents"/>
              <w:bidi w:val="0"/>
              <w:spacing w:before="0" w:after="0"/>
              <w:ind w:left="0" w:right="0" w:hanging="0"/>
              <w:jc w:val="left"/>
              <w:rPr/>
            </w:pPr>
            <w:r>
              <w:rPr/>
              <w:t>​</w:t>
            </w:r>
          </w:p>
        </w:tc>
        <w:tc>
          <w:tcPr>
            <w:tcW w:w="2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Amos Bar Shalev</w:t>
            </w:r>
          </w:p>
        </w:tc>
        <w:tc>
          <w:tcPr>
            <w:tcW w:w="346" w:type="dxa"/>
            <w:tcBorders/>
            <w:shd w:fill="CCEEFF" w:val="clear"/>
            <w:vAlign w:val="center"/>
          </w:tcPr>
          <w:p>
            <w:pPr>
              <w:pStyle w:val="TableContents"/>
              <w:bidi w:val="0"/>
              <w:spacing w:before="0" w:after="0"/>
              <w:ind w:left="0" w:right="0" w:hanging="0"/>
              <w:jc w:val="left"/>
              <w:rPr/>
            </w:pPr>
            <w:r>
              <w:rPr/>
              <w:t>​</w:t>
            </w:r>
          </w:p>
        </w:tc>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Amos Bar Shalev, Eliot Richard Forster, Ph.D., and Aharon Schwartz, Ph.D.</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there were six meetings of our Board of Directors, five meetings of the Audit and Finance Committee, one of which was a joint meeting with the Compensation Committee, and two meetings of the Compensation Committee, one of which was a joint meeting with the Nominating Committee. Our non-management directors hold meetings separate from management at least twice per year. All of our current directors that served on our Board of Directors during the year ended December 31, 2025 attended at least 75% of the aggregate number of meetings of the Board of Directors and the committees of the Board of Directors on which they served.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primary functions of each committee are as follows: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Audit and Finance Committee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has determined that Dr. Ben Zvi, Mr. Bar Shalev, and Dr. Schwartz are “independent” for purposes of membership on the Audit and Finance Committee pursuant to Section 803B(2) of the NYSE American Company Guide and Section 10A(m)(3) of the Exchange Act. We require that all Audit and Finance Committee members possess the required level of financial literacy and at least one member of the Audit and Finance Committee meet the current standard of requisite financial management expertise as required by the NYSE American and applicable rules and regulations of the SEC.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Audit and Finance Committee operates under a formal charter that governs its duties and conduct. A current copy of the Audit and Finance Committee Charter is available on our website at http://www.protalix.com.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members of the Audit and Finance Committee are independent from our executive officers and management.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independent registered public accounting firm reports directly to the Audit and Finance Committee.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Audit and Finance Committee meets with management and representatives of our registered public accounting firm prior to the filing of officers’ certifications with the SEC to receive information concerning, among other things, effectiveness of the design or operation of our internal controls over financial reporting, as required by Section 404 of SOX.</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Audit and Finance Committee has adopted a Policy for Reporting Questionable Accounting and Auditing Practices and Policy Prohibiting Retaliation against Reporting Employees to enable confidential and anonymous reporting of improper activities to the Audit and Finance Committee.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Dr. Ben Zvi, Mr. Bar Shalev, and Dr. Schwartz each qualify as “audit committee financial experts” under the applicable rules of the SEC. In making the determination as to these individuals’ status as audit committee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experts, our Board of Directors determined they have accounting and related financial management expertise within the meaning of the aforementioned rules, as well as the listing standards of the NYSE American.</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Compensation Committee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has determined that Mr. Bar Shalev, Dr. Ben Zvi, and Dr. Schwartz are “independent” for purposes of membership on the Compensation Committee pursuant to Section 805(c) of the NYSE American Company Guide. The Compensation Committee, either as a committee or together with the other independent directors, annually reviews the Company’s corporate goals and objectives relevant to CEO compensation, evaluates the CEO’s performance in light of such goals and objectives and reviews the CEO’s compensation. In addition, the Compensation Committee annually reviews and make recommendations to the Board with respect to non-CEO executive officer compensation and Board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Compensation Committee administers the Plan, reviews and approves any new equity compensation plan and material amendments or modifications to an existing or new plan, subject always to applicable shareholder approval requirements. The Compensation Committee approves stock option awards and other similar types of awards. or otherwise determined to be appropriate or desirable by the Compensation Committee or the Board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Compensation Committee operates under a formal charter that governs its duties and conduct. A current copy of the Compensation Committee Charter is available on our website at http://www.protalix.com.</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Nominating Committee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Nominating Committee is responsible for assisting our Board of Directors in selecting nominees for election to the Board of Directors and monitoring the composition of the Board of Directors. A current copy of the Nominating Committee Charter is available on our website at http://www.protalix.com.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Although our Board of Directors does not have a formal policy requiring the Nominating Committee to consider the diversity of directors in its nomination process, when considering potential new directors, the Nominating Committee reviews individuals from various disciplines and backgrounds, and consider the following qualifications: broad experience in business, finance or administration; familiarity with national business matters; familiarity with our industry; independence; and prominence and reputation. The committee seeks nominees with a broad diversity of experience, professions, education, skills and backgrounds with a view to having a Board of Directors that represents a diversity of views, experiences, and backgrounds. After making such a review, the Nominating Committee submits the nomination to the full Board of Directors for approval.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Stockholders’ nominations for election to the Board of Directors at the 2027 Annual Meeting of Stockholders must be submitted in writing to Gilad Mamlok, Corporate Secretary, not earlier than 45 days prior to the one-year anniversary of the mailing date of this proxy statement and not later than 75 days prior to the one-year anniversary of the mailing date of this proxy statement. The public announcement of a postponement or adjournment of an annual meeting will not commence a new time period for the giving of a stockholder’s notice as described above. Such written notice must include the following information: (i) name, age, business address and residence address of the nominee; (ii) the principal occupation or employment of the nominee; (iii) the class and number of shares of our Company beneficially owned by the nominee; and (iv) any other information relating to the nominee that would be required to be disclosed in solicitations for proxies for elections of directors pursuant to Regulation 14A of the Exchange Act. The written notice must also include the following information with respect to each stockholder delivering such notice: (i) the name and record address of such stockholder; and (ii) the class and number of shares of our Company beneficially owned by the stockholder. Lastly, the written notice must include certain information relating to any derivative or hedging transactions by the stockholder delivering such notice and its Stockholder Associated Persons, as defined in our By-Laws, and other arrangements with other parties regarding our securities, as presented in detail in our By-Laws. Stockholders can mail any such recommendations, including the criteria outlined above, to Gilad Mamlok, Corporate Secretary, Protalix BioTherapeutics, Inc., 2 University Plaza, Suite 100, Hackensack, NJ 07601.</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comply with the SEC’s universal proxy rules, a stockholder who intends to solicit proxies in support of director nominees other than our nominees must provide notice to us that sets forth the information required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Rule 14a-19 under the Exchange Act no later than April 26, 2027 (or, if the 2027 Annual Meeting of Stockholders is held more than 30 days before or after June 25, 2027, then no later than the later of 60 days prior to the 2027 Annual Meeting of Stockholders or the 10th day following the day on which we first publicly announce the date of the 2027 Annual Meeting of Stockholders).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Contacting the Board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Stockholders who wish to communicate with the Board of Directors may do so by mailing any such communications to Gilad Mamlok, Corporate Secretary, Protalix BioTherapeutics, Inc., 2 University Plaza, Suite 100, Hackensack, NJ 07601. All communications are distributed to the Board of Directors, as appropriate, depending upon the facts and circumstances outlined in the communications received. For example, if any complaints regarding accounting and/or auditing matters are received, they may be forwarded by our Corporate Secretary to the Audit and Finance Committee for review.</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Policy Governing Director Attendance at Annual Meetings of Stockholders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no formal policy regarding attendance by our directors at annual stockholders meetings, although we encourage such attendance and anticipate most of our directors will attend these meetings. Mr. Bar Shalev and Mr. Bashan participated in our 2025 annual meeting of stockholders.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Compensation of Directors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with respect to compensation of our non-employee directors during fiscal year 2025.</w:t>
      </w:r>
    </w:p>
    <w:p>
      <w:pPr>
        <w:pStyle w:val="TextBody"/>
        <w:bidi w:val="0"/>
        <w:spacing w:before="0" w:after="0"/>
        <w:ind w:left="0" w:right="0" w:firstLine="720"/>
        <w:jc w:val="left"/>
        <w:rPr/>
      </w:pPr>
      <w:r>
        <w:rPr/>
        <w:t>​</w:t>
      </w:r>
    </w:p>
    <w:tbl>
      <w:tblPr>
        <w:tblW w:w="8229" w:type="dxa"/>
        <w:jc w:val="left"/>
        <w:tblInd w:w="0" w:type="dxa"/>
        <w:tblLayout w:type="fixed"/>
        <w:tblCellMar>
          <w:top w:w="0" w:type="dxa"/>
          <w:left w:w="0" w:type="dxa"/>
          <w:bottom w:w="0" w:type="dxa"/>
          <w:right w:w="0" w:type="dxa"/>
        </w:tblCellMar>
      </w:tblPr>
      <w:tblGrid>
        <w:gridCol w:w="2596"/>
        <w:gridCol w:w="346"/>
        <w:gridCol w:w="1276"/>
        <w:gridCol w:w="346"/>
        <w:gridCol w:w="1036"/>
        <w:gridCol w:w="346"/>
        <w:gridCol w:w="1141"/>
        <w:gridCol w:w="346"/>
        <w:gridCol w:w="79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648460" cy="175260"/>
                      <wp:effectExtent l="0" t="0" r="0" b="0"/>
                      <wp:wrapNone/>
                      <wp:docPr id="19" name="Frame1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0"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810260" cy="175260"/>
                      <wp:effectExtent l="0" t="0" r="0" b="0"/>
                      <wp:wrapNone/>
                      <wp:docPr id="21" name="Frame18"/>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2"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57860" cy="175260"/>
                      <wp:effectExtent l="0" t="0" r="0" b="0"/>
                      <wp:wrapNone/>
                      <wp:docPr id="23"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4"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24535" cy="175260"/>
                      <wp:effectExtent l="0" t="0" r="0" b="0"/>
                      <wp:wrapNone/>
                      <wp:docPr id="25" name="Frame2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6"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5460" cy="175260"/>
                      <wp:effectExtent l="0" t="0" r="0" b="0"/>
                      <wp:wrapNone/>
                      <wp:docPr id="27" name="Frame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 or</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 Cash ($)</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Eliot Richard Forster, Ph.D.</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99,575</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Amos Bar Shalev</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Shmuel “Muli” Ben Zvi, Ph.D.</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 F. Boudes, M.D.</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Christian Elze </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Gwen A. Melincoff</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Aharon Schwartz, Ph.D.</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71,708</w:t>
            </w:r>
          </w:p>
        </w:tc>
      </w:tr>
    </w:tbl>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Effective January 1, 2026, the annual cash retainer payable to the non-executive members of the Board of Directors, other than the Chairman of the Board of Directors, was increased to be $60,000 and the annual cash retainer payable to Chairman of the Board of Directors was increased to $95,000. All such retainers are payable on a quarterly basis.</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Compensation Committee Interlocks and Insider Participation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member of our Compensation Committee or any executive officer of the Company or of Protalix Ltd. has a relationship that would constitute an interlocking relationship with executive officers or directors of another entity. No Compensation Committee member is or was an officer or employee of the Company or of Protalix Ltd. or had any relationship that constituted a related party transaction. Further, none of our executive officers serves on the Board of Directors or compensation committee of any entity that has one or more executive officers serving as a member of our Board of Directors or Compensation Committee.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Code of Business Conduct and Ethics includes provisions ranging from restrictions on gifts to conflicts of interest. All of our employees and directors are bound by this Code of Business Conduct and Ethics. Violations of our Code of Business Conduct and Ethics may be reported to the Audit and Finance Committee.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Code of Business Conduct and Ethics includes provisions applicable to all of our employees, including senior financial officers and members of our Board of Directors and is posted on our website (www.protalix.com). We intend to post amendments to or waivers from any such Code of Business Conduct and Ethics.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Insider Trading, Prohibition on Short-term, Speculative Transactions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Insider Trading and Blackout Policy includes restrictions regarding the timing and types of transactions in our securities by our directors, officers, including our Named Executive officers, and other employees. The policy also applies to the Company itself when conducting transactions in its own securities. Our directors, officers, and certain other designated employees are prohibited from trading during blackout periods (during the period from and including the close of business on the seventh day prior to the end of the third month of each quarter and ends on the opening of the second business day following our filing with the SEC of the Company’s quarterly or annual financial reports or earlier public release of quarterly or annual financial information) and without the clearance of our Compliance Officer. In addition, the policy provides that none of our directors, officers or other employees may engage in the following transactions: (i) purchasing our securities on margin or borrow against our securities held in a margin account; (ii) pledging our securities as collateral; (iii) short sales; (iv) buying or selling puts or calls in connection with our securities; (v) engaging in derivative transactions relating to our securities (e.g., exchange traded options, etc.); and (vi) engaging in any other hedging transactions related to the our securities. Furthermore, the policy sets forth requirements for our directors, officers and other employees to purchase or sell our securities under certain pre-planned trading programs adopted to purchase or sell securities in the future, in compliance with Rule 10b5-1 under the Exchange Act. A copy of our Insider Trading and Blackout Policy is set forth as Exhibit 19 to our Annual Report on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0" w:right="0" w:hanging="0"/>
        <w:jc w:val="center"/>
        <w:rPr>
          <w:rFonts w:ascii="Times New Roman;Times;serif" w:hAnsi="Times New Roman;Times;serif"/>
          <w:b/>
          <w:sz w:val="20"/>
        </w:rPr>
      </w:pPr>
      <w:bookmarkStart w:id="9" w:name="_c03a05ce_af67_441c_aca2_82bce068d446"/>
      <w:bookmarkEnd w:id="9"/>
      <w:r>
        <w:rPr>
          <w:rFonts w:ascii="Times New Roman;Times;serif" w:hAnsi="Times New Roman;Times;serif"/>
          <w:b/>
          <w:sz w:val="20"/>
        </w:rPr>
        <w:t>MANAGEMENT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2025 executive officers, their ages and positions, and other information are as follows:</w:t>
      </w:r>
    </w:p>
    <w:tbl>
      <w:tblPr>
        <w:tblW w:w="7940" w:type="dxa"/>
        <w:jc w:val="left"/>
        <w:tblInd w:w="0" w:type="dxa"/>
        <w:tblLayout w:type="fixed"/>
        <w:tblCellMar>
          <w:top w:w="0" w:type="dxa"/>
          <w:left w:w="0" w:type="dxa"/>
          <w:bottom w:w="0" w:type="dxa"/>
          <w:right w:w="0" w:type="dxa"/>
        </w:tblCellMar>
      </w:tblPr>
      <w:tblGrid>
        <w:gridCol w:w="1306"/>
        <w:gridCol w:w="346"/>
        <w:gridCol w:w="436"/>
        <w:gridCol w:w="346"/>
        <w:gridCol w:w="5506"/>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829310" cy="29210"/>
                      <wp:effectExtent l="0" t="0" r="0" b="0"/>
                      <wp:wrapNone/>
                      <wp:docPr id="28" name="Frame25"/>
                      <a:graphic xmlns:a="http://schemas.openxmlformats.org/drawingml/2006/main">
                        <a:graphicData uri="http://schemas.microsoft.com/office/word/2010/wordprocessingShape">
                          <wps:wsp>
                            <wps:cNvSpPr txBox="1"/>
                            <wps:spPr>
                              <a:xfrm>
                                <a:off x="0" y="0"/>
                                <a:ext cx="829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29210"/>
                      <wp:effectExtent l="0" t="0" r="0" b="0"/>
                      <wp:wrapNone/>
                      <wp:docPr id="29" name="Frame2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76860" cy="29210"/>
                      <wp:effectExtent l="0" t="0" r="0" b="0"/>
                      <wp:wrapNone/>
                      <wp:docPr id="30" name="Frame27"/>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29210"/>
                      <wp:effectExtent l="0" t="0" r="0" b="0"/>
                      <wp:wrapNone/>
                      <wp:docPr id="31" name="Frame2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496310" cy="29210"/>
                      <wp:effectExtent l="0" t="0" r="0" b="0"/>
                      <wp:wrapNone/>
                      <wp:docPr id="32" name="Frame29"/>
                      <a:graphic xmlns:a="http://schemas.openxmlformats.org/drawingml/2006/main">
                        <a:graphicData uri="http://schemas.microsoft.com/office/word/2010/wordprocessingShape">
                          <wps:wsp>
                            <wps:cNvSpPr txBox="1"/>
                            <wps:spPr>
                              <a:xfrm>
                                <a:off x="0" y="0"/>
                                <a:ext cx="3496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0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Position</w:t>
            </w:r>
          </w:p>
        </w:tc>
      </w:tr>
      <w:tr>
        <w:trPr/>
        <w:tc>
          <w:tcPr>
            <w:tcW w:w="130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Dror Bashan</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550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3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Gilad Mamlok</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Sr. Vice President, Chief Financial Officer, Treasurer and Secretary</w:t>
            </w:r>
          </w:p>
        </w:tc>
      </w:tr>
      <w:tr>
        <w:trPr/>
        <w:tc>
          <w:tcPr>
            <w:tcW w:w="13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Yaron Naos</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Sr. Vice President, Operations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biographical information for Mr. Bashan is set forth above under “Proposal 1: Election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 xml:space="preserve">Gilad Mamlok. </w:t>
      </w:r>
      <w:r>
        <w:rPr>
          <w:rFonts w:ascii="Times New Roman;Times;serif" w:hAnsi="Times New Roman;Times;serif"/>
          <w:sz w:val="20"/>
        </w:rPr>
        <w:t>Mr. Mamlok has served as our Senior Vice President and Chief Financial Officer since August 2025. He brings to Protalix three decades of experience in healthcare and technology companies with an extensive background in capital markets transactions, mergers and acquisitions, business development and investor relations as well as in corporate governance matters. In March 2026, he was appointed to the Board of Directors of Ellomay Capital Ltd. (NYSE American:ELLO) (TASE:ELLO), a renewable energy and power generator and developer of renewable energy and power projects in Europe, Israel and the USA. Prior to joining Protalix, from July 2024 through July 2025, he served as the Chief Financial Officer of TytoCare Ltd., a privately-held company in the remote healthcare space. From February 2017 through July 2024, Mr. Mamlok served as the Chief Financial Officer of Sol-Gel Technologies Ltd. In this role, he was responsible for an initial public offering and other capital markets transactions, as well as in-licensing and out-licensing transactions. Prior to his role at Sol-Gel, he served in other medical device companies, including Given Imaging which was acquired by Covidien plc in 2014. Mr. Mamlok holds a BA in Economics, magna cum laude, and a Master’s degree in Business/Managerial Economics, both from the Tel Aviv University.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Yaron Naos.</w:t>
      </w:r>
      <w:r>
        <w:rPr>
          <w:rFonts w:ascii="Times New Roman;Times;serif" w:hAnsi="Times New Roman;Times;serif"/>
          <w:sz w:val="20"/>
        </w:rPr>
        <w:t xml:space="preserve"> Mr. Naos joined Protalix in 2004, originally as a Senior Director for Operations and later as Vice President for Production, and became our Senior Vice President, Operations in 2018. In March 2026, Mr. Naos became our Chief Operating Officer. He has a wealth of hands-on experience and knowledge in the field of pharmaceutical development. Prior to joining Protalix, he served for a decade as R&amp;D Product Manager at Dexxon Pharmaceutical Co., one of Israel’s largest pharmaceutical companies, where he was responsible for technology transfer from R&amp;D to production, and in charge of R&amp;D activities that led to the commercialization of many products. Later, Mr. Naos was plant manager of Medibrands Pharmaceutical Company, as well as logistics manager of Mediline for period of four years, where he was responsible for all operational activities, from procurement to distribution. Mr. Naos holds a B.Sc. in Food Engineering and Biotechnology from the Technion-Israel Technology Institute and an MBA from Haifa University.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Family Relationships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are no family relationships among directors or executive officers of our Company.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Executive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primary goals of the Compensation Committee of our Board of Directors with respect to executive compensation are to attract and retain the most talented and dedicated executives possible, to tie annual and long-term cash and stock incentives to achievement of specified performance objectives, and to align executives’ incentives with stockholder value creation. To achieve these goals, the Compensation Committee may implement and maintain compensation plans that tie a portion of executive officers’ overall compensation to key strategic goals such as developments in our clinical path, the establishment of key strategic collaborations, the build-up of our pipeline and the strengthening of our financial position. The Compensation Committee evaluates individual executive performance with a goal of setting compensation at levels the committee believes are comparable with executives in other companies of similar size and stage of development operating in the biotechnology industry while taking into account our relative performance and our own strategic goals.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Elements of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Executive compensation consists of following elements: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Base Salary.</w:t>
      </w:r>
      <w:r>
        <w:rPr>
          <w:rFonts w:ascii="Times New Roman;Times;serif" w:hAnsi="Times New Roman;Times;serif"/>
          <w:sz w:val="20"/>
        </w:rPr>
        <w:t xml:space="preserve"> Base salaries for our executive officers are established based on the scope of their responsibilities taking into account competitive market compensation paid by other companies for similar positions. Generally, we believe that executive base salaries should be targeted near the median of the range of salaries for executives in similar positions with similar responsibilities at comparable companies. The Compensation Committee convenes from time to time to evaluate present and future executive compensation, which evaluation generally includes an evaluation of the peer group considered in analyzing executive compensation. The Compensation Committee intends to continue reviewing and revising the peer group periodically to ensure that it continues to reflect companies similar to the Company in size and development stage. The Compensation Committee also reviews executive compensation reports and an analysis of publicly-traded biotechnology companies prepared by third party experts from a well-known consulting firm for additional data and other information regarding executive compensation for comparative purposes.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Base salaries are usually reviewed annually, and adjusted from time to time to realign salaries with market levels after taking into account individual responsibilities, performance, and experience. In March 2026, the Compensation Committee increased Mr. Bashan’s monthly salary to NIS 120,175 and Mr. Naos’ monthly salary to NIS 70,000. The base salaries of each of our President and Chief Executive Officer, our current Senior Vice President and Chief Financial Officer, our former Senior Vice President and Chief Financial Officer, and our Senior Vice President, Chief Operating Officer, who we refer to collectively as the “Named Executive Officers,” are discussed herein.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Annual Bonus</w:t>
      </w:r>
      <w:r>
        <w:rPr>
          <w:rFonts w:ascii="Times New Roman;Times;serif" w:hAnsi="Times New Roman;Times;serif"/>
          <w:b/>
          <w:sz w:val="20"/>
        </w:rPr>
        <w:t>.</w:t>
      </w:r>
      <w:r>
        <w:rPr>
          <w:rFonts w:ascii="Times New Roman;Times;serif" w:hAnsi="Times New Roman;Times;serif"/>
          <w:sz w:val="20"/>
        </w:rPr>
        <w:t xml:space="preserve"> The Compensation Committee has the authority to award discretionary annual bonuses to our executive officers. Discretionary annual bonus awards are intended to compensate officers for achieving financial, clinical, regulatory, and operational goals and for achieving individual annual performance objectives. For any given year, the compensation objectives vary, but relate generally to strategic factors such as developments in our clinical path, the establishment of key strategic collaborations, the build-up of our pipeline and financial factors such as capital raising. Bonuses are awarded generally based on corporate performance, with adjustments made within a range for individual performance, at the discretion of the Compensation Committee. The Compensation Committee determines, on a discretionary basis, the size of the entire bonus pool and the amount of the actual award to each Named Executive Officer.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Compensation Committee selects, in its discretion, the executive officers of the Company or our subsidiary who are eligible to receive bonuses for any given year. Any bonus granted by the Compensation Committee will generally be paid upon the achievement of one or more specific milestones, subject to certain terms and conditions. The Compensation Committee has not fixed a minimum or maximum award for any executive officer’s annual discretionary bonus. Each of our executive officers is eligible for a discretionary annual bonus under his or her employment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our Board of Directors determined that the Named Executive Officers and other officers and employees of the Company were entitled to certain cash bonuses as compensation for their efforts and executions during calendar year 2024. Important achievements by the Company during calendar year 2024 considered by the Board of Directors included the following:</w:t>
      </w:r>
    </w:p>
    <w:p>
      <w:pPr>
        <w:pStyle w:val="TextBody"/>
        <w:bidi w:val="0"/>
        <w:spacing w:before="0" w:after="200"/>
        <w:ind w:left="0" w:right="0" w:hanging="0"/>
        <w:jc w:val="left"/>
        <w:rPr/>
      </w:pPr>
      <w:r>
        <w:rPr/>
        <w:t>●</w:t>
      </w:r>
      <w:r>
        <w:rPr>
          <w:rFonts w:ascii="Times New Roman;Times;serif" w:hAnsi="Times New Roman;Times;serif"/>
          <w:sz w:val="20"/>
        </w:rPr>
        <w:t>Increased revenues generated from of all three of the Company’s revenue sources;</w:t>
      </w:r>
    </w:p>
    <w:p>
      <w:pPr>
        <w:pStyle w:val="TextBody"/>
        <w:bidi w:val="0"/>
        <w:spacing w:before="0" w:after="200"/>
        <w:ind w:left="0" w:right="0" w:hanging="0"/>
        <w:jc w:val="left"/>
        <w:rPr/>
      </w:pPr>
      <w:r>
        <w:rPr/>
        <w:t>●</w:t>
      </w:r>
      <w:r>
        <w:rPr>
          <w:rFonts w:ascii="Times New Roman;Times;serif" w:hAnsi="Times New Roman;Times;serif"/>
          <w:sz w:val="20"/>
        </w:rPr>
        <w:t>Secured sufficient liquidity while fully repaying the then outstanding convertible notes;</w:t>
      </w:r>
    </w:p>
    <w:p>
      <w:pPr>
        <w:pStyle w:val="TextBody"/>
        <w:bidi w:val="0"/>
        <w:spacing w:before="0" w:after="200"/>
        <w:ind w:left="0" w:right="0" w:hanging="0"/>
        <w:jc w:val="left"/>
        <w:rPr/>
      </w:pPr>
      <w:r>
        <w:rPr/>
        <w:t>●</w:t>
      </w:r>
      <w:r>
        <w:rPr>
          <w:rFonts w:ascii="Times New Roman;Times;serif" w:hAnsi="Times New Roman;Times;serif"/>
          <w:sz w:val="20"/>
        </w:rPr>
        <w:t>Finalized our strategic path;</w:t>
      </w:r>
    </w:p>
    <w:p>
      <w:pPr>
        <w:pStyle w:val="TextBody"/>
        <w:bidi w:val="0"/>
        <w:spacing w:before="0" w:after="200"/>
        <w:ind w:left="0" w:right="0" w:hanging="0"/>
        <w:jc w:val="left"/>
        <w:rPr/>
      </w:pPr>
      <w:r>
        <w:rPr/>
        <w:t>●</w:t>
      </w:r>
      <w:r>
        <w:rPr>
          <w:rFonts w:ascii="Times New Roman;Times;serif" w:hAnsi="Times New Roman;Times;serif"/>
          <w:sz w:val="20"/>
        </w:rPr>
        <w:t xml:space="preserve">Strengthened our Research &amp; Development team and capabilities; </w:t>
      </w:r>
    </w:p>
    <w:p>
      <w:pPr>
        <w:pStyle w:val="TextBody"/>
        <w:bidi w:val="0"/>
        <w:spacing w:before="0" w:after="200"/>
        <w:ind w:left="0" w:right="0" w:hanging="0"/>
        <w:jc w:val="left"/>
        <w:rPr/>
      </w:pPr>
      <w:r>
        <w:rPr/>
        <w:t>●</w:t>
      </w:r>
      <w:r>
        <w:rPr>
          <w:rFonts w:ascii="Times New Roman;Times;serif" w:hAnsi="Times New Roman;Times;serif"/>
          <w:sz w:val="20"/>
        </w:rPr>
        <w:t>Successfully completed first-in-humans Phase 1 clinical trial of PRX-115 (PEGylated Uricase for the treatment of uncontrolled Gout);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00"/>
        <w:ind w:left="0" w:right="0" w:hanging="0"/>
        <w:jc w:val="left"/>
        <w:rPr/>
      </w:pPr>
      <w:r>
        <w:rPr/>
        <w:t>●</w:t>
      </w:r>
      <w:r>
        <w:rPr>
          <w:rFonts w:ascii="Times New Roman;Times;serif" w:hAnsi="Times New Roman;Times;serif"/>
          <w:sz w:val="20"/>
        </w:rPr>
        <w:t xml:space="preserve">Obtained approvals to increase the total shares available for issuance under the Plan; </w:t>
      </w:r>
    </w:p>
    <w:p>
      <w:pPr>
        <w:pStyle w:val="TextBody"/>
        <w:bidi w:val="0"/>
        <w:spacing w:before="0" w:after="200"/>
        <w:ind w:left="0" w:right="0" w:hanging="0"/>
        <w:jc w:val="left"/>
        <w:rPr/>
      </w:pPr>
      <w:r>
        <w:rPr/>
        <w:t>●</w:t>
      </w:r>
      <w:r>
        <w:rPr>
          <w:rFonts w:ascii="Times New Roman;Times;serif" w:hAnsi="Times New Roman;Times;serif"/>
          <w:sz w:val="20"/>
        </w:rPr>
        <w:t>Strengthened and improved the positive workplace environment; and</w:t>
      </w:r>
    </w:p>
    <w:p>
      <w:pPr>
        <w:pStyle w:val="TextBody"/>
        <w:bidi w:val="0"/>
        <w:ind w:left="0" w:right="0" w:hanging="0"/>
        <w:jc w:val="left"/>
        <w:rPr/>
      </w:pPr>
      <w:r>
        <w:rPr/>
        <w:t>●</w:t>
      </w:r>
      <w:r>
        <w:rPr>
          <w:rFonts w:ascii="Times New Roman;Times;serif" w:hAnsi="Times New Roman;Times;serif"/>
          <w:sz w:val="20"/>
        </w:rPr>
        <w:t>Continuous uninterrupted operations despite the current geopolitical situation in Israel.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Based on the foregoing, in 2025 the Compensation Committee after consultation with the Board of Directors, resolved to grant certain cash bonuses to certain Named Executive Officers and other officers and employees of the Company for their efforts during 2024. The bonuses included NIS 983,250, or nine monthly salaries, to Mr. Bashan, NIS 480,000, or six monthly salaries, to Mr. Rubin, and NIS 327,750, or approximately five monthly salaries, to Mr. Naos.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Options and Share-Based Compensation. </w:t>
      </w:r>
      <w:r>
        <w:rPr>
          <w:rFonts w:ascii="Times New Roman;Times;serif" w:hAnsi="Times New Roman;Times;serif"/>
          <w:sz w:val="20"/>
        </w:rPr>
        <w:t>Our Plan authorizes us to grant options to purchase shares of common stock, restricted stock and other securities to our employees, directors and consultants. Our Compensation Committee is the administrator of the Plan. Stock option or other grants are generally made at the commencement of employment and following a significant change in job responsibilities or to meet other special retention or performance objectives. The Compensation Committee reviews and approves stock option and other awards to executive officers based upon a review of competitive compensation data, its assessment of individual performance, a review of each executive’s existing long-term incentives, and retention considerations. The exercise price of stock options granted under the Plan must be equal to at least 100% of the fair market value of our common stock on the date of grant.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the Compensation Committee granted to Mr. Bashan 340,000 shares of restricted stock and options to purchase 195,000 shares of common stock with an exercise price equal to $1.64 per share; to Mr. Naos 50,000 shares of restricted stock and options to purchase 25,000 shares of common stock with an exercise price equal to $1.64 per share; and to Mr. Mamlok options to purchase 597,990 shares of common stock with an exercise price equal to $1.45 per share. The options were granted to Mr. Mamlok upon his joining the Company. All of the foregoing restricted stock and options to purchase common stock vest quarterly in 12 equal increments over a three-year period commencing upon the date of grant, subject to certain terms and conditions.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Severance and Change in Control Benefits.</w:t>
      </w:r>
      <w:r>
        <w:rPr>
          <w:rFonts w:ascii="Times New Roman;Times;serif" w:hAnsi="Times New Roman;Times;serif"/>
          <w:sz w:val="20"/>
        </w:rPr>
        <w:t xml:space="preserve"> The Compensation Committee granted the following payments that would be payable in connection with a change of control: $1.0 million to the President and Chief Executive Officer, $400,000 to Mr. Naos, and, to Mr. Mamlok, an amount equal to twelve (12) months’ cost of his then applicable salary. Such payments are subject to certain terms and conditions. In addition to the foregoing, pursuant to the employment agreements entered into with each of our Named Executive Officers, each Named Executive Officer, while employed by the Company, is entitled to be insured by Protalix Ltd. under a Manager’s Policy in lieu of severance. The intention of such Manager’s Policies is to provide the Israel-based officers with severance protection of one month’s salary for each year of employment. In addition, the stock options and restricted stock granted to each of our Named Executive Officers provide that all of such instruments are subject to accelerated vesting immediately upon a change in control of the Company.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Other Compensation. </w:t>
      </w:r>
      <w:r>
        <w:rPr>
          <w:rFonts w:ascii="Times New Roman;Times;serif" w:hAnsi="Times New Roman;Times;serif"/>
          <w:sz w:val="20"/>
        </w:rPr>
        <w:t>Consistent with our compensation philosophy, we intend to continue to maintain our current benefits for our executive officers; however, the Compensation Committee in its discretion may revise, amend, or add to the officer’s executive benefits if it deems it advisable. As an additional benefit to all of our Israel-based Named Executive Officers and for most of our employees, we contribute to certain funds amounts equaling a total of approximately 15% of their respective gross salaries for certain pension and other savings plans for the benefit of the Named Executive Officers and other employees. In addition, in accordance with customary practice in Israel, our Israel-based executives’ agreements require us to contribute towards their vocational studies, and to provide annual recreational allowances, a company car and a company phone. We believe these benefits are currently equivalent with the median compensation levels at comparable companies.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Executive Compensation. </w:t>
      </w:r>
      <w:r>
        <w:rPr>
          <w:rFonts w:ascii="Times New Roman;Times;serif" w:hAnsi="Times New Roman;Times;serif"/>
          <w:sz w:val="20"/>
        </w:rPr>
        <w:t>We refer to the “Summary Compensation Table” set forth below for information regarding the compensation earned during the fiscal year ended December 31, 2025 by our Named Executive Officers.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a summary for the fiscal years ended December 31, 2025 and 2024, respectively, of the cash and non-cash compensation awarded, paid or accrued by us or Protalix Ltd. to our Named Executive Officers. There were no restricted stock awards, long-term incentive plan payouts or other compensation paid during fiscal years December 31, 2025 and 2024 by us or Protalix Ltd. to the Named Executive Officers, except as set forth below. All of the Named Executive Officers are employees or former employees of our subsidiary, Protalix Ltd. All currency amounts are expressed in U.S. dollars.</w:t>
      </w:r>
    </w:p>
    <w:tbl>
      <w:tblPr>
        <w:tblW w:w="10205" w:type="dxa"/>
        <w:jc w:val="left"/>
        <w:tblInd w:w="0" w:type="dxa"/>
        <w:tblLayout w:type="fixed"/>
        <w:tblCellMar>
          <w:top w:w="0" w:type="dxa"/>
          <w:left w:w="0" w:type="dxa"/>
          <w:bottom w:w="0" w:type="dxa"/>
          <w:right w:w="0" w:type="dxa"/>
        </w:tblCellMar>
      </w:tblPr>
      <w:tblGrid>
        <w:gridCol w:w="2410"/>
        <w:gridCol w:w="346"/>
        <w:gridCol w:w="466"/>
        <w:gridCol w:w="346"/>
        <w:gridCol w:w="691"/>
        <w:gridCol w:w="346"/>
        <w:gridCol w:w="691"/>
        <w:gridCol w:w="346"/>
        <w:gridCol w:w="821"/>
        <w:gridCol w:w="346"/>
        <w:gridCol w:w="691"/>
        <w:gridCol w:w="346"/>
        <w:gridCol w:w="1141"/>
        <w:gridCol w:w="346"/>
        <w:gridCol w:w="872"/>
      </w:tblGrid>
      <w:tr>
        <w:trPr/>
        <w:tc>
          <w:tcPr>
            <w:tcW w:w="2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30350" cy="175260"/>
                      <wp:effectExtent l="0" t="0" r="0" b="0"/>
                      <wp:wrapNone/>
                      <wp:docPr id="33" name="Frame30"/>
                      <a:graphic xmlns:a="http://schemas.openxmlformats.org/drawingml/2006/main">
                        <a:graphicData uri="http://schemas.microsoft.com/office/word/2010/wordprocessingShape">
                          <wps:wsp>
                            <wps:cNvSpPr txBox="1"/>
                            <wps:spPr>
                              <a:xfrm>
                                <a:off x="0" y="0"/>
                                <a:ext cx="153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4"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95910" cy="175260"/>
                      <wp:effectExtent l="0" t="0" r="0" b="0"/>
                      <wp:wrapNone/>
                      <wp:docPr id="35" name="Frame3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6"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785" cy="175260"/>
                      <wp:effectExtent l="0" t="0" r="0" b="0"/>
                      <wp:wrapNone/>
                      <wp:docPr id="37" name="Frame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8"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39"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0"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1335" cy="175260"/>
                      <wp:effectExtent l="0" t="0" r="0" b="0"/>
                      <wp:wrapNone/>
                      <wp:docPr id="41" name="Frame38"/>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2"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8785" cy="175260"/>
                      <wp:effectExtent l="0" t="0" r="0" b="0"/>
                      <wp:wrapNone/>
                      <wp:docPr id="43" name="Frame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4"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24535" cy="175260"/>
                      <wp:effectExtent l="0" t="0" r="0" b="0"/>
                      <wp:wrapNone/>
                      <wp:docPr id="45" name="Frame4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6"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53720" cy="175260"/>
                      <wp:effectExtent l="0" t="0" r="0" b="0"/>
                      <wp:wrapNone/>
                      <wp:docPr id="47" name="Frame44"/>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0"/>
              <w:ind w:left="0" w:right="0" w:hanging="0"/>
              <w:jc w:val="center"/>
              <w:rPr/>
            </w:pPr>
            <w:r>
              <w:rPr/>
              <w:t>  ​ ​ ​</w:t>
            </w:r>
          </w:p>
        </w:tc>
        <w:tc>
          <w:tcPr>
            <w:tcW w:w="872" w:type="dxa"/>
            <w:tcBorders/>
            <w:vAlign w:val="center"/>
          </w:tcPr>
          <w:p>
            <w:pPr>
              <w:pStyle w:val="TableContents"/>
              <w:bidi w:val="0"/>
              <w:spacing w:before="0" w:after="0"/>
              <w:ind w:left="0" w:right="0" w:hanging="0"/>
              <w:jc w:val="center"/>
              <w:rPr/>
            </w:pPr>
            <w:r>
              <w:rPr/>
              <w:t>​</w:t>
            </w:r>
          </w:p>
        </w:tc>
      </w:tr>
      <w:tr>
        <w:trPr/>
        <w:tc>
          <w:tcPr>
            <w:tcW w:w="24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46" w:type="dxa"/>
            <w:tcBorders/>
            <w:vAlign w:val="center"/>
          </w:tcPr>
          <w:p>
            <w:pPr>
              <w:pStyle w:val="TableContents"/>
              <w:bidi w:val="0"/>
              <w:spacing w:before="0" w:after="0"/>
              <w:ind w:left="0" w:right="0" w:hanging="0"/>
              <w:jc w:val="center"/>
              <w:rPr/>
            </w:pPr>
            <w:r>
              <w:rPr/>
              <w:t>​</w:t>
            </w:r>
          </w:p>
        </w:tc>
        <w:tc>
          <w:tcPr>
            <w:tcW w:w="8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0"/>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w:t>
            </w:r>
          </w:p>
        </w:tc>
        <w:tc>
          <w:tcPr>
            <w:tcW w:w="346" w:type="dxa"/>
            <w:tcBorders/>
            <w:vAlign w:val="center"/>
          </w:tcPr>
          <w:p>
            <w:pPr>
              <w:pStyle w:val="TableContents"/>
              <w:bidi w:val="0"/>
              <w:spacing w:before="0" w:after="0"/>
              <w:ind w:left="0" w:right="0" w:hanging="0"/>
              <w:jc w:val="center"/>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Dror Bashan</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401,836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279,491</w:t>
            </w:r>
          </w:p>
        </w:tc>
        <w:tc>
          <w:tcPr>
            <w:tcW w:w="346"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190,015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169,017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126,575</w:t>
            </w:r>
          </w:p>
        </w:tc>
        <w:tc>
          <w:tcPr>
            <w:tcW w:w="346"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1,166,934</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President and Chief Executive Officer</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374,108</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918,318</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118,803</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116,563</w:t>
            </w:r>
          </w:p>
        </w:tc>
        <w:tc>
          <w:tcPr>
            <w:tcW w:w="346"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1,527,792</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Gilad Mamlok (3)</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133,919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229,729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41,577</w:t>
            </w:r>
          </w:p>
        </w:tc>
        <w:tc>
          <w:tcPr>
            <w:tcW w:w="346"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405,225</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Senior Vice President and Chief Financial Officer</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Eyal Rubin</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240,576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181,208</w:t>
            </w:r>
          </w:p>
        </w:tc>
        <w:tc>
          <w:tcPr>
            <w:tcW w:w="34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183,393</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195,832</w:t>
            </w:r>
          </w:p>
        </w:tc>
        <w:tc>
          <w:tcPr>
            <w:tcW w:w="346"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832,461</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Senior Vice President and Chief Financial Officer</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287,363</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130,399</w:t>
            </w:r>
          </w:p>
        </w:tc>
        <w:tc>
          <w:tcPr>
            <w:tcW w:w="346"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288,669</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55,441</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97,594</w:t>
            </w:r>
          </w:p>
        </w:tc>
        <w:tc>
          <w:tcPr>
            <w:tcW w:w="346"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859,466</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Yaron Naos (4)</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232,784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90,115</w:t>
            </w:r>
          </w:p>
        </w:tc>
        <w:tc>
          <w:tcPr>
            <w:tcW w:w="346"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77,804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79,826</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95,240</w:t>
            </w:r>
          </w:p>
        </w:tc>
        <w:tc>
          <w:tcPr>
            <w:tcW w:w="346"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575,769</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Senior Vice President, Chief Operating Officer</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215,546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95,083</w:t>
            </w:r>
          </w:p>
        </w:tc>
        <w:tc>
          <w:tcPr>
            <w:tcW w:w="346"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166,353</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77,135</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85,842</w:t>
            </w:r>
          </w:p>
        </w:tc>
        <w:tc>
          <w:tcPr>
            <w:tcW w:w="346"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639,959</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(1)Amounts in this column represent the grant date fair value of the option awards as computed in accordance with ASC 718, not including any estimates of forfeitures related to service-based vesting conditions. See Note 8(c) “Stock based compensation,” of the Notes to Consolidated Financial Statements in our Annual Report on Form 10-K for the year ended December 31, 2025 for a discussion of assumptions we made in determining the grant date fair value of our option awards for the fiscal years ended December 31, 2024 and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(2)Includes employer contributions to pension and/or insurance plans and other miscellaneous payments.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(3)Mr. Mamlok joined the Company in July 2025 and succeeded Mr. Rubin as our Sr. Vice President and Chief Financial Officer in August 2025. Mr. Rubin continued to serve as an employee of the Company for transition purposes until September 22, 2025.</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(4)Mr. Naos was promoted to Sr. Vice President, Chief Operating Officer in March 2026.</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Outstanding Equity Awards at Fiscal Year-End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with respect to the Named Executive Officers concerning outstanding equity awards as of December 31, 2025.</w:t>
      </w:r>
    </w:p>
    <w:tbl>
      <w:tblPr>
        <w:tblW w:w="10205" w:type="dxa"/>
        <w:jc w:val="left"/>
        <w:tblInd w:w="0" w:type="dxa"/>
        <w:tblLayout w:type="fixed"/>
        <w:tblCellMar>
          <w:top w:w="0" w:type="dxa"/>
          <w:left w:w="0" w:type="dxa"/>
          <w:bottom w:w="0" w:type="dxa"/>
          <w:right w:w="0" w:type="dxa"/>
        </w:tblCellMar>
      </w:tblPr>
      <w:tblGrid>
        <w:gridCol w:w="1038"/>
        <w:gridCol w:w="346"/>
        <w:gridCol w:w="1145"/>
        <w:gridCol w:w="346"/>
        <w:gridCol w:w="1312"/>
        <w:gridCol w:w="346"/>
        <w:gridCol w:w="1145"/>
        <w:gridCol w:w="346"/>
        <w:gridCol w:w="1325"/>
        <w:gridCol w:w="346"/>
        <w:gridCol w:w="1024"/>
        <w:gridCol w:w="346"/>
        <w:gridCol w:w="1140"/>
      </w:tblGrid>
      <w:tr>
        <w:trPr/>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59130" cy="175260"/>
                      <wp:effectExtent l="0" t="0" r="0" b="0"/>
                      <wp:wrapNone/>
                      <wp:docPr id="48" name="Frame45"/>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9"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27075" cy="175260"/>
                      <wp:effectExtent l="0" t="0" r="0" b="0"/>
                      <wp:wrapNone/>
                      <wp:docPr id="50" name="Frame47"/>
                      <a:graphic xmlns:a="http://schemas.openxmlformats.org/drawingml/2006/main">
                        <a:graphicData uri="http://schemas.microsoft.com/office/word/2010/wordprocessingShape">
                          <wps:wsp>
                            <wps:cNvSpPr txBox="1"/>
                            <wps:spPr>
                              <a:xfrm>
                                <a:off x="0" y="0"/>
                                <a:ext cx="727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1"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833120" cy="175260"/>
                      <wp:effectExtent l="0" t="0" r="0" b="0"/>
                      <wp:wrapNone/>
                      <wp:docPr id="52" name="Frame49"/>
                      <a:graphic xmlns:a="http://schemas.openxmlformats.org/drawingml/2006/main">
                        <a:graphicData uri="http://schemas.microsoft.com/office/word/2010/wordprocessingShape">
                          <wps:wsp>
                            <wps:cNvSpPr txBox="1"/>
                            <wps:spPr>
                              <a:xfrm>
                                <a:off x="0" y="0"/>
                                <a:ext cx="833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3"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27075" cy="175260"/>
                      <wp:effectExtent l="0" t="0" r="0" b="0"/>
                      <wp:wrapNone/>
                      <wp:docPr id="54" name="Frame51"/>
                      <a:graphic xmlns:a="http://schemas.openxmlformats.org/drawingml/2006/main">
                        <a:graphicData uri="http://schemas.microsoft.com/office/word/2010/wordprocessingShape">
                          <wps:wsp>
                            <wps:cNvSpPr txBox="1"/>
                            <wps:spPr>
                              <a:xfrm>
                                <a:off x="0" y="0"/>
                                <a:ext cx="727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5"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841375" cy="175260"/>
                      <wp:effectExtent l="0" t="0" r="0" b="0"/>
                      <wp:wrapNone/>
                      <wp:docPr id="56" name="Frame53"/>
                      <a:graphic xmlns:a="http://schemas.openxmlformats.org/drawingml/2006/main">
                        <a:graphicData uri="http://schemas.microsoft.com/office/word/2010/wordprocessingShape">
                          <wps:wsp>
                            <wps:cNvSpPr txBox="1"/>
                            <wps:spPr>
                              <a:xfrm>
                                <a:off x="0" y="0"/>
                                <a:ext cx="841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7"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50240" cy="175260"/>
                      <wp:effectExtent l="0" t="0" r="0" b="0"/>
                      <wp:wrapNone/>
                      <wp:docPr id="58" name="Frame55"/>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9"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23900" cy="175260"/>
                      <wp:effectExtent l="0" t="0" r="0" b="0"/>
                      <wp:wrapNone/>
                      <wp:docPr id="60" name="Frame57"/>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96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346" w:type="dxa"/>
            <w:tcBorders/>
            <w:vAlign w:val="center"/>
          </w:tcPr>
          <w:p>
            <w:pPr>
              <w:pStyle w:val="TableContents"/>
              <w:bidi w:val="0"/>
              <w:spacing w:before="0" w:after="0"/>
              <w:ind w:left="0" w:right="0" w:hanging="0"/>
              <w:jc w:val="center"/>
              <w:rPr/>
            </w:pPr>
            <w:r>
              <w:rPr/>
              <w:t>  ​ ​ ​</w:t>
            </w:r>
          </w:p>
        </w:tc>
        <w:tc>
          <w:tcPr>
            <w:tcW w:w="25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w:t>
            </w:r>
          </w:p>
        </w:tc>
      </w:tr>
      <w:tr>
        <w:trPr/>
        <w:tc>
          <w:tcPr>
            <w:tcW w:w="1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  ​ ​ ​</w:t>
            </w:r>
          </w:p>
        </w:tc>
        <w:tc>
          <w:tcPr>
            <w:tcW w:w="13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  ​ ​ ​</w:t>
            </w:r>
          </w:p>
        </w:tc>
        <w:tc>
          <w:tcPr>
            <w:tcW w:w="11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3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  ​ ​ ​</w:t>
            </w:r>
          </w:p>
        </w:tc>
        <w:tc>
          <w:tcPr>
            <w:tcW w:w="11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 value</w:t>
            </w:r>
          </w:p>
        </w:tc>
      </w:tr>
      <w:tr>
        <w:trPr/>
        <w:tc>
          <w:tcPr>
            <w:tcW w:w="1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Securities</w:t>
            </w:r>
          </w:p>
        </w:tc>
        <w:tc>
          <w:tcPr>
            <w:tcW w:w="346" w:type="dxa"/>
            <w:tcBorders/>
            <w:vAlign w:val="center"/>
          </w:tcPr>
          <w:p>
            <w:pPr>
              <w:pStyle w:val="TableContents"/>
              <w:bidi w:val="0"/>
              <w:spacing w:before="0" w:after="0"/>
              <w:ind w:left="0" w:right="0" w:hanging="0"/>
              <w:jc w:val="center"/>
              <w:rPr/>
            </w:pPr>
            <w:r>
              <w:rPr/>
              <w:t>​</w:t>
            </w:r>
          </w:p>
        </w:tc>
        <w:tc>
          <w:tcPr>
            <w:tcW w:w="13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Securities</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center"/>
              <w:rPr/>
            </w:pPr>
            <w:r>
              <w:rPr/>
              <w:t>​</w:t>
            </w:r>
          </w:p>
        </w:tc>
        <w:tc>
          <w:tcPr>
            <w:tcW w:w="11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r>
      <w:tr>
        <w:trPr/>
        <w:tc>
          <w:tcPr>
            <w:tcW w:w="1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13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units</w:t>
            </w:r>
          </w:p>
        </w:tc>
        <w:tc>
          <w:tcPr>
            <w:tcW w:w="346" w:type="dxa"/>
            <w:tcBorders/>
            <w:vAlign w:val="center"/>
          </w:tcPr>
          <w:p>
            <w:pPr>
              <w:pStyle w:val="TableContents"/>
              <w:bidi w:val="0"/>
              <w:spacing w:before="0" w:after="0"/>
              <w:ind w:left="0" w:right="0" w:hanging="0"/>
              <w:jc w:val="center"/>
              <w:rPr/>
            </w:pPr>
            <w:r>
              <w:rPr/>
              <w:t>​</w:t>
            </w:r>
          </w:p>
        </w:tc>
        <w:tc>
          <w:tcPr>
            <w:tcW w:w="11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units</w:t>
            </w:r>
          </w:p>
        </w:tc>
      </w:tr>
      <w:tr>
        <w:trPr/>
        <w:tc>
          <w:tcPr>
            <w:tcW w:w="1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0"/>
              <w:ind w:left="0" w:right="0" w:hanging="0"/>
              <w:jc w:val="center"/>
              <w:rPr/>
            </w:pPr>
            <w:r>
              <w:rPr/>
              <w:t>​</w:t>
            </w:r>
          </w:p>
        </w:tc>
        <w:tc>
          <w:tcPr>
            <w:tcW w:w="13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stock</w:t>
            </w:r>
          </w:p>
        </w:tc>
        <w:tc>
          <w:tcPr>
            <w:tcW w:w="346" w:type="dxa"/>
            <w:tcBorders/>
            <w:vAlign w:val="center"/>
          </w:tcPr>
          <w:p>
            <w:pPr>
              <w:pStyle w:val="TableContents"/>
              <w:bidi w:val="0"/>
              <w:spacing w:before="0" w:after="0"/>
              <w:ind w:left="0" w:right="0" w:hanging="0"/>
              <w:jc w:val="center"/>
              <w:rPr/>
            </w:pPr>
            <w:r>
              <w:rPr/>
              <w:t>​</w:t>
            </w:r>
          </w:p>
        </w:tc>
        <w:tc>
          <w:tcPr>
            <w:tcW w:w="11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stock</w:t>
            </w:r>
          </w:p>
        </w:tc>
      </w:tr>
      <w:tr>
        <w:trPr/>
        <w:tc>
          <w:tcPr>
            <w:tcW w:w="1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3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Exercise</w:t>
            </w:r>
          </w:p>
        </w:tc>
        <w:tc>
          <w:tcPr>
            <w:tcW w:w="346" w:type="dxa"/>
            <w:tcBorders/>
            <w:vAlign w:val="center"/>
          </w:tcPr>
          <w:p>
            <w:pPr>
              <w:pStyle w:val="TableContents"/>
              <w:bidi w:val="0"/>
              <w:spacing w:before="0" w:after="0"/>
              <w:ind w:left="0" w:right="0" w:hanging="0"/>
              <w:jc w:val="center"/>
              <w:rPr/>
            </w:pPr>
            <w:r>
              <w:rPr/>
              <w:t>​</w:t>
            </w:r>
          </w:p>
        </w:tc>
        <w:tc>
          <w:tcPr>
            <w:tcW w:w="13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Expiration</w:t>
            </w:r>
          </w:p>
        </w:tc>
        <w:tc>
          <w:tcPr>
            <w:tcW w:w="346" w:type="dxa"/>
            <w:tcBorders/>
            <w:vAlign w:val="center"/>
          </w:tcPr>
          <w:p>
            <w:pPr>
              <w:pStyle w:val="TableContents"/>
              <w:bidi w:val="0"/>
              <w:spacing w:before="0" w:after="0"/>
              <w:ind w:left="0" w:right="0" w:hanging="0"/>
              <w:jc w:val="center"/>
              <w:rPr/>
            </w:pPr>
            <w:r>
              <w:rPr/>
              <w:t>​</w:t>
            </w:r>
          </w:p>
        </w:tc>
        <w:tc>
          <w:tcPr>
            <w:tcW w:w="10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have</w:t>
            </w:r>
          </w:p>
        </w:tc>
        <w:tc>
          <w:tcPr>
            <w:tcW w:w="346" w:type="dxa"/>
            <w:tcBorders/>
            <w:vAlign w:val="center"/>
          </w:tcPr>
          <w:p>
            <w:pPr>
              <w:pStyle w:val="TableContents"/>
              <w:bidi w:val="0"/>
              <w:spacing w:before="0" w:after="0"/>
              <w:ind w:left="0" w:right="0" w:hanging="0"/>
              <w:jc w:val="center"/>
              <w:rPr/>
            </w:pPr>
            <w:r>
              <w:rPr/>
              <w:t>​</w:t>
            </w:r>
          </w:p>
        </w:tc>
        <w:tc>
          <w:tcPr>
            <w:tcW w:w="11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have</w:t>
            </w:r>
          </w:p>
        </w:tc>
      </w:tr>
      <w:tr>
        <w:trPr/>
        <w:tc>
          <w:tcPr>
            <w:tcW w:w="10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Exercisable (#)</w:t>
            </w:r>
          </w:p>
        </w:tc>
        <w:tc>
          <w:tcPr>
            <w:tcW w:w="346" w:type="dxa"/>
            <w:tcBorders/>
            <w:vAlign w:val="center"/>
          </w:tcPr>
          <w:p>
            <w:pPr>
              <w:pStyle w:val="TableContents"/>
              <w:bidi w:val="0"/>
              <w:spacing w:before="0" w:after="0"/>
              <w:ind w:left="0" w:right="0" w:hanging="0"/>
              <w:jc w:val="center"/>
              <w:rPr/>
            </w:pPr>
            <w:r>
              <w:rPr/>
              <w:t>​</w:t>
            </w:r>
          </w:p>
        </w:tc>
        <w:tc>
          <w:tcPr>
            <w:tcW w:w="13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Unexercisable (#)</w:t>
            </w:r>
          </w:p>
        </w:tc>
        <w:tc>
          <w:tcPr>
            <w:tcW w:w="346" w:type="dxa"/>
            <w:tcBorders/>
            <w:vAlign w:val="center"/>
          </w:tcPr>
          <w:p>
            <w:pPr>
              <w:pStyle w:val="TableContents"/>
              <w:bidi w:val="0"/>
              <w:spacing w:before="0" w:after="0"/>
              <w:ind w:left="0" w:right="0" w:hanging="0"/>
              <w:jc w:val="center"/>
              <w:rPr/>
            </w:pPr>
            <w:r>
              <w:rPr/>
              <w:t>​</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w:t>
            </w:r>
          </w:p>
        </w:tc>
        <w:tc>
          <w:tcPr>
            <w:tcW w:w="346" w:type="dxa"/>
            <w:tcBorders/>
            <w:vAlign w:val="center"/>
          </w:tcPr>
          <w:p>
            <w:pPr>
              <w:pStyle w:val="TableContents"/>
              <w:bidi w:val="0"/>
              <w:spacing w:before="0" w:after="0"/>
              <w:ind w:left="0" w:right="0" w:hanging="0"/>
              <w:jc w:val="center"/>
              <w:rPr/>
            </w:pPr>
            <w:r>
              <w:rPr/>
              <w:t>​</w:t>
            </w:r>
          </w:p>
        </w:tc>
        <w:tc>
          <w:tcPr>
            <w:tcW w:w="13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0"/>
              <w:ind w:left="0" w:right="0" w:hanging="0"/>
              <w:jc w:val="center"/>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vested (#)</w:t>
            </w:r>
          </w:p>
        </w:tc>
        <w:tc>
          <w:tcPr>
            <w:tcW w:w="346" w:type="dxa"/>
            <w:tcBorders/>
            <w:vAlign w:val="center"/>
          </w:tcPr>
          <w:p>
            <w:pPr>
              <w:pStyle w:val="TableContents"/>
              <w:bidi w:val="0"/>
              <w:spacing w:before="0" w:after="0"/>
              <w:ind w:left="0" w:right="0" w:hanging="0"/>
              <w:jc w:val="center"/>
              <w:rPr/>
            </w:pPr>
            <w:r>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vested ($)</w:t>
            </w:r>
          </w:p>
        </w:tc>
      </w:tr>
      <w:tr>
        <w:trPr/>
        <w:tc>
          <w:tcPr>
            <w:tcW w:w="10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Dror Bashan</w:t>
            </w:r>
          </w:p>
        </w:tc>
        <w:tc>
          <w:tcPr>
            <w:tcW w:w="346"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178,750</w:t>
            </w:r>
          </w:p>
        </w:tc>
        <w:tc>
          <w:tcPr>
            <w:tcW w:w="34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321,750</w:t>
            </w:r>
          </w:p>
        </w:tc>
      </w:tr>
      <w:tr>
        <w:trPr/>
        <w:tc>
          <w:tcPr>
            <w:tcW w:w="1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160,000</w:t>
            </w:r>
          </w:p>
        </w:tc>
        <w:tc>
          <w:tcPr>
            <w:tcW w:w="346" w:type="dxa"/>
            <w:tcBorders/>
            <w:vAlign w:val="center"/>
          </w:tcPr>
          <w:p>
            <w:pPr>
              <w:pStyle w:val="TableContents"/>
              <w:bidi w:val="0"/>
              <w:spacing w:before="0" w:after="0"/>
              <w:ind w:left="0" w:right="0" w:hanging="0"/>
              <w:jc w:val="left"/>
              <w:rPr/>
            </w:pPr>
            <w:r>
              <w:rPr/>
              <w:t> </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c>
          <w:tcPr>
            <w:tcW w:w="346" w:type="dxa"/>
            <w:tcBorders/>
            <w:vAlign w:val="center"/>
          </w:tcPr>
          <w:p>
            <w:pPr>
              <w:pStyle w:val="TableContents"/>
              <w:bidi w:val="0"/>
              <w:spacing w:before="0" w:after="0"/>
              <w:ind w:left="0" w:right="0" w:hanging="0"/>
              <w:jc w:val="left"/>
              <w:rPr/>
            </w:pPr>
            <w:r>
              <w:rPr/>
              <w:t> </w:t>
            </w:r>
          </w:p>
        </w:tc>
        <w:tc>
          <w:tcPr>
            <w:tcW w:w="132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6/30/2029</w:t>
            </w:r>
          </w:p>
        </w:tc>
        <w:tc>
          <w:tcPr>
            <w:tcW w:w="34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r>
      <w:tr>
        <w:trPr/>
        <w:tc>
          <w:tcPr>
            <w:tcW w:w="10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609,375</w:t>
            </w:r>
          </w:p>
        </w:tc>
        <w:tc>
          <w:tcPr>
            <w:tcW w:w="346" w:type="dxa"/>
            <w:tcBorders/>
            <w:shd w:fill="CCEEFF" w:val="clear"/>
            <w:vAlign w:val="center"/>
          </w:tcPr>
          <w:p>
            <w:pPr>
              <w:pStyle w:val="TableContents"/>
              <w:bidi w:val="0"/>
              <w:spacing w:before="0" w:after="0"/>
              <w:ind w:left="0" w:right="0" w:hanging="0"/>
              <w:jc w:val="left"/>
              <w:rPr/>
            </w:pPr>
            <w:r>
              <w:rPr/>
              <w:t> </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140,625</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346"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9/7/2032</w:t>
            </w:r>
          </w:p>
        </w:tc>
        <w:tc>
          <w:tcPr>
            <w:tcW w:w="346"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r>
      <w:tr>
        <w:trPr/>
        <w:tc>
          <w:tcPr>
            <w:tcW w:w="1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28,333</w:t>
            </w:r>
          </w:p>
        </w:tc>
        <w:tc>
          <w:tcPr>
            <w:tcW w:w="346" w:type="dxa"/>
            <w:tcBorders/>
            <w:vAlign w:val="center"/>
          </w:tcPr>
          <w:p>
            <w:pPr>
              <w:pStyle w:val="TableContents"/>
              <w:bidi w:val="0"/>
              <w:spacing w:before="0" w:after="0"/>
              <w:ind w:left="0" w:right="0" w:hanging="0"/>
              <w:jc w:val="left"/>
              <w:rPr/>
            </w:pPr>
            <w:r>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311,667</w:t>
            </w:r>
          </w:p>
        </w:tc>
        <w:tc>
          <w:tcPr>
            <w:tcW w:w="346"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w:t>
            </w:r>
          </w:p>
        </w:tc>
        <w:tc>
          <w:tcPr>
            <w:tcW w:w="346" w:type="dxa"/>
            <w:tcBorders/>
            <w:vAlign w:val="center"/>
          </w:tcPr>
          <w:p>
            <w:pPr>
              <w:pStyle w:val="TableContents"/>
              <w:bidi w:val="0"/>
              <w:spacing w:before="0" w:after="0"/>
              <w:ind w:left="0" w:right="0" w:hanging="0"/>
              <w:jc w:val="left"/>
              <w:rPr/>
            </w:pPr>
            <w:r>
              <w:rPr/>
              <w:t>​</w:t>
            </w:r>
          </w:p>
        </w:tc>
        <w:tc>
          <w:tcPr>
            <w:tcW w:w="132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9/3/2035</w:t>
            </w:r>
          </w:p>
        </w:tc>
        <w:tc>
          <w:tcPr>
            <w:tcW w:w="34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r>
      <w:tr>
        <w:trPr/>
        <w:tc>
          <w:tcPr>
            <w:tcW w:w="10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Gilad Mamlok</w:t>
            </w:r>
          </w:p>
        </w:tc>
        <w:tc>
          <w:tcPr>
            <w:tcW w:w="346"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2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49,832</w:t>
            </w:r>
          </w:p>
        </w:tc>
        <w:tc>
          <w:tcPr>
            <w:tcW w:w="346" w:type="dxa"/>
            <w:tcBorders/>
            <w:vAlign w:val="center"/>
          </w:tcPr>
          <w:p>
            <w:pPr>
              <w:pStyle w:val="TableContents"/>
              <w:bidi w:val="0"/>
              <w:spacing w:before="0" w:after="0"/>
              <w:ind w:left="0" w:right="0" w:hanging="0"/>
              <w:jc w:val="left"/>
              <w:rPr/>
            </w:pPr>
            <w:r>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548,158</w:t>
            </w:r>
          </w:p>
        </w:tc>
        <w:tc>
          <w:tcPr>
            <w:tcW w:w="346"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w:t>
            </w:r>
          </w:p>
        </w:tc>
        <w:tc>
          <w:tcPr>
            <w:tcW w:w="346" w:type="dxa"/>
            <w:tcBorders/>
            <w:vAlign w:val="center"/>
          </w:tcPr>
          <w:p>
            <w:pPr>
              <w:pStyle w:val="TableContents"/>
              <w:bidi w:val="0"/>
              <w:spacing w:before="0" w:after="0"/>
              <w:ind w:left="0" w:right="0" w:hanging="0"/>
              <w:jc w:val="left"/>
              <w:rPr/>
            </w:pPr>
            <w:r>
              <w:rPr/>
              <w:t>​</w:t>
            </w:r>
          </w:p>
        </w:tc>
        <w:tc>
          <w:tcPr>
            <w:tcW w:w="132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7/20/2035</w:t>
            </w:r>
          </w:p>
        </w:tc>
        <w:tc>
          <w:tcPr>
            <w:tcW w:w="34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r>
      <w:tr>
        <w:trPr/>
        <w:tc>
          <w:tcPr>
            <w:tcW w:w="10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Eyal Rubin</w:t>
            </w:r>
          </w:p>
        </w:tc>
        <w:tc>
          <w:tcPr>
            <w:tcW w:w="346"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32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80,000</w:t>
            </w:r>
          </w:p>
        </w:tc>
        <w:tc>
          <w:tcPr>
            <w:tcW w:w="346" w:type="dxa"/>
            <w:tcBorders/>
            <w:vAlign w:val="center"/>
          </w:tcPr>
          <w:p>
            <w:pPr>
              <w:pStyle w:val="TableContents"/>
              <w:bidi w:val="0"/>
              <w:spacing w:before="0" w:after="0"/>
              <w:ind w:left="0" w:right="0" w:hanging="0"/>
              <w:jc w:val="left"/>
              <w:rPr/>
            </w:pPr>
            <w:r>
              <w:rPr/>
              <w:t> </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vAlign w:val="center"/>
          </w:tcPr>
          <w:p>
            <w:pPr>
              <w:pStyle w:val="TableContents"/>
              <w:bidi w:val="0"/>
              <w:spacing w:before="0" w:after="0"/>
              <w:ind w:left="0" w:right="0" w:hanging="0"/>
              <w:jc w:val="left"/>
              <w:rPr/>
            </w:pPr>
            <w:r>
              <w:rPr/>
              <w:t> </w:t>
            </w:r>
          </w:p>
        </w:tc>
        <w:tc>
          <w:tcPr>
            <w:tcW w:w="132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10/6/2026</w:t>
            </w:r>
          </w:p>
        </w:tc>
        <w:tc>
          <w:tcPr>
            <w:tcW w:w="34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r>
      <w:tr>
        <w:trPr/>
        <w:tc>
          <w:tcPr>
            <w:tcW w:w="10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2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left"/>
              <w:rPr/>
            </w:pPr>
            <w:r>
              <w:rPr/>
              <w:t>​</w:t>
            </w:r>
          </w:p>
        </w:tc>
      </w:tr>
      <w:tr>
        <w:trPr/>
        <w:tc>
          <w:tcPr>
            <w:tcW w:w="10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Yaron Naos</w:t>
            </w:r>
          </w:p>
        </w:tc>
        <w:tc>
          <w:tcPr>
            <w:tcW w:w="346"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3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69,753</w:t>
            </w:r>
          </w:p>
        </w:tc>
        <w:tc>
          <w:tcPr>
            <w:tcW w:w="34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125,555</w:t>
            </w:r>
          </w:p>
        </w:tc>
      </w:tr>
      <w:tr>
        <w:trPr/>
        <w:tc>
          <w:tcPr>
            <w:tcW w:w="10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60,000</w:t>
            </w:r>
          </w:p>
        </w:tc>
        <w:tc>
          <w:tcPr>
            <w:tcW w:w="346" w:type="dxa"/>
            <w:tcBorders/>
            <w:shd w:fill="CCEEFF" w:val="clear"/>
            <w:vAlign w:val="center"/>
          </w:tcPr>
          <w:p>
            <w:pPr>
              <w:pStyle w:val="TableContents"/>
              <w:bidi w:val="0"/>
              <w:spacing w:before="0" w:after="0"/>
              <w:ind w:left="0" w:right="0" w:hanging="0"/>
              <w:jc w:val="left"/>
              <w:rPr/>
            </w:pPr>
            <w:r>
              <w:rPr/>
              <w:t> </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w:t>
            </w:r>
          </w:p>
        </w:tc>
        <w:tc>
          <w:tcPr>
            <w:tcW w:w="346"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9/13/2028</w:t>
            </w:r>
          </w:p>
        </w:tc>
        <w:tc>
          <w:tcPr>
            <w:tcW w:w="346"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r>
      <w:tr>
        <w:trPr/>
        <w:tc>
          <w:tcPr>
            <w:tcW w:w="1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122,656</w:t>
            </w:r>
          </w:p>
        </w:tc>
        <w:tc>
          <w:tcPr>
            <w:tcW w:w="346" w:type="dxa"/>
            <w:tcBorders/>
            <w:vAlign w:val="center"/>
          </w:tcPr>
          <w:p>
            <w:pPr>
              <w:pStyle w:val="TableContents"/>
              <w:bidi w:val="0"/>
              <w:spacing w:before="0" w:after="0"/>
              <w:ind w:left="0" w:right="0" w:hanging="0"/>
              <w:jc w:val="left"/>
              <w:rPr/>
            </w:pPr>
            <w:r>
              <w:rPr/>
              <w:t> </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w:t>
            </w:r>
          </w:p>
        </w:tc>
        <w:tc>
          <w:tcPr>
            <w:tcW w:w="346" w:type="dxa"/>
            <w:tcBorders/>
            <w:vAlign w:val="center"/>
          </w:tcPr>
          <w:p>
            <w:pPr>
              <w:pStyle w:val="TableContents"/>
              <w:bidi w:val="0"/>
              <w:spacing w:before="0" w:after="0"/>
              <w:ind w:left="0" w:right="0" w:hanging="0"/>
              <w:jc w:val="left"/>
              <w:rPr/>
            </w:pPr>
            <w:r>
              <w:rPr/>
              <w:t> </w:t>
            </w:r>
          </w:p>
        </w:tc>
        <w:tc>
          <w:tcPr>
            <w:tcW w:w="132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8/11/2030</w:t>
            </w:r>
          </w:p>
        </w:tc>
        <w:tc>
          <w:tcPr>
            <w:tcW w:w="34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r>
      <w:tr>
        <w:trPr/>
        <w:tc>
          <w:tcPr>
            <w:tcW w:w="10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276,250</w:t>
            </w:r>
          </w:p>
        </w:tc>
        <w:tc>
          <w:tcPr>
            <w:tcW w:w="346" w:type="dxa"/>
            <w:tcBorders/>
            <w:shd w:fill="CCEEFF" w:val="clear"/>
            <w:vAlign w:val="center"/>
          </w:tcPr>
          <w:p>
            <w:pPr>
              <w:pStyle w:val="TableContents"/>
              <w:bidi w:val="0"/>
              <w:spacing w:before="0" w:after="0"/>
              <w:ind w:left="0" w:right="0" w:hanging="0"/>
              <w:jc w:val="left"/>
              <w:rPr/>
            </w:pPr>
            <w:r>
              <w:rPr/>
              <w:t> </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63,750</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346"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9/7/2032</w:t>
            </w:r>
          </w:p>
        </w:tc>
        <w:tc>
          <w:tcPr>
            <w:tcW w:w="346"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r>
      <w:tr>
        <w:trPr/>
        <w:tc>
          <w:tcPr>
            <w:tcW w:w="1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41,667</w:t>
            </w:r>
          </w:p>
        </w:tc>
        <w:tc>
          <w:tcPr>
            <w:tcW w:w="346" w:type="dxa"/>
            <w:tcBorders/>
            <w:vAlign w:val="center"/>
          </w:tcPr>
          <w:p>
            <w:pPr>
              <w:pStyle w:val="TableContents"/>
              <w:bidi w:val="0"/>
              <w:spacing w:before="0" w:after="0"/>
              <w:ind w:left="0" w:right="0" w:hanging="0"/>
              <w:jc w:val="left"/>
              <w:rPr/>
            </w:pPr>
            <w:r>
              <w:rPr/>
              <w:t> </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58,333</w:t>
            </w:r>
          </w:p>
        </w:tc>
        <w:tc>
          <w:tcPr>
            <w:tcW w:w="34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46" w:type="dxa"/>
            <w:tcBorders/>
            <w:vAlign w:val="center"/>
          </w:tcPr>
          <w:p>
            <w:pPr>
              <w:pStyle w:val="TableContents"/>
              <w:bidi w:val="0"/>
              <w:spacing w:before="0" w:after="0"/>
              <w:ind w:left="0" w:right="0" w:hanging="0"/>
              <w:jc w:val="left"/>
              <w:rPr/>
            </w:pPr>
            <w:r>
              <w:rPr/>
              <w:t> </w:t>
            </w:r>
          </w:p>
        </w:tc>
        <w:tc>
          <w:tcPr>
            <w:tcW w:w="132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9/23/2034</w:t>
            </w:r>
          </w:p>
        </w:tc>
        <w:tc>
          <w:tcPr>
            <w:tcW w:w="34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r>
      <w:tr>
        <w:trPr/>
        <w:tc>
          <w:tcPr>
            <w:tcW w:w="10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4,167</w:t>
            </w:r>
          </w:p>
        </w:tc>
        <w:tc>
          <w:tcPr>
            <w:tcW w:w="346" w:type="dxa"/>
            <w:tcBorders/>
            <w:shd w:fill="CCEEFF" w:val="clear"/>
            <w:vAlign w:val="center"/>
          </w:tcPr>
          <w:p>
            <w:pPr>
              <w:pStyle w:val="TableContents"/>
              <w:bidi w:val="0"/>
              <w:spacing w:before="0" w:after="0"/>
              <w:ind w:left="0" w:right="0" w:hanging="0"/>
              <w:jc w:val="left"/>
              <w:rPr/>
            </w:pPr>
            <w:r>
              <w:rPr/>
              <w:t> </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45,833</w:t>
            </w:r>
          </w:p>
        </w:tc>
        <w:tc>
          <w:tcPr>
            <w:tcW w:w="346"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w:t>
            </w:r>
          </w:p>
        </w:tc>
        <w:tc>
          <w:tcPr>
            <w:tcW w:w="346"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9/3/2035</w:t>
            </w:r>
          </w:p>
        </w:tc>
        <w:tc>
          <w:tcPr>
            <w:tcW w:w="34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Pay Versus Performance</w:t>
      </w:r>
    </w:p>
    <w:p>
      <w:pPr>
        <w:pStyle w:val="TextBody"/>
        <w:bidi w:val="0"/>
        <w:spacing w:before="0" w:after="0"/>
        <w:ind w:left="0" w:right="0" w:firstLine="720"/>
        <w:jc w:val="left"/>
        <w:rPr>
          <w:rFonts w:ascii="Times New Roman;Times;serif" w:hAnsi="Times New Roman;Times;serif"/>
          <w:sz w:val="20"/>
        </w:rPr>
      </w:pPr>
      <w:bookmarkStart w:id="10" w:name="Tc_5HZ8q4Us-EaqMDyy5Bzcwg_14_20"/>
      <w:bookmarkStart w:id="11" w:name="Tc_S7ciSZteHU-02PtxJ0GshQ_14_18"/>
      <w:bookmarkStart w:id="12" w:name="Tc_wYXW1oHwSE25zkSPlC12Gw_14_17"/>
      <w:bookmarkStart w:id="13" w:name="Tc_ZduS9bWgqUCO3FWPPrC3bw_14_15"/>
      <w:bookmarkStart w:id="14" w:name="Tc_UvjWSqZ30kOTAMpq0-VWTQ_14_14"/>
      <w:bookmarkStart w:id="15" w:name="Tc_8uWZ8TL4uUyT7w6xd6jf5w_14_11"/>
      <w:bookmarkStart w:id="16" w:name="Tc_BkEb4qwyEkmoPxowtL3Ndg_14_8"/>
      <w:bookmarkStart w:id="17" w:name="Tc_fqvBwitpg0abJHc0NRntpA_14_5"/>
      <w:bookmarkStart w:id="18" w:name="Tc_PY2Yh31SsEaveQpvfRue6A_14_2"/>
      <w:bookmarkStart w:id="19" w:name="Tc_ws7Z0Keqfki3s36qyAJzhQ_14_0"/>
      <w:bookmarkStart w:id="20" w:name="Tc_4iQpspYtBUqOAPra1lsKMg_13_20"/>
      <w:bookmarkStart w:id="21" w:name="Tc_Ap-mHpc0l06SUNatH2DJug_13_18"/>
      <w:bookmarkStart w:id="22" w:name="Tc_m_uXu9mLXEyT8YHR3yCxCw_13_17"/>
      <w:bookmarkStart w:id="23" w:name="Tc_j7Q9G7MnYkuQnSN9XUjHkQ_13_15"/>
      <w:bookmarkStart w:id="24" w:name="Tc_HJtbxV8l70i7sS5GtuhnHw_13_14"/>
      <w:bookmarkStart w:id="25" w:name="Tc_YB3_BPBXBUiL3qKJER3Ieg_13_11"/>
      <w:bookmarkStart w:id="26" w:name="Tc_08TDXFMOd0GRX9hjk91n_w_13_8"/>
      <w:bookmarkStart w:id="27" w:name="Tc_A45ClNGgj0-p4tXHFY4eUg_13_5"/>
      <w:bookmarkStart w:id="28" w:name="Tc_eKwq20BskUangOmqJfUcRQ_13_3"/>
      <w:bookmarkStart w:id="29" w:name="Tc_mH9oueO3FUuiFuqN1B3UiQ_13_2"/>
      <w:bookmarkStart w:id="30" w:name="Tc_-jGWmUrkDkqTAB7dDuWp2A_13_0"/>
      <w:bookmarkStart w:id="31" w:name="Tc_bWSWii1MsEymVoU4NiAnPA_12_20"/>
      <w:bookmarkStart w:id="32" w:name="Tc_SBQxqNGHGEGjppqCPISozQ_12_18"/>
      <w:bookmarkStart w:id="33" w:name="Tc_7CQjSnucNEKoguNbUXxBzQ_12_17"/>
      <w:bookmarkStart w:id="34" w:name="Tc_7LB7NidIiE-voukhFRWXFA_12_15"/>
      <w:bookmarkStart w:id="35" w:name="Tc_rR2CMMJ-R0m95HX3t4EgOw_12_14"/>
      <w:bookmarkStart w:id="36" w:name="Tc_CaKznWj8l0SE8eDCX54FPg_12_11"/>
      <w:bookmarkStart w:id="37" w:name="Tc_Ou5MiZwZf0ugWiBEUpyh_A_12_8"/>
      <w:bookmarkStart w:id="38" w:name="Tc_u9nx88Jf9UmSnz8a0bNTpQ_12_5"/>
      <w:bookmarkStart w:id="39" w:name="Tc_IREma14GDUuEmr3mpMtAeg_12_2"/>
      <w:bookmarkStart w:id="40" w:name="Tc_7uQjYJaQyk-2LjCASVAqvw_12_0"/>
      <w:bookmarkStart w:id="41" w:name="Tc_aNyTCaeZ70S8NlM8XMxotA_11_20"/>
      <w:bookmarkStart w:id="42" w:name="Tc_FK-E_KF_WEi7VXxgaveC8A_11_17"/>
      <w:bookmarkStart w:id="43" w:name="Tc_5XBL4afinkaEHqHb5uiFlQ_11_14"/>
      <w:bookmarkStart w:id="44" w:name="Tc_0fxeFXcqfU-8mm4KKSq1xw_11_11"/>
      <w:bookmarkStart w:id="45" w:name="Tc_ATRKa0VRb0i5RdAAdM-fXA_11_8"/>
      <w:bookmarkStart w:id="46" w:name="Tc_LZrfEmFWIkK14IVcN2lk7A_11_5"/>
      <w:bookmarkStart w:id="47" w:name="Tc_DvR3o38eRE2zT8Gpka5-mQ_11_2"/>
      <w:bookmarkStart w:id="48" w:name="Tc_0q43K7KVik6m6qcF5rHLwQ_11_0"/>
      <w:bookmarkStart w:id="49" w:name="Tc_4BitXDW2qE2yhSKby7i1BQ_10_20"/>
      <w:bookmarkStart w:id="50" w:name="Tc_8XjRZPh_1E-9Zib-V2Cocw_10_17"/>
      <w:bookmarkStart w:id="51" w:name="Tc_6p3qM2ESs0SRFkbpR6_eFw_10_14"/>
      <w:bookmarkStart w:id="52" w:name="Tc_gig0x2WwnE2OncCVuwMl-Q_10_11"/>
      <w:bookmarkStart w:id="53" w:name="Tc_XG-HcJEop02qFDX0vNLYQw_10_8"/>
      <w:bookmarkStart w:id="54" w:name="Tc_2GV-XXtQmUmOPfnrChznUg_10_5"/>
      <w:bookmarkStart w:id="55" w:name="Tc_Yin3Vhely0izgZ8Ty1QTbQ_10_2"/>
      <w:bookmarkStart w:id="56" w:name="Tc_gdNBExFeAUOb6rGu5u6Uig_9_20"/>
      <w:bookmarkStart w:id="57" w:name="Tc_37G--jhshku-kK45oLbiDA_9_17"/>
      <w:bookmarkStart w:id="58" w:name="Tc_wLhBuyrOk0y4TrFJGzquzQ_9_14"/>
      <w:bookmarkStart w:id="59" w:name="Tc_5JnzcVzZQUqfpP4tNiey3w_9_11"/>
      <w:bookmarkStart w:id="60" w:name="Tc_I3RLndSOAkOPjshwJGYsAw_9_8"/>
      <w:bookmarkStart w:id="61" w:name="Tc_p8gXaOOMpECWExiuKURuhg_9_5"/>
      <w:bookmarkStart w:id="62" w:name="Tc_eDe0paU0ok2acmekELBhFA_9_2"/>
      <w:bookmarkStart w:id="63" w:name="Tc_GUpDjImojE68N7z-TzX4ew_8_17"/>
      <w:bookmarkStart w:id="64" w:name="Tc_g4l3ObU1mUaXtG_KMcl5DA_8_14"/>
      <w:bookmarkStart w:id="65" w:name="Tc_pAZ96ToohkmNlY17daeOgA_8_11"/>
      <w:bookmarkStart w:id="66" w:name="Tc_PtBihotlmEmkEIGB0efn8w_8_8"/>
      <w:bookmarkStart w:id="67" w:name="Tc_L4k80EufzkezCSynRkJplg_8_5"/>
      <w:bookmarkStart w:id="68" w:name="Tc_oMJjsPTrMUKovyythPUXYA_8_2"/>
      <w:bookmarkStart w:id="69" w:name="Tc_n1X8EJuiq0K-IoHfNpH1Ug_7_17"/>
      <w:bookmarkStart w:id="70" w:name="Tc_-31Lgi2fz0qM30lK-x2y0Q_7_14"/>
      <w:bookmarkStart w:id="71" w:name="Tc_h7KAhLLFS0OIpCjDLn-zPQ_7_11"/>
      <w:bookmarkStart w:id="72" w:name="Tc_wdE11kksWEWVSVS3sANv_A_7_8"/>
      <w:bookmarkStart w:id="73" w:name="Tc_wm09wjRovkWyW5tBDFGroQ_7_5"/>
      <w:bookmarkStart w:id="74" w:name="Tc_8J_FkPmipkSYurs6DrDewA_7_2"/>
      <w:bookmarkStart w:id="75" w:name="Tc_p436NzA5Zke4DWlQI0qUJQ_6_17"/>
      <w:bookmarkStart w:id="76" w:name="Tc_VlN5McvoBkqR_RshIXzRUw_6_14"/>
      <w:bookmarkStart w:id="77" w:name="Tc_VhC_lbnT_UuE4jkYM113rQ_6_11"/>
      <w:bookmarkStart w:id="78" w:name="Tc_uFNWhlUHhUWHx2wBJFg4Iw_6_8"/>
      <w:bookmarkStart w:id="79" w:name="Tc_CvpZcQ_rhEehT7Fsj3rqMQ_6_5"/>
      <w:bookmarkStart w:id="80" w:name="Tc_hKXhIi0U6U22eJydije5mg_5_17"/>
      <w:bookmarkStart w:id="81" w:name="Tc_blgImj8m0kOYPClMiFa1xw_5_14"/>
      <w:bookmarkStart w:id="82" w:name="Tc_NqPCrbyO1UGxGaQR8C0Fvg_5_11"/>
      <w:bookmarkStart w:id="83" w:name="Tc_sOUnC8F8qUKPUwif5v3jow_5_8"/>
      <w:bookmarkStart w:id="84" w:name="Tc_UW6v5ha8YUu_kIFJq6BWMg_5_5"/>
      <w:bookmarkStart w:id="85" w:name="Tc_i3wtOl5JaUem32MRVQl-IQ_4_17"/>
      <w:bookmarkStart w:id="86" w:name="Tc_ehTKLpI_TUKqSfw84wMWCQ_4_14"/>
      <w:bookmarkStart w:id="87" w:name="Tc_tjU6kgW3rUG7ql1wGJ2O3g_4_8"/>
      <w:bookmarkStart w:id="88" w:name="Tc_wZqCZ8IOVEaqQ3LIAGj6cw_4_5"/>
      <w:bookmarkStart w:id="89" w:name="Tc_oCSk6jYHPkydr0IjZ2py0A_3_17"/>
      <w:bookmarkStart w:id="90" w:name="Tc_RYNTnuz5oEudep9JjskPnQ_3_14"/>
      <w:bookmarkStart w:id="91" w:name="Tc_GtKZLl7-t0WjY6cOzCu2rg_2_17"/>
      <w:bookmarkStart w:id="92" w:name="Tc_quSyZy_auEijWBGaszuFQg_2_14"/>
      <w:bookmarkStart w:id="93" w:name="Tc_eXClbKoSEkyykJuJY29qBQ_1_14"/>
      <w:bookmarkStart w:id="94" w:name="_eed500e9_6cc1_4c52_af78_2d3ce90e2640"/>
      <w:bookmarkStart w:id="95" w:name="Tc_IhZ9GeBYCka8AVnZszZUZg_8_11"/>
      <w:bookmarkStart w:id="96" w:name="Tc_Sw-U9icwU02gPElNbQN-fg_8_8"/>
      <w:bookmarkStart w:id="97" w:name="Tc_SivYCDwKNkS24rihh73b-Q_8_5"/>
      <w:bookmarkStart w:id="98" w:name="Tc_9jM4xRRNVUyZQ1Ghog41uw_8_2"/>
      <w:bookmarkStart w:id="99" w:name="Tc_MBLNC-PIvkKsDbpBklWZig_8_0"/>
      <w:bookmarkStart w:id="100" w:name="Tc_s7iaWi_rhEKhiAfa995dAA_7_11"/>
      <w:bookmarkStart w:id="101" w:name="Tc_9mxwCVBC50u3XNWkgHffjA_7_8"/>
      <w:bookmarkStart w:id="102" w:name="Tc_zH-MbpuI10CoCsYhCSqP-Q_7_5"/>
      <w:bookmarkStart w:id="103" w:name="Tc_KOAvynAVcEqWnlcnJvzrVg_7_2"/>
      <w:bookmarkStart w:id="104" w:name="Tc_I4WMV9sS-UuWIDlKeD5jWw_7_0"/>
      <w:bookmarkStart w:id="105" w:name="Tc_Cpim7ftgh0SdLtYlnl_OiQ_6_11"/>
      <w:bookmarkStart w:id="106" w:name="Tc_GxRzz_kAjEmy-0a2XntB8g_6_8"/>
      <w:bookmarkStart w:id="107" w:name="Tc_exjGUSPoT0Oqcv2uME26lg_6_5"/>
      <w:bookmarkStart w:id="108" w:name="Tc_tC4JCuGENUKJGtsCc5_dlg_6_2"/>
      <w:bookmarkStart w:id="109" w:name="Tc_z4wCJoVTiE6bkM2fwcX8Iw_6_0"/>
      <w:bookmarkStart w:id="110" w:name="Tc_GoK8x-DDmE69EqgKKQwPgg_5_11"/>
      <w:bookmarkStart w:id="111" w:name="Tc_0-ghkQ5zEkqOXpKwBhvn8g_5_8"/>
      <w:bookmarkStart w:id="112" w:name="Tc_VnWX4wfwvU2-UedR_9rlrA_5_5"/>
      <w:bookmarkStart w:id="113" w:name="Tc_i9lh5y2LDE6GLFA_t7VfyA_5_2"/>
      <w:bookmarkStart w:id="114" w:name="Tc_lNzOgpAsMUCa8H8mV-YG1g_5_0"/>
      <w:bookmarkStart w:id="115" w:name="Tc_bK-srOL1FEaeZVfQ9Io11w_4_11"/>
      <w:bookmarkStart w:id="116" w:name="Tc_IqmZfyQy0Eu3D4mqcFXcwQ_4_8"/>
      <w:bookmarkStart w:id="117" w:name="Tc_flXdRZ52z0-UJe6Vqgjtnw_4_5"/>
      <w:bookmarkStart w:id="118" w:name="Tc_ONVFxSjwaECPu7rn82cmNw_4_2"/>
      <w:bookmarkStart w:id="119" w:name="Tc_zC8KVZjVZ069gfo5ChOmog_3_11"/>
      <w:bookmarkStart w:id="120" w:name="Tc_zKLUw4HyfkW-GfyoFhFG_g_3_5"/>
      <w:bookmarkStart w:id="121" w:name="Tc_sLjbMtWBOUGelQXQdZfAng_3_2"/>
      <w:bookmarkStart w:id="122" w:name="Tc_uJgjIx-rJkW3clGXQAHtcA_2_11"/>
      <w:bookmarkStart w:id="123" w:name="Tc_-no5LUS2tE226Bfss3YaiQ_2_5"/>
      <w:bookmarkStart w:id="124" w:name="Tc_o4RcGvOQLk2Dd-x_ZbdWwA_2_2"/>
      <w:bookmarkStart w:id="125" w:name="Tc__A4_rcoKdEmRnLPHDtGEGQ_1_5"/>
      <w:bookmarkStart w:id="126" w:name="_3c3fc3bf_d5a7_468f_bec3_0327ccb280d7"/>
      <w:bookmarkStart w:id="127" w:name="Tc_UN4GaJ0PlEK6PYIT35tpMQ_9_17"/>
      <w:bookmarkStart w:id="128" w:name="Tc_f1CXFKX_tU6ljACFOXJJAw_9_11"/>
      <w:bookmarkStart w:id="129" w:name="Tc_96CZ66wN2E2Btgm0h54EMw_9_8"/>
      <w:bookmarkStart w:id="130" w:name="Tc_XEk68KZDD0qbwm_6Vgq6-Q_9_5"/>
      <w:bookmarkStart w:id="131" w:name="Tc_JL_A23idL0y3W4URtyAQaA_9_2"/>
      <w:bookmarkStart w:id="132" w:name="Tc_hifoSUBRIUKMZETdNQTpkA_9_0"/>
      <w:bookmarkStart w:id="133" w:name="Tc_W-NViyYus0mk3MQHM8RaRA_8_17"/>
      <w:bookmarkStart w:id="134" w:name="Tc_ItndJC4NaE2WYm--XrDAJw_8_14"/>
      <w:bookmarkStart w:id="135" w:name="Tc_MadAHCL0nkaVlqvKe_XwgQ_8_11"/>
      <w:bookmarkStart w:id="136" w:name="Tc_Alhpuz8ewEG0QhnMDTn0sQ_8_8"/>
      <w:bookmarkStart w:id="137" w:name="Tc_sFviZAgd4U-MMMkjmLuP-Q_8_5"/>
      <w:bookmarkStart w:id="138" w:name="Tc_fRgzsugwy0Kkal7-6rGFow_8_2"/>
      <w:bookmarkStart w:id="139" w:name="Tc_VXtAO9Yq10WzRBg9GK8uxg_8_0"/>
      <w:bookmarkStart w:id="140" w:name="Tc_M2Q7DI3gFUevpT7YWl3Ejg_7_17"/>
      <w:bookmarkStart w:id="141" w:name="Tc_h4D3_ekubUmkeCqFEljZXg_7_14"/>
      <w:bookmarkStart w:id="142" w:name="Tc_ds-PQtKjmkGba-li3OMJTQ_7_11"/>
      <w:bookmarkStart w:id="143" w:name="Tc_Id43BBcz5U2KLeCfdh4ihA_7_8"/>
      <w:bookmarkStart w:id="144" w:name="Tc_ax-1PZ5T4kK4MCt6lVAnNw_7_5"/>
      <w:bookmarkStart w:id="145" w:name="Tc_NGlF2m34l02d3IN6I4hp4Q_7_2"/>
      <w:bookmarkStart w:id="146" w:name="Tc_5PkC2RRxQEClvoi0_d8_Pg_7_0"/>
      <w:bookmarkStart w:id="147" w:name="Tc_3PW-IJPxoEWoKhzbj490Mg_6_17"/>
      <w:bookmarkStart w:id="148" w:name="Tc_gyjt2CuNKkiaiCG97pnx3Q_6_14"/>
      <w:bookmarkStart w:id="149" w:name="Tc_X_yGXyGYikWCPMcVXnBmtA_6_11"/>
      <w:bookmarkStart w:id="150" w:name="Tc_nAT407QWgkmw1CymadNeIA_6_8"/>
      <w:bookmarkStart w:id="151" w:name="Tc_WVpUeFJodEeokvlyTvDW6w_6_5"/>
      <w:bookmarkStart w:id="152" w:name="Tc_Cvw1Jt7rZU6-7cA0BLBEDA_6_2"/>
      <w:bookmarkStart w:id="153" w:name="Tc_voLR1BP120Sh3lSQLm_mUA_6_0"/>
      <w:bookmarkStart w:id="154" w:name="Tc_RKaGZSXy8kCh75c0tWOQGg_5_14"/>
      <w:bookmarkStart w:id="155" w:name="Tc_wmUn2BqTC0GnjS64KNCT2Q_5_11"/>
      <w:bookmarkStart w:id="156" w:name="Tc_nOm_M0Xep02NOfHEOLUpAw_5_8"/>
      <w:bookmarkStart w:id="157" w:name="Tc_tKCTCjzc40ms050Dx4D_GA_5_5"/>
      <w:bookmarkStart w:id="158" w:name="Tc_ziknceBrkU6_SEn1ghNTEA_5_2"/>
      <w:bookmarkStart w:id="159" w:name="Tc_H1WpOv4W1Uei6gz1rnC2vw_4_14"/>
      <w:bookmarkStart w:id="160" w:name="Tc_gDfY5b7eOEeJGkdG_xYLRQ_4_11"/>
      <w:bookmarkStart w:id="161" w:name="Tc_8WUrH19uTUufnSOuQ3DIbw_4_8"/>
      <w:bookmarkStart w:id="162" w:name="Tc_HSSsoEvx1ki7gDAhhKPtlw_4_5"/>
      <w:bookmarkStart w:id="163" w:name="Tc_vy10QC-bVkSNnLeTU-s_0g_4_2"/>
      <w:bookmarkStart w:id="164" w:name="Tc_da7Y2OcynU6kDe-mg042tA_3_14"/>
      <w:bookmarkStart w:id="165" w:name="Tc__o_Rr9JKsUeZElcbTg9IOQ_3_11"/>
      <w:bookmarkStart w:id="166" w:name="Tc_mEkpCKe_PEeZIelRdqqavw_3_8"/>
      <w:bookmarkStart w:id="167" w:name="Tc_XO0zFT0mkkGzb87flfqFlw_3_2"/>
      <w:bookmarkStart w:id="168" w:name="Tc_06nz0QVcqEi2EXM6sXZrVQ_2_14"/>
      <w:bookmarkStart w:id="169" w:name="Tc_pbYHh_e26UKEZTqQ2vCZOQ_2_11"/>
      <w:bookmarkStart w:id="170" w:name="Tc_5qG2_qcIfEelJp3G7xW4UQ_2_8"/>
      <w:bookmarkStart w:id="171" w:name="Tc_ttDt-7AQaEOAQWxg_v3GXw_1_14"/>
      <w:bookmarkStart w:id="172" w:name="Tc_dpfHV2BZv0qR-5-ha8XLkQ_1_8"/>
      <w:bookmarkStart w:id="173" w:name="_ea5c1dfd_83e5_4b16_a97a_c3f03f9e132c"/>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rFonts w:ascii="Times New Roman;Times;serif" w:hAnsi="Times New Roman;Times;serif"/>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346"/>
        <w:gridCol w:w="227"/>
        <w:gridCol w:w="964"/>
        <w:gridCol w:w="346"/>
        <w:gridCol w:w="235"/>
        <w:gridCol w:w="998"/>
        <w:gridCol w:w="346"/>
        <w:gridCol w:w="274"/>
        <w:gridCol w:w="969"/>
        <w:gridCol w:w="346"/>
        <w:gridCol w:w="237"/>
        <w:gridCol w:w="1006"/>
        <w:gridCol w:w="346"/>
        <w:gridCol w:w="335"/>
        <w:gridCol w:w="910"/>
        <w:gridCol w:w="346"/>
        <w:gridCol w:w="248"/>
        <w:gridCol w:w="1245"/>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05435" cy="175260"/>
                      <wp:effectExtent l="0" t="0" r="0" b="0"/>
                      <wp:wrapNone/>
                      <wp:docPr id="61" name="Frame5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2"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4145" cy="175260"/>
                      <wp:effectExtent l="0" t="0" r="0" b="0"/>
                      <wp:wrapNone/>
                      <wp:docPr id="63" name="Frame6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12140" cy="175260"/>
                      <wp:effectExtent l="0" t="0" r="0" b="0"/>
                      <wp:wrapNone/>
                      <wp:docPr id="64" name="Frame61"/>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5"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9225" cy="175260"/>
                      <wp:effectExtent l="0" t="0" r="0" b="0"/>
                      <wp:wrapNone/>
                      <wp:docPr id="66" name="Frame6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33730" cy="175260"/>
                      <wp:effectExtent l="0" t="0" r="0" b="0"/>
                      <wp:wrapNone/>
                      <wp:docPr id="67" name="Frame64"/>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8"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3990" cy="175260"/>
                      <wp:effectExtent l="0" t="0" r="0" b="0"/>
                      <wp:wrapNone/>
                      <wp:docPr id="69" name="Frame6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15315" cy="175260"/>
                      <wp:effectExtent l="0" t="0" r="0" b="0"/>
                      <wp:wrapNone/>
                      <wp:docPr id="70" name="Frame67"/>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1"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0495" cy="175260"/>
                      <wp:effectExtent l="0" t="0" r="0" b="0"/>
                      <wp:wrapNone/>
                      <wp:docPr id="72" name="Frame6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38810" cy="175260"/>
                      <wp:effectExtent l="0" t="0" r="0" b="0"/>
                      <wp:wrapNone/>
                      <wp:docPr id="73" name="Frame7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4"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2725" cy="175260"/>
                      <wp:effectExtent l="0" t="0" r="0" b="0"/>
                      <wp:wrapNone/>
                      <wp:docPr id="75" name="Frame7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77850" cy="175260"/>
                      <wp:effectExtent l="0" t="0" r="0" b="0"/>
                      <wp:wrapNone/>
                      <wp:docPr id="76" name="Frame73"/>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7"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7480" cy="175260"/>
                      <wp:effectExtent l="0" t="0" r="0" b="0"/>
                      <wp:wrapNone/>
                      <wp:docPr id="78" name="Frame7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90575" cy="175260"/>
                      <wp:effectExtent l="0" t="0" r="0" b="0"/>
                      <wp:wrapNone/>
                      <wp:docPr id="79" name="Frame76"/>
                      <a:graphic xmlns:a="http://schemas.openxmlformats.org/drawingml/2006/main">
                        <a:graphicData uri="http://schemas.microsoft.com/office/word/2010/wordprocessingShape">
                          <wps:wsp>
                            <wps:cNvSpPr txBox="1"/>
                            <wps:spPr>
                              <a:xfrm>
                                <a:off x="0" y="0"/>
                                <a:ext cx="79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7"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5"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  ​ ​ ​</w:t>
            </w:r>
          </w:p>
        </w:tc>
        <w:tc>
          <w:tcPr>
            <w:tcW w:w="237"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Initial</w:t>
            </w:r>
          </w:p>
        </w:tc>
        <w:tc>
          <w:tcPr>
            <w:tcW w:w="346" w:type="dxa"/>
            <w:tcBorders/>
            <w:vAlign w:val="center"/>
          </w:tcPr>
          <w:p>
            <w:pPr>
              <w:pStyle w:val="TableContents"/>
              <w:bidi w:val="0"/>
              <w:spacing w:before="0" w:after="0"/>
              <w:ind w:left="0" w:right="0" w:hanging="0"/>
              <w:jc w:val="center"/>
              <w:rPr/>
            </w:pPr>
            <w:r>
              <w:rPr/>
              <w:t>  ​ ​ ​</w:t>
            </w:r>
          </w:p>
        </w:tc>
        <w:tc>
          <w:tcPr>
            <w:tcW w:w="248" w:type="dxa"/>
            <w:tcBorders/>
            <w:vAlign w:val="center"/>
          </w:tcPr>
          <w:p>
            <w:pPr>
              <w:pStyle w:val="TableContents"/>
              <w:bidi w:val="0"/>
              <w:spacing w:before="0" w:after="0"/>
              <w:ind w:left="0" w:right="0" w:hanging="0"/>
              <w:jc w:val="center"/>
              <w:rPr/>
            </w:pPr>
            <w:r>
              <w:rPr/>
              <w:t>​</w:t>
            </w:r>
          </w:p>
        </w:tc>
        <w:tc>
          <w:tcPr>
            <w:tcW w:w="1245"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5"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0"/>
              <w:ind w:left="0" w:right="0" w:hanging="0"/>
              <w:jc w:val="center"/>
              <w:rPr/>
            </w:pPr>
            <w:r>
              <w:rPr/>
              <w:t>​</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Fixed $100</w:t>
            </w:r>
          </w:p>
        </w:tc>
        <w:tc>
          <w:tcPr>
            <w:tcW w:w="346" w:type="dxa"/>
            <w:tcBorders/>
            <w:vAlign w:val="center"/>
          </w:tcPr>
          <w:p>
            <w:pPr>
              <w:pStyle w:val="TableContents"/>
              <w:bidi w:val="0"/>
              <w:spacing w:before="0" w:after="0"/>
              <w:ind w:left="0" w:right="0" w:hanging="0"/>
              <w:jc w:val="center"/>
              <w:rPr/>
            </w:pPr>
            <w:r>
              <w:rPr/>
              <w:t>​</w:t>
            </w:r>
          </w:p>
        </w:tc>
        <w:tc>
          <w:tcPr>
            <w:tcW w:w="248" w:type="dxa"/>
            <w:tcBorders/>
            <w:vAlign w:val="center"/>
          </w:tcPr>
          <w:p>
            <w:pPr>
              <w:pStyle w:val="TableContents"/>
              <w:bidi w:val="0"/>
              <w:spacing w:before="0" w:after="0"/>
              <w:ind w:left="0" w:right="0" w:hanging="0"/>
              <w:jc w:val="center"/>
              <w:rPr/>
            </w:pPr>
            <w:r>
              <w:rPr/>
              <w:t>​</w:t>
            </w:r>
          </w:p>
        </w:tc>
        <w:tc>
          <w:tcPr>
            <w:tcW w:w="1245"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0"/>
              <w:ind w:left="0" w:right="0" w:hanging="0"/>
              <w:jc w:val="center"/>
              <w:rPr/>
            </w:pPr>
            <w:r>
              <w:rPr/>
              <w:t>​</w:t>
            </w:r>
          </w:p>
        </w:tc>
        <w:tc>
          <w:tcPr>
            <w:tcW w:w="235"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 Based</w:t>
            </w:r>
          </w:p>
        </w:tc>
        <w:tc>
          <w:tcPr>
            <w:tcW w:w="346" w:type="dxa"/>
            <w:tcBorders/>
            <w:vAlign w:val="center"/>
          </w:tcPr>
          <w:p>
            <w:pPr>
              <w:pStyle w:val="TableContents"/>
              <w:bidi w:val="0"/>
              <w:spacing w:before="0" w:after="0"/>
              <w:ind w:left="0" w:right="0" w:hanging="0"/>
              <w:jc w:val="center"/>
              <w:rPr/>
            </w:pPr>
            <w:r>
              <w:rPr/>
              <w:t>​</w:t>
            </w:r>
          </w:p>
        </w:tc>
        <w:tc>
          <w:tcPr>
            <w:tcW w:w="248" w:type="dxa"/>
            <w:tcBorders/>
            <w:vAlign w:val="center"/>
          </w:tcPr>
          <w:p>
            <w:pPr>
              <w:pStyle w:val="TableContents"/>
              <w:bidi w:val="0"/>
              <w:spacing w:before="0" w:after="0"/>
              <w:ind w:left="0" w:right="0" w:hanging="0"/>
              <w:jc w:val="center"/>
              <w:rPr/>
            </w:pPr>
            <w:r>
              <w:rPr/>
              <w:t>​</w:t>
            </w:r>
          </w:p>
        </w:tc>
        <w:tc>
          <w:tcPr>
            <w:tcW w:w="1245"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Total for</w:t>
            </w:r>
          </w:p>
        </w:tc>
        <w:tc>
          <w:tcPr>
            <w:tcW w:w="346" w:type="dxa"/>
            <w:tcBorders/>
            <w:vAlign w:val="center"/>
          </w:tcPr>
          <w:p>
            <w:pPr>
              <w:pStyle w:val="TableContents"/>
              <w:bidi w:val="0"/>
              <w:spacing w:before="0" w:after="0"/>
              <w:ind w:left="0" w:right="0" w:hanging="0"/>
              <w:jc w:val="center"/>
              <w:rPr/>
            </w:pPr>
            <w:r>
              <w:rPr/>
              <w:t>​</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 Paid to</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Total</w:t>
            </w:r>
          </w:p>
        </w:tc>
        <w:tc>
          <w:tcPr>
            <w:tcW w:w="346" w:type="dxa"/>
            <w:tcBorders/>
            <w:vAlign w:val="center"/>
          </w:tcPr>
          <w:p>
            <w:pPr>
              <w:pStyle w:val="TableContents"/>
              <w:bidi w:val="0"/>
              <w:spacing w:before="0" w:after="0"/>
              <w:ind w:left="0" w:right="0" w:hanging="0"/>
              <w:jc w:val="center"/>
              <w:rPr/>
            </w:pPr>
            <w:r>
              <w:rPr/>
              <w:t>​</w:t>
            </w:r>
          </w:p>
        </w:tc>
        <w:tc>
          <w:tcPr>
            <w:tcW w:w="248" w:type="dxa"/>
            <w:tcBorders/>
            <w:vAlign w:val="center"/>
          </w:tcPr>
          <w:p>
            <w:pPr>
              <w:pStyle w:val="TableContents"/>
              <w:bidi w:val="0"/>
              <w:spacing w:before="0" w:after="0"/>
              <w:ind w:left="0" w:right="0" w:hanging="0"/>
              <w:jc w:val="center"/>
              <w:rPr/>
            </w:pPr>
            <w:r>
              <w:rPr/>
              <w:t>​</w:t>
            </w:r>
          </w:p>
        </w:tc>
        <w:tc>
          <w:tcPr>
            <w:tcW w:w="1245"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Total for</w:t>
            </w:r>
          </w:p>
        </w:tc>
        <w:tc>
          <w:tcPr>
            <w:tcW w:w="346" w:type="dxa"/>
            <w:tcBorders/>
            <w:vAlign w:val="center"/>
          </w:tcPr>
          <w:p>
            <w:pPr>
              <w:pStyle w:val="TableContents"/>
              <w:bidi w:val="0"/>
              <w:spacing w:before="0" w:after="0"/>
              <w:ind w:left="0" w:right="0" w:hanging="0"/>
              <w:jc w:val="center"/>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 paid to</w:t>
            </w:r>
          </w:p>
        </w:tc>
        <w:tc>
          <w:tcPr>
            <w:tcW w:w="346" w:type="dxa"/>
            <w:tcBorders/>
            <w:vAlign w:val="center"/>
          </w:tcPr>
          <w:p>
            <w:pPr>
              <w:pStyle w:val="TableContents"/>
              <w:bidi w:val="0"/>
              <w:spacing w:before="0" w:after="0"/>
              <w:ind w:left="0" w:right="0" w:hanging="0"/>
              <w:jc w:val="center"/>
              <w:rPr/>
            </w:pPr>
            <w:r>
              <w:rPr/>
              <w:t> </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Non-CEO NEOs</w:t>
            </w:r>
          </w:p>
        </w:tc>
        <w:tc>
          <w:tcPr>
            <w:tcW w:w="346" w:type="dxa"/>
            <w:tcBorders/>
            <w:vAlign w:val="center"/>
          </w:tcPr>
          <w:p>
            <w:pPr>
              <w:pStyle w:val="TableContents"/>
              <w:bidi w:val="0"/>
              <w:spacing w:before="0" w:after="0"/>
              <w:ind w:left="0" w:right="0" w:hanging="0"/>
              <w:jc w:val="center"/>
              <w:rPr/>
            </w:pPr>
            <w:r>
              <w:rPr/>
              <w:t> </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Non-CEO NEOs</w:t>
            </w:r>
          </w:p>
        </w:tc>
        <w:tc>
          <w:tcPr>
            <w:tcW w:w="346" w:type="dxa"/>
            <w:tcBorders/>
            <w:vAlign w:val="center"/>
          </w:tcPr>
          <w:p>
            <w:pPr>
              <w:pStyle w:val="TableContents"/>
              <w:bidi w:val="0"/>
              <w:spacing w:before="0" w:after="0"/>
              <w:ind w:left="0" w:right="0" w:hanging="0"/>
              <w:jc w:val="center"/>
              <w:rPr/>
            </w:pPr>
            <w:r>
              <w:rPr/>
              <w:t>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w:t>
            </w:r>
          </w:p>
        </w:tc>
        <w:tc>
          <w:tcPr>
            <w:tcW w:w="346" w:type="dxa"/>
            <w:tcBorders/>
            <w:vAlign w:val="center"/>
          </w:tcPr>
          <w:p>
            <w:pPr>
              <w:pStyle w:val="TableContents"/>
              <w:bidi w:val="0"/>
              <w:spacing w:before="0" w:after="0"/>
              <w:ind w:left="0" w:right="0" w:hanging="0"/>
              <w:jc w:val="center"/>
              <w:rPr/>
            </w:pPr>
            <w:r>
              <w:rPr/>
              <w:t>​</w:t>
            </w:r>
          </w:p>
        </w:tc>
        <w:tc>
          <w:tcPr>
            <w:tcW w:w="248" w:type="dxa"/>
            <w:tcBorders/>
            <w:vAlign w:val="center"/>
          </w:tcPr>
          <w:p>
            <w:pPr>
              <w:pStyle w:val="TableContents"/>
              <w:bidi w:val="0"/>
              <w:spacing w:before="0" w:after="0"/>
              <w:ind w:left="0" w:right="0" w:hanging="0"/>
              <w:jc w:val="center"/>
              <w:rPr/>
            </w:pPr>
            <w:r>
              <w:rPr/>
              <w:t>​</w:t>
            </w:r>
          </w:p>
        </w:tc>
        <w:tc>
          <w:tcPr>
            <w:tcW w:w="1245" w:type="dxa"/>
            <w:tcBorders/>
            <w:vAlign w:val="center"/>
          </w:tcPr>
          <w:p>
            <w:pPr>
              <w:pStyle w:val="TableContents"/>
              <w:bidi w:val="0"/>
              <w:spacing w:before="0" w:after="0"/>
              <w:ind w:left="0" w:right="0" w:hanging="0"/>
              <w:jc w:val="center"/>
              <w:rPr/>
            </w:pPr>
            <w:r>
              <w:rPr/>
              <w:t>​</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 Bashan (1)</w:t>
            </w:r>
          </w:p>
        </w:tc>
        <w:tc>
          <w:tcPr>
            <w:tcW w:w="346" w:type="dxa"/>
            <w:tcBorders/>
            <w:vAlign w:val="center"/>
          </w:tcPr>
          <w:p>
            <w:pPr>
              <w:pStyle w:val="TableContents"/>
              <w:bidi w:val="0"/>
              <w:spacing w:before="0" w:after="0"/>
              <w:ind w:left="0" w:right="0" w:hanging="0"/>
              <w:jc w:val="center"/>
              <w:rPr/>
            </w:pPr>
            <w:r>
              <w:rPr/>
              <w:t>​</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 Bashan (2)</w:t>
            </w:r>
          </w:p>
        </w:tc>
        <w:tc>
          <w:tcPr>
            <w:tcW w:w="346" w:type="dxa"/>
            <w:tcBorders/>
            <w:vAlign w:val="center"/>
          </w:tcPr>
          <w:p>
            <w:pPr>
              <w:pStyle w:val="TableContents"/>
              <w:bidi w:val="0"/>
              <w:spacing w:before="0" w:after="0"/>
              <w:ind w:left="0" w:right="0" w:hanging="0"/>
              <w:jc w:val="center"/>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w:t>
            </w:r>
          </w:p>
        </w:tc>
        <w:tc>
          <w:tcPr>
            <w:tcW w:w="346" w:type="dxa"/>
            <w:tcBorders/>
            <w:vAlign w:val="center"/>
          </w:tcPr>
          <w:p>
            <w:pPr>
              <w:pStyle w:val="TableContents"/>
              <w:bidi w:val="0"/>
              <w:spacing w:before="0" w:after="0"/>
              <w:ind w:left="0" w:right="0" w:hanging="0"/>
              <w:jc w:val="center"/>
              <w:rPr/>
            </w:pPr>
            <w:r>
              <w:rPr/>
              <w:t>​</w:t>
            </w:r>
          </w:p>
        </w:tc>
        <w:tc>
          <w:tcPr>
            <w:tcW w:w="1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w:t>
            </w:r>
          </w:p>
        </w:tc>
        <w:tc>
          <w:tcPr>
            <w:tcW w:w="346" w:type="dxa"/>
            <w:tcBorders/>
            <w:vAlign w:val="center"/>
          </w:tcPr>
          <w:p>
            <w:pPr>
              <w:pStyle w:val="TableContents"/>
              <w:bidi w:val="0"/>
              <w:spacing w:before="0" w:after="0"/>
              <w:ind w:left="0" w:right="0" w:hanging="0"/>
              <w:jc w:val="center"/>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 (5)</w:t>
            </w:r>
          </w:p>
        </w:tc>
        <w:tc>
          <w:tcPr>
            <w:tcW w:w="346" w:type="dxa"/>
            <w:tcBorders/>
            <w:vAlign w:val="center"/>
          </w:tcPr>
          <w:p>
            <w:pPr>
              <w:pStyle w:val="TableContents"/>
              <w:bidi w:val="0"/>
              <w:spacing w:before="0" w:after="0"/>
              <w:ind w:left="0" w:right="0" w:hanging="0"/>
              <w:jc w:val="center"/>
              <w:rPr/>
            </w:pPr>
            <w:r>
              <w:rPr/>
              <w:t>​</w:t>
            </w:r>
          </w:p>
        </w:tc>
        <w:tc>
          <w:tcPr>
            <w:tcW w:w="14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 (6)</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1,166,934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1,524,580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604,485</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735,352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95.74</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(6,604,000)</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1,527,792</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524,655</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749,713</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488,529</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105.62</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2,932,000</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2,684,941</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3,186,324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902,702</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1,094,613</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129.93</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5"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8,312,000</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(1)The dollar amounts reported are the amounts reported in the “Total” column of the Summary Compensation Table for Mr. Bashan, our President and Chief Executive Officer.</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(2)The dollar amounts reported represent the amount of “compensation actually paid” to Mr. Bashan, as computed in accordance with SEC regulations. The dollar amounts do not reflect the actual amount of compensation earned by or paid to Mr. Bashan during the applicable year. In accordance with SEC regulations, the following adjustments were made to Mr. Bashan’s total compensation to determine the compensation actually paid:</w:t>
      </w:r>
    </w:p>
    <w:p>
      <w:pPr>
        <w:pStyle w:val="TextBody"/>
        <w:bidi w:val="0"/>
        <w:spacing w:before="0" w:after="0"/>
        <w:ind w:left="0" w:right="0" w:hanging="0"/>
        <w:jc w:val="left"/>
        <w:rPr/>
      </w:pPr>
      <w:r>
        <w:rPr/>
        <w:t>​</w:t>
      </w:r>
    </w:p>
    <w:tbl>
      <w:tblPr>
        <w:tblW w:w="7175" w:type="dxa"/>
        <w:jc w:val="left"/>
        <w:tblInd w:w="0" w:type="dxa"/>
        <w:tblLayout w:type="fixed"/>
        <w:tblCellMar>
          <w:top w:w="0" w:type="dxa"/>
          <w:left w:w="0" w:type="dxa"/>
          <w:bottom w:w="0" w:type="dxa"/>
          <w:right w:w="0" w:type="dxa"/>
        </w:tblCellMar>
      </w:tblPr>
      <w:tblGrid>
        <w:gridCol w:w="481"/>
        <w:gridCol w:w="346"/>
        <w:gridCol w:w="232"/>
        <w:gridCol w:w="983"/>
        <w:gridCol w:w="346"/>
        <w:gridCol w:w="239"/>
        <w:gridCol w:w="1006"/>
        <w:gridCol w:w="346"/>
        <w:gridCol w:w="293"/>
        <w:gridCol w:w="1237"/>
        <w:gridCol w:w="346"/>
        <w:gridCol w:w="229"/>
        <w:gridCol w:w="109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05435" cy="175260"/>
                      <wp:effectExtent l="0" t="0" r="0" b="0"/>
                      <wp:wrapNone/>
                      <wp:docPr id="80" name="Frame7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1"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7320" cy="175260"/>
                      <wp:effectExtent l="0" t="0" r="0" b="0"/>
                      <wp:wrapNone/>
                      <wp:docPr id="82" name="Frame7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24205" cy="175260"/>
                      <wp:effectExtent l="0" t="0" r="0" b="0"/>
                      <wp:wrapNone/>
                      <wp:docPr id="83" name="Frame80"/>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4"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1765" cy="175260"/>
                      <wp:effectExtent l="0" t="0" r="0" b="0"/>
                      <wp:wrapNone/>
                      <wp:docPr id="85" name="Frame8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38810" cy="175260"/>
                      <wp:effectExtent l="0" t="0" r="0" b="0"/>
                      <wp:wrapNone/>
                      <wp:docPr id="86" name="Frame8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7"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6055" cy="175260"/>
                      <wp:effectExtent l="0" t="0" r="0" b="0"/>
                      <wp:wrapNone/>
                      <wp:docPr id="88" name="Frame85"/>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85495" cy="175260"/>
                      <wp:effectExtent l="0" t="0" r="0" b="0"/>
                      <wp:wrapNone/>
                      <wp:docPr id="89" name="Frame86"/>
                      <a:graphic xmlns:a="http://schemas.openxmlformats.org/drawingml/2006/main">
                        <a:graphicData uri="http://schemas.microsoft.com/office/word/2010/wordprocessingShape">
                          <wps:wsp>
                            <wps:cNvSpPr txBox="1"/>
                            <wps:spPr>
                              <a:xfrm>
                                <a:off x="0" y="0"/>
                                <a:ext cx="785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0"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5415" cy="175260"/>
                      <wp:effectExtent l="0" t="0" r="0" b="0"/>
                      <wp:wrapNone/>
                      <wp:docPr id="91" name="Frame8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785" cy="175260"/>
                      <wp:effectExtent l="0" t="0" r="0" b="0"/>
                      <wp:wrapNone/>
                      <wp:docPr id="92" name="Frame89"/>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2" w:type="dxa"/>
            <w:tcBorders/>
            <w:vAlign w:val="center"/>
          </w:tcPr>
          <w:p>
            <w:pPr>
              <w:pStyle w:val="TableContents"/>
              <w:bidi w:val="0"/>
              <w:spacing w:before="0" w:after="0"/>
              <w:ind w:left="0" w:right="0" w:hanging="0"/>
              <w:jc w:val="center"/>
              <w:rPr/>
            </w:pPr>
            <w:r>
              <w:rPr/>
              <w:t>​</w:t>
            </w:r>
          </w:p>
        </w:tc>
        <w:tc>
          <w:tcPr>
            <w:tcW w:w="9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Summary</w:t>
            </w:r>
          </w:p>
        </w:tc>
        <w:tc>
          <w:tcPr>
            <w:tcW w:w="346" w:type="dxa"/>
            <w:tcBorders/>
            <w:vAlign w:val="center"/>
          </w:tcPr>
          <w:p>
            <w:pPr>
              <w:pStyle w:val="TableContents"/>
              <w:bidi w:val="0"/>
              <w:spacing w:before="0" w:after="0"/>
              <w:ind w:left="0" w:right="0" w:hanging="0"/>
              <w:jc w:val="left"/>
              <w:rPr/>
            </w:pPr>
            <w:r>
              <w:rPr/>
              <w:t>  ​ ​ ​</w:t>
            </w:r>
          </w:p>
        </w:tc>
        <w:tc>
          <w:tcPr>
            <w:tcW w:w="293" w:type="dxa"/>
            <w:tcBorders/>
            <w:vAlign w:val="center"/>
          </w:tcPr>
          <w:p>
            <w:pPr>
              <w:pStyle w:val="TableContents"/>
              <w:bidi w:val="0"/>
              <w:spacing w:before="0" w:after="0"/>
              <w:ind w:left="0" w:right="0" w:hanging="0"/>
              <w:jc w:val="center"/>
              <w:rPr/>
            </w:pPr>
            <w:r>
              <w:rPr/>
              <w:t>​</w:t>
            </w:r>
          </w:p>
        </w:tc>
        <w:tc>
          <w:tcPr>
            <w:tcW w:w="12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229" w:type="dxa"/>
            <w:tcBorders/>
            <w:vAlign w:val="center"/>
          </w:tcPr>
          <w:p>
            <w:pPr>
              <w:pStyle w:val="TableContents"/>
              <w:bidi w:val="0"/>
              <w:spacing w:before="0" w:after="0"/>
              <w:ind w:left="0" w:right="0" w:hanging="0"/>
              <w:jc w:val="center"/>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center"/>
              <w:rPr/>
            </w:pPr>
            <w:r>
              <w:rPr/>
              <w:t>​</w:t>
            </w:r>
          </w:p>
        </w:tc>
        <w:tc>
          <w:tcPr>
            <w:tcW w:w="12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Equals:</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Reported</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2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Total for</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Equity</w:t>
            </w:r>
          </w:p>
        </w:tc>
        <w:tc>
          <w:tcPr>
            <w:tcW w:w="346" w:type="dxa"/>
            <w:tcBorders/>
            <w:vAlign w:val="center"/>
          </w:tcPr>
          <w:p>
            <w:pPr>
              <w:pStyle w:val="TableContents"/>
              <w:bidi w:val="0"/>
              <w:spacing w:before="0" w:after="0"/>
              <w:ind w:left="0" w:right="0" w:hanging="0"/>
              <w:jc w:val="left"/>
              <w:rPr/>
            </w:pPr>
            <w:r>
              <w:rPr/>
              <w:t>​</w:t>
            </w:r>
          </w:p>
        </w:tc>
        <w:tc>
          <w:tcPr>
            <w:tcW w:w="15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Plus: Equity Award</w:t>
            </w:r>
          </w:p>
        </w:tc>
        <w:tc>
          <w:tcPr>
            <w:tcW w:w="34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 paid to</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 Bashan</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(a)</w:t>
            </w:r>
          </w:p>
        </w:tc>
        <w:tc>
          <w:tcPr>
            <w:tcW w:w="346" w:type="dxa"/>
            <w:tcBorders/>
            <w:vAlign w:val="center"/>
          </w:tcPr>
          <w:p>
            <w:pPr>
              <w:pStyle w:val="TableContents"/>
              <w:bidi w:val="0"/>
              <w:spacing w:before="0" w:after="0"/>
              <w:ind w:left="0" w:right="0" w:hanging="0"/>
              <w:jc w:val="left"/>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 (b)</w:t>
            </w:r>
          </w:p>
        </w:tc>
        <w:tc>
          <w:tcPr>
            <w:tcW w:w="346"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 Bashan</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1,166,934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359,032</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716,678</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1,524,580</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1,527,792</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1,037,121</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33,984</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524,655</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2,684,941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1,308,118</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1,809,501</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3,186,324</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(a)Represents the aggregate grant-date fair value of equity awards as reported in the “Stock Awards” and “Option Awards” columns in the Summary Compensation Table for the applicable year.</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(b)The equity award adjustments for each applicable year were as set forth in the table below. The valuation assumptions used to calculate fair values did not materially differ from those disclosed at the time of grant. The amounts deducted or added in calculating the equity award adjustments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346"/>
        <w:gridCol w:w="239"/>
        <w:gridCol w:w="845"/>
        <w:gridCol w:w="346"/>
        <w:gridCol w:w="266"/>
        <w:gridCol w:w="828"/>
        <w:gridCol w:w="346"/>
        <w:gridCol w:w="204"/>
        <w:gridCol w:w="720"/>
        <w:gridCol w:w="346"/>
        <w:gridCol w:w="222"/>
        <w:gridCol w:w="884"/>
        <w:gridCol w:w="346"/>
        <w:gridCol w:w="363"/>
        <w:gridCol w:w="566"/>
        <w:gridCol w:w="346"/>
        <w:gridCol w:w="372"/>
        <w:gridCol w:w="661"/>
        <w:gridCol w:w="346"/>
        <w:gridCol w:w="196"/>
        <w:gridCol w:w="93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05435" cy="175260"/>
                      <wp:effectExtent l="0" t="0" r="0" b="0"/>
                      <wp:wrapNone/>
                      <wp:docPr id="93" name="Frame9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4"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1765" cy="175260"/>
                      <wp:effectExtent l="0" t="0" r="0" b="0"/>
                      <wp:wrapNone/>
                      <wp:docPr id="95" name="Frame9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36575" cy="175260"/>
                      <wp:effectExtent l="0" t="0" r="0" b="0"/>
                      <wp:wrapNone/>
                      <wp:docPr id="96" name="Frame93"/>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7"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8910" cy="175260"/>
                      <wp:effectExtent l="0" t="0" r="0" b="0"/>
                      <wp:wrapNone/>
                      <wp:docPr id="98" name="Frame9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25780" cy="175260"/>
                      <wp:effectExtent l="0" t="0" r="0" b="0"/>
                      <wp:wrapNone/>
                      <wp:docPr id="99" name="Frame96"/>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0"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9540" cy="175260"/>
                      <wp:effectExtent l="0" t="0" r="0" b="0"/>
                      <wp:wrapNone/>
                      <wp:docPr id="101" name="Frame9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57200" cy="175260"/>
                      <wp:effectExtent l="0" t="0" r="0" b="0"/>
                      <wp:wrapNone/>
                      <wp:docPr id="102"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3"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0970" cy="175260"/>
                      <wp:effectExtent l="0" t="0" r="0" b="0"/>
                      <wp:wrapNone/>
                      <wp:docPr id="104" name="Frame10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1340" cy="175260"/>
                      <wp:effectExtent l="0" t="0" r="0" b="0"/>
                      <wp:wrapNone/>
                      <wp:docPr id="105" name="Frame102"/>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6"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30505" cy="175260"/>
                      <wp:effectExtent l="0" t="0" r="0" b="0"/>
                      <wp:wrapNone/>
                      <wp:docPr id="107" name="Frame10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59410" cy="175260"/>
                      <wp:effectExtent l="0" t="0" r="0" b="0"/>
                      <wp:wrapNone/>
                      <wp:docPr id="108" name="Frame105"/>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9"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36220" cy="175260"/>
                      <wp:effectExtent l="0" t="0" r="0" b="0"/>
                      <wp:wrapNone/>
                      <wp:docPr id="110" name="Frame10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19735" cy="175260"/>
                      <wp:effectExtent l="0" t="0" r="0" b="0"/>
                      <wp:wrapNone/>
                      <wp:docPr id="111" name="Frame10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2"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24460" cy="175260"/>
                      <wp:effectExtent l="0" t="0" r="0" b="0"/>
                      <wp:wrapNone/>
                      <wp:docPr id="113"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94360" cy="175260"/>
                      <wp:effectExtent l="0" t="0" r="0" b="0"/>
                      <wp:wrapNone/>
                      <wp:docPr id="114" name="Frame11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266"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204" w:type="dxa"/>
            <w:tcBorders/>
            <w:vAlign w:val="center"/>
          </w:tcPr>
          <w:p>
            <w:pPr>
              <w:pStyle w:val="TableContents"/>
              <w:bidi w:val="0"/>
              <w:spacing w:before="0" w:after="0"/>
              <w:ind w:left="0" w:right="0" w:hanging="0"/>
              <w:jc w:val="center"/>
              <w:rPr/>
            </w:pPr>
            <w:r>
              <w:rPr/>
              <w:t>​</w:t>
            </w:r>
          </w:p>
        </w:tc>
        <w:tc>
          <w:tcPr>
            <w:tcW w:w="7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222"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372"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7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the End</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7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Prior</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Dividend</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over Year</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w:t>
            </w:r>
          </w:p>
        </w:tc>
        <w:tc>
          <w:tcPr>
            <w:tcW w:w="34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of </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over Year</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Accrued or</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Vested</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that</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Earnings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 Fair</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Equity</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Failed to</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on Stock</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Unvested</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Unvested</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Meet</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not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Awards</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Awards</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 in</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Prior Years</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Vesting</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Otherwise</w:t>
            </w:r>
          </w:p>
        </w:tc>
        <w:tc>
          <w:tcPr>
            <w:tcW w:w="346" w:type="dxa"/>
            <w:tcBorders/>
            <w:vAlign w:val="center"/>
          </w:tcPr>
          <w:p>
            <w:pPr>
              <w:pStyle w:val="TableContents"/>
              <w:bidi w:val="0"/>
              <w:spacing w:before="0" w:after="0"/>
              <w:ind w:left="0" w:right="0" w:hanging="0"/>
              <w:jc w:val="center"/>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Equity</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 in the</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 in</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Covered</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Vested in the</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Conditions</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Reflected in</w:t>
            </w:r>
          </w:p>
        </w:tc>
        <w:tc>
          <w:tcPr>
            <w:tcW w:w="346" w:type="dxa"/>
            <w:tcBorders/>
            <w:vAlign w:val="center"/>
          </w:tcPr>
          <w:p>
            <w:pPr>
              <w:pStyle w:val="TableContents"/>
              <w:bidi w:val="0"/>
              <w:spacing w:before="0" w:after="0"/>
              <w:ind w:left="0" w:right="0" w:hanging="0"/>
              <w:jc w:val="center"/>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Covered Year</w:t>
            </w:r>
          </w:p>
        </w:tc>
        <w:tc>
          <w:tcPr>
            <w:tcW w:w="346" w:type="dxa"/>
            <w:tcBorders/>
            <w:vAlign w:val="center"/>
          </w:tcPr>
          <w:p>
            <w:pPr>
              <w:pStyle w:val="TableContents"/>
              <w:bidi w:val="0"/>
              <w:spacing w:before="0" w:after="0"/>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 Years</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the Year</w:t>
            </w:r>
          </w:p>
        </w:tc>
        <w:tc>
          <w:tcPr>
            <w:tcW w:w="346" w:type="dxa"/>
            <w:tcBorders/>
            <w:vAlign w:val="center"/>
          </w:tcPr>
          <w:p>
            <w:pPr>
              <w:pStyle w:val="TableContents"/>
              <w:bidi w:val="0"/>
              <w:spacing w:before="0" w:after="0"/>
              <w:ind w:left="0" w:right="0" w:hanging="0"/>
              <w:jc w:val="center"/>
              <w:rPr/>
            </w:pPr>
            <w:r>
              <w:rPr/>
              <w:t>​</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670,505</w:t>
            </w:r>
          </w:p>
        </w:tc>
        <w:tc>
          <w:tcPr>
            <w:tcW w:w="346"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(19,690)</w:t>
            </w:r>
          </w:p>
        </w:tc>
        <w:tc>
          <w:tcPr>
            <w:tcW w:w="346" w:type="dxa"/>
            <w:tcBorders/>
            <w:shd w:fill="CCEEFF" w:val="clear"/>
            <w:vAlign w:val="center"/>
          </w:tcPr>
          <w:p>
            <w:pPr>
              <w:pStyle w:val="TableContents"/>
              <w:bidi w:val="0"/>
              <w:spacing w:before="0" w:after="0"/>
              <w:ind w:left="0" w:right="0" w:hanging="0"/>
              <w:jc w:val="center"/>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58,641</w:t>
            </w:r>
          </w:p>
        </w:tc>
        <w:tc>
          <w:tcPr>
            <w:tcW w:w="346" w:type="dxa"/>
            <w:tcBorders/>
            <w:shd w:fill="CCEEFF" w:val="clear"/>
            <w:vAlign w:val="center"/>
          </w:tcPr>
          <w:p>
            <w:pPr>
              <w:pStyle w:val="TableContents"/>
              <w:bidi w:val="0"/>
              <w:spacing w:before="0" w:after="0"/>
              <w:ind w:left="0" w:right="0" w:hanging="0"/>
              <w:jc w:val="center"/>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7,222</w:t>
            </w:r>
          </w:p>
        </w:tc>
        <w:tc>
          <w:tcPr>
            <w:tcW w:w="346" w:type="dxa"/>
            <w:tcBorders/>
            <w:shd w:fill="CCEEFF" w:val="clear"/>
            <w:vAlign w:val="center"/>
          </w:tcPr>
          <w:p>
            <w:pPr>
              <w:pStyle w:val="TableContents"/>
              <w:bidi w:val="0"/>
              <w:spacing w:before="0" w:after="0"/>
              <w:ind w:left="0" w:right="0" w:hanging="0"/>
              <w:jc w:val="center"/>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716,678</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5,049</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329,950</w:t>
            </w:r>
          </w:p>
        </w:tc>
        <w:tc>
          <w:tcPr>
            <w:tcW w:w="34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(301,015)</w:t>
            </w:r>
          </w:p>
        </w:tc>
        <w:tc>
          <w:tcPr>
            <w:tcW w:w="346" w:type="dxa"/>
            <w:tcBorders/>
            <w:vAlign w:val="center"/>
          </w:tcPr>
          <w:p>
            <w:pPr>
              <w:pStyle w:val="TableContents"/>
              <w:bidi w:val="0"/>
              <w:spacing w:before="0" w:after="0"/>
              <w:ind w:left="0" w:right="0" w:hanging="0"/>
              <w:jc w:val="center"/>
              <w:rPr/>
            </w:pPr>
            <w:r>
              <w:rPr/>
              <w:t>​</w:t>
            </w:r>
          </w:p>
        </w:tc>
        <w:tc>
          <w:tcPr>
            <w:tcW w:w="36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33,984</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4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934,501</w:t>
            </w:r>
          </w:p>
        </w:tc>
        <w:tc>
          <w:tcPr>
            <w:tcW w:w="346"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210,735</w:t>
            </w:r>
          </w:p>
        </w:tc>
        <w:tc>
          <w:tcPr>
            <w:tcW w:w="346" w:type="dxa"/>
            <w:tcBorders/>
            <w:shd w:fill="CCEEFF" w:val="clear"/>
            <w:vAlign w:val="center"/>
          </w:tcPr>
          <w:p>
            <w:pPr>
              <w:pStyle w:val="TableContents"/>
              <w:bidi w:val="0"/>
              <w:spacing w:before="0" w:after="0"/>
              <w:ind w:left="0" w:right="0" w:hanging="0"/>
              <w:jc w:val="center"/>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505,750</w:t>
            </w:r>
          </w:p>
        </w:tc>
        <w:tc>
          <w:tcPr>
            <w:tcW w:w="346" w:type="dxa"/>
            <w:tcBorders/>
            <w:shd w:fill="CCEEFF" w:val="clear"/>
            <w:vAlign w:val="center"/>
          </w:tcPr>
          <w:p>
            <w:pPr>
              <w:pStyle w:val="TableContents"/>
              <w:bidi w:val="0"/>
              <w:spacing w:before="0" w:after="0"/>
              <w:ind w:left="0" w:right="0" w:hanging="0"/>
              <w:jc w:val="center"/>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158,515</w:t>
            </w:r>
          </w:p>
        </w:tc>
        <w:tc>
          <w:tcPr>
            <w:tcW w:w="346" w:type="dxa"/>
            <w:tcBorders/>
            <w:shd w:fill="CCEEFF" w:val="clear"/>
            <w:vAlign w:val="center"/>
          </w:tcPr>
          <w:p>
            <w:pPr>
              <w:pStyle w:val="TableContents"/>
              <w:bidi w:val="0"/>
              <w:spacing w:before="0" w:after="0"/>
              <w:ind w:left="0" w:right="0" w:hanging="0"/>
              <w:jc w:val="center"/>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1,809,501</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dollar amounts reported represent the average of the amounts reported for our Named Executive Officers as a group (excluding our CEO) in the “Total” column of the Summary Compensation Table in each applicable year. The Named Executive Officers included for purposes of calculating the average amounts are Mr. Mamlok, Mr. Naos, and Mr. Rubin.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rFonts w:ascii="Times New Roman;Times;serif" w:hAnsi="Times New Roman;Times;serif"/>
          <w:sz w:val="20"/>
        </w:rPr>
      </w:pPr>
      <w:bookmarkStart w:id="174" w:name="Tc_g5IXAmA0KUy-is1ygpxTHQ_13_20"/>
      <w:bookmarkStart w:id="175" w:name="Tc_C3E9EAYgfkOLrdyCYZU7kQ_13_18"/>
      <w:bookmarkStart w:id="176" w:name="Tc_Nml9hY7vBE6qRLhNZFxeoA_13_17"/>
      <w:bookmarkStart w:id="177" w:name="Tc_WWVot00EwEewfMd03uTzTw_13_15"/>
      <w:bookmarkStart w:id="178" w:name="Tc_Xw-vye-ke0-CcqR8kY8ZKw_13_14"/>
      <w:bookmarkStart w:id="179" w:name="Tc_t28pv5-9KUiMHvcE1q_G5w_13_11"/>
      <w:bookmarkStart w:id="180" w:name="Tc_o5z7UWsxs0meX7Iw2JLS0A_13_8"/>
      <w:bookmarkStart w:id="181" w:name="Tc_1HD2nskkIEeGK79lvPXS4w_13_5"/>
      <w:bookmarkStart w:id="182" w:name="Tc_2W3jd7O2cE6C1fGkxJ7ipg_13_2"/>
      <w:bookmarkStart w:id="183" w:name="Tc_RB4CUHM53UqCS8IkK2Ukag_13_0"/>
      <w:bookmarkStart w:id="184" w:name="Tc_Wd8tTQDdkU60DxwsC2cnIw_12_20"/>
      <w:bookmarkStart w:id="185" w:name="Tc_IUW9b9oSSkuqzJ8aiHnvSg_12_18"/>
      <w:bookmarkStart w:id="186" w:name="Tc_tDT-tQDd7US5WByl1GHUIg_12_17"/>
      <w:bookmarkStart w:id="187" w:name="Tc_pjj8l6jcu0SWigyhfOCD5w_12_15"/>
      <w:bookmarkStart w:id="188" w:name="Tc_IhC4qIaYN0asP3t1R9z7GA_12_14"/>
      <w:bookmarkStart w:id="189" w:name="Tc_zHB5Rlsj3EuU1SsP7lA4zQ_12_11"/>
      <w:bookmarkStart w:id="190" w:name="Tc_RcvaujQ5M0C7nBYoVhottg_12_8"/>
      <w:bookmarkStart w:id="191" w:name="Tc_ZVs7f6rGd0aoN-hqgMNrEA_12_5"/>
      <w:bookmarkStart w:id="192" w:name="Tc_lgRbwQYiC0a26x4dGWMLVA_12_2"/>
      <w:bookmarkStart w:id="193" w:name="Tc_ZrVj14SJJUyBEwBRDWRmkg_12_0"/>
      <w:bookmarkStart w:id="194" w:name="Tc_owknPWbnqEyMjqRUuWfdiA_11_20"/>
      <w:bookmarkStart w:id="195" w:name="Tc_G8vcWIwLyEi4O11gTUg3vQ_11_18"/>
      <w:bookmarkStart w:id="196" w:name="Tc_vB5IfA6zvUSBXMW8Oiv1EQ_11_17"/>
      <w:bookmarkStart w:id="197" w:name="Tc_dAB1IXY2A0WEIU0ciZAI0Q_11_15"/>
      <w:bookmarkStart w:id="198" w:name="Tc_0UzjPvb74U6g0-pCB7TGYw_11_14"/>
      <w:bookmarkStart w:id="199" w:name="Tc_RIpQ6_8mhEqjKQVmu_Hinw_11_11"/>
      <w:bookmarkStart w:id="200" w:name="Tc_tQ91o1vwpUygu363Ufi87Q_11_8"/>
      <w:bookmarkStart w:id="201" w:name="Tc_-m8M1FyAUU-0gz_Rscmpaw_11_5"/>
      <w:bookmarkStart w:id="202" w:name="Tc_2kFN9nzXC0O8CT6avt0DxA_11_2"/>
      <w:bookmarkStart w:id="203" w:name="Tc_1bx8vao4AkufofCflNdrZQ_11_0"/>
      <w:bookmarkStart w:id="204" w:name="Tc_zRbNrSigDEK2WlKyYdCZuw_10_20"/>
      <w:bookmarkStart w:id="205" w:name="Tc_R9yAl4HQQU67O-IQZUTBbg_10_17"/>
      <w:bookmarkStart w:id="206" w:name="Tc_tyR7qkL74Emm-boW59OrRw_10_14"/>
      <w:bookmarkStart w:id="207" w:name="Tc_ALB3oqk1bUaaLCRIKCXxtA_10_11"/>
      <w:bookmarkStart w:id="208" w:name="Tc_2rpKMkgiJECtuF8PAFmNWQ_10_8"/>
      <w:bookmarkStart w:id="209" w:name="Tc_NF_rNk2L50SnDQQeV-RoPA_10_5"/>
      <w:bookmarkStart w:id="210" w:name="Tc_6s2DBJ1blkq_f8YlZeerjg_10_2"/>
      <w:bookmarkStart w:id="211" w:name="Tc_xoT5FKtqXkmSsb0VLQjAMQ_10_0"/>
      <w:bookmarkStart w:id="212" w:name="Tc_t1XhPpyH6kCQcbJ0t5rEOA_9_20"/>
      <w:bookmarkStart w:id="213" w:name="Tc_cdteu0MBF0eQjIcPR9bdxg_9_17"/>
      <w:bookmarkStart w:id="214" w:name="Tc_lOVWhVF6cEKVzB9n7t-n1Q_9_14"/>
      <w:bookmarkStart w:id="215" w:name="Tc_B2kFllp5v0yIs0q3hDntiw_9_11"/>
      <w:bookmarkStart w:id="216" w:name="Tc_wQAlZiFo00SBZyHq9Dvsag_9_8"/>
      <w:bookmarkStart w:id="217" w:name="Tc_pFh_BVdSeEKjATzIQ3U7Wg_9_5"/>
      <w:bookmarkStart w:id="218" w:name="Tc_QKtBncTRX0uILT07-mm8rA_9_2"/>
      <w:bookmarkStart w:id="219" w:name="Tc_5g-nvpV5e0-bz2hLmodxJw_8_20"/>
      <w:bookmarkStart w:id="220" w:name="Tc_0o0cyFfJ00uUXUHc40xDqA_8_17"/>
      <w:bookmarkStart w:id="221" w:name="Tc_QCNTCDULNUChvbyhCGdffQ_8_14"/>
      <w:bookmarkStart w:id="222" w:name="Tc_SqKT0HwTCUuXMCaUIMJpbQ_8_11"/>
      <w:bookmarkStart w:id="223" w:name="Tc_ACfX5I7B60eBn7bi4jGP0A_8_8"/>
      <w:bookmarkStart w:id="224" w:name="Tc_DeL6NFru60Gd3EzuT7vzmQ_8_5"/>
      <w:bookmarkStart w:id="225" w:name="Tc_tlRPJ0M5zUmL00OGiniEtA_8_2"/>
      <w:bookmarkStart w:id="226" w:name="Tc_UN1k_Co-6UuaXylmPR7IGA_7_17"/>
      <w:bookmarkStart w:id="227" w:name="Tc_bsMttoqc_kKpXyiUNdqHIg_7_14"/>
      <w:bookmarkStart w:id="228" w:name="Tc_MwEnYf3ZMEKjlJeNY9aCJw_7_11"/>
      <w:bookmarkStart w:id="229" w:name="Tc_zN-wKAWl60KOYYQ0HBZMiw_7_8"/>
      <w:bookmarkStart w:id="230" w:name="Tc_PPkubkthKUedsDmqFG_7-w_7_5"/>
      <w:bookmarkStart w:id="231" w:name="Tc_7jv4ifukS0uqCZkOXnP5OQ_7_2"/>
      <w:bookmarkStart w:id="232" w:name="Tc_wuYlAkjB6UycjTJjAhc80Q_6_17"/>
      <w:bookmarkStart w:id="233" w:name="Tc_2HFA7zgcfkKEHE5CH_mrUA_6_14"/>
      <w:bookmarkStart w:id="234" w:name="Tc_htjv6rduhEKMhf4qDCPnZw_6_11"/>
      <w:bookmarkStart w:id="235" w:name="Tc__wVHX7Aiy0SD9Dj-f4my4g_6_8"/>
      <w:bookmarkStart w:id="236" w:name="Tc_8oKX9vPazUGbye7rnYSiag_6_5"/>
      <w:bookmarkStart w:id="237" w:name="Tc_4yNIHL_WJE2eENY5UnYxbA_6_2"/>
      <w:bookmarkStart w:id="238" w:name="Tc_iiX-thnE4UqruUnPQ0pHIg_5_17"/>
      <w:bookmarkStart w:id="239" w:name="Tc_0VILU4pT-kOlbvf9CzpLHw_5_14"/>
      <w:bookmarkStart w:id="240" w:name="Tc_kqMe0Ib08E-EVNdCOdoUTg_5_11"/>
      <w:bookmarkStart w:id="241" w:name="Tc_VFUnKWdYgUaDkmwCFZofrg_5_8"/>
      <w:bookmarkStart w:id="242" w:name="Tc_6x6nOxgmbkOzHk5pIFR-WA_5_5"/>
      <w:bookmarkStart w:id="243" w:name="Tc_8J0za2pwxkWinriKCKQezQ_5_2"/>
      <w:bookmarkStart w:id="244" w:name="Tc_W9oxrSKl9kGimsEF_oB_nQ_4_17"/>
      <w:bookmarkStart w:id="245" w:name="Tc_kSmEVEUVGE-05V_rpVZ0Gw_4_14"/>
      <w:bookmarkStart w:id="246" w:name="Tc_qgWBOzNbg0Wt7yKqwqwS4w_4_11"/>
      <w:bookmarkStart w:id="247" w:name="Tc_wGDhNDOeMkivvL1Otjw8nQ_4_8"/>
      <w:bookmarkStart w:id="248" w:name="Tc_YI5JWcfYm06IaSb0UDfItQ_4_5"/>
      <w:bookmarkStart w:id="249" w:name="Tc_k4s0rjCA6UCdifkBXJWbJw_3_17"/>
      <w:bookmarkStart w:id="250" w:name="Tc_PXG2ggn9vUWB5fVNImLzhg_3_14"/>
      <w:bookmarkStart w:id="251" w:name="Tc_LBAYb6YeJkezEleBc7FDpw_3_11"/>
      <w:bookmarkStart w:id="252" w:name="Tc_VBFIDy7nCk2aZNo26OijlQ_3_8"/>
      <w:bookmarkStart w:id="253" w:name="Tc_FgATbJiqUk6hQEemvXI9gQ_3_5"/>
      <w:bookmarkStart w:id="254" w:name="Tc_qEwFlZPAwUuV0mBmcXUSvg_2_17"/>
      <w:bookmarkStart w:id="255" w:name="Tc_nwSwkwMHu0KI0lE8y1_gnA_2_14"/>
      <w:bookmarkStart w:id="256" w:name="Tc_KuBRPCE-Uky6cJiRCiLuKA_2_11"/>
      <w:bookmarkStart w:id="257" w:name="Tc_D6-eaDuTfEi_dS53DApEcA_2_8"/>
      <w:bookmarkStart w:id="258" w:name="Tc_PCq3OrcWR02VMPXJyV2NnQ_1_17"/>
      <w:bookmarkStart w:id="259" w:name="Tc_MhAeyr8S-Ue871ed9Sw4bA_1_14"/>
      <w:bookmarkStart w:id="260" w:name="Tc_iHlA2ATUCUuSbkO3GXFg6g_1_11"/>
      <w:bookmarkStart w:id="261" w:name="_083722d5_cf56_44d5_8d9a_60fcdfdc6650"/>
      <w:bookmarkStart w:id="262" w:name="Tc_rjnxYUWSSkalvkBHxYZ4ew_8_11"/>
      <w:bookmarkStart w:id="263" w:name="Tc_aKsNfD72w0mQBbLRRoOXzg_8_8"/>
      <w:bookmarkStart w:id="264" w:name="Tc_5p8Yj05ipEi2ruT0a8LyZw_8_5"/>
      <w:bookmarkStart w:id="265" w:name="Tc_333RZ_dbi0CufP8Fu6HcTQ_8_2"/>
      <w:bookmarkStart w:id="266" w:name="Tc_CSVGHhYUCUylh8LH-S-Zpg_8_0"/>
      <w:bookmarkStart w:id="267" w:name="Tc_iYhVD4pZpEirw3B02WH_jQ_7_11"/>
      <w:bookmarkStart w:id="268" w:name="Tc_WCL8iAzGWEGt9FzLD4x8Og_7_8"/>
      <w:bookmarkStart w:id="269" w:name="Tc_8toA4i8_S069x0CsIy4aTA_7_5"/>
      <w:bookmarkStart w:id="270" w:name="Tc_cd6wPDKpm0mQS1AP_Pnhzw_7_2"/>
      <w:bookmarkStart w:id="271" w:name="Tc_AMod5UtXXU2tKH2HjREilg_7_0"/>
      <w:bookmarkStart w:id="272" w:name="Tc_07Qgo_RsFUqyL-Ozy4lfzQ_6_11"/>
      <w:bookmarkStart w:id="273" w:name="Tc_J-52RMqHi0WlzkjhK4KT9A_6_8"/>
      <w:bookmarkStart w:id="274" w:name="Tc_TofhzSF6hkix5bWnwCI-HQ_6_5"/>
      <w:bookmarkStart w:id="275" w:name="Tc_Uh-w66iyH0a2zgpqANjF8Q_6_2"/>
      <w:bookmarkStart w:id="276" w:name="Tc_RxZotxQ4nEGzPg2afmst7Q_6_0"/>
      <w:bookmarkStart w:id="277" w:name="Tc_6EWyVpO4fUKvjdQ1ArMdJg_5_12"/>
      <w:bookmarkStart w:id="278" w:name="Tc_H8h89TxHREOtsJDOJv3FVA_5_8"/>
      <w:bookmarkStart w:id="279" w:name="Tc_8gbMcEwVT0qtONuFTEK6UA_5_5"/>
      <w:bookmarkStart w:id="280" w:name="Tc_78S5WWhTjE-WsolpqrqCLA_5_2"/>
      <w:bookmarkStart w:id="281" w:name="Tc_SIN4QarB-EyWbiDyA0yUOQ_5_0"/>
      <w:bookmarkStart w:id="282" w:name="Tc_3yXUA1dmkEu9xoLHNo-apQ_4_11"/>
      <w:bookmarkStart w:id="283" w:name="Tc_yXjCQK2CCUuXwuvmj8iqlA_4_8"/>
      <w:bookmarkStart w:id="284" w:name="Tc_hmylvwYdaEWUnvgI8iQjsQ_4_5"/>
      <w:bookmarkStart w:id="285" w:name="Tc_kYUeRRhaXEqgpHvm_sDtew_4_2"/>
      <w:bookmarkStart w:id="286" w:name="Tc_1WsG5T8IDkmE7S-5RaoNyg_3_11"/>
      <w:bookmarkStart w:id="287" w:name="Tc_T3eoMzRNvUOKPHpRHMWm9A_3_8"/>
      <w:bookmarkStart w:id="288" w:name="Tc_D2LycygMrUKHzH1J5hLIHg_3_5"/>
      <w:bookmarkStart w:id="289" w:name="Tc_4ar9gR_WIEWqTuNuNRFZrw_3_2"/>
      <w:bookmarkStart w:id="290" w:name="Tc_16d1kD5rhkub5qnyDPKTlA_2_11"/>
      <w:bookmarkStart w:id="291" w:name="Tc_FZkex9pma0OUaX3RzcJeag_2_5"/>
      <w:bookmarkStart w:id="292" w:name="Tc_YC-cnoIn2UaXGVap5BrUFA_2_2"/>
      <w:bookmarkStart w:id="293" w:name="Tc_qmd47hsPuEWC52rA6WL3FQ_1_2"/>
      <w:bookmarkStart w:id="294" w:name="_da4f0e8b_8563_497c_8830_9ed06277a3c2"/>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Pr>
          <w:rFonts w:ascii="Times New Roman;Times;serif" w:hAnsi="Times New Roman;Times;serif"/>
          <w:b w:val="false"/>
          <w:i w:val="false"/>
          <w:caps w:val="false"/>
          <w:smallCaps w:val="false"/>
          <w:sz w:val="20"/>
        </w:rPr>
        <w:t>(4)</w:t>
      </w:r>
      <w:r>
        <w:rPr>
          <w:rFonts w:ascii="Times New Roman;Times;serif" w:hAnsi="Times New Roman;Times;serif"/>
          <w:sz w:val="20"/>
        </w:rPr>
        <w:t>The dollar amounts reported represent the average amount of “compensation actually paid” to the Named Executive Officers identified in footnote 3, as computed in accordance with SEC regulations. The dollar amounts do not reflect the actual amount of compensation earned by or paid to the Named Executive Officers during the applicable year. In accordance with the SEC regulations, the following adjustments were made to average total compensation for the Named Executive Officers for each year to determine the compensation actually paid:</w:t>
      </w:r>
    </w:p>
    <w:p>
      <w:pPr>
        <w:pStyle w:val="TextBody"/>
        <w:bidi w:val="0"/>
        <w:spacing w:before="0" w:after="0"/>
        <w:ind w:left="0" w:right="0" w:hanging="0"/>
        <w:jc w:val="left"/>
        <w:rPr/>
      </w:pPr>
      <w:r>
        <w:rPr/>
        <w:t>​</w:t>
      </w:r>
    </w:p>
    <w:tbl>
      <w:tblPr>
        <w:tblW w:w="8225" w:type="dxa"/>
        <w:jc w:val="left"/>
        <w:tblInd w:w="0" w:type="dxa"/>
        <w:tblLayout w:type="fixed"/>
        <w:tblCellMar>
          <w:top w:w="0" w:type="dxa"/>
          <w:left w:w="0" w:type="dxa"/>
          <w:bottom w:w="0" w:type="dxa"/>
          <w:right w:w="0" w:type="dxa"/>
        </w:tblCellMar>
      </w:tblPr>
      <w:tblGrid>
        <w:gridCol w:w="541"/>
        <w:gridCol w:w="346"/>
        <w:gridCol w:w="306"/>
        <w:gridCol w:w="1134"/>
        <w:gridCol w:w="346"/>
        <w:gridCol w:w="477"/>
        <w:gridCol w:w="1773"/>
        <w:gridCol w:w="346"/>
        <w:gridCol w:w="267"/>
        <w:gridCol w:w="993"/>
        <w:gridCol w:w="346"/>
        <w:gridCol w:w="225"/>
        <w:gridCol w:w="1125"/>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43535" cy="175260"/>
                      <wp:effectExtent l="0" t="0" r="0" b="0"/>
                      <wp:wrapNone/>
                      <wp:docPr id="115" name="Frame11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6"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94310" cy="175260"/>
                      <wp:effectExtent l="0" t="0" r="0" b="0"/>
                      <wp:wrapNone/>
                      <wp:docPr id="117" name="Frame114"/>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20090" cy="175260"/>
                      <wp:effectExtent l="0" t="0" r="0" b="0"/>
                      <wp:wrapNone/>
                      <wp:docPr id="118" name="Frame115"/>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19"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02895" cy="175260"/>
                      <wp:effectExtent l="0" t="0" r="0" b="0"/>
                      <wp:wrapNone/>
                      <wp:docPr id="120" name="Frame117"/>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25855" cy="175260"/>
                      <wp:effectExtent l="0" t="0" r="0" b="0"/>
                      <wp:wrapNone/>
                      <wp:docPr id="121" name="Frame118"/>
                      <a:graphic xmlns:a="http://schemas.openxmlformats.org/drawingml/2006/main">
                        <a:graphicData uri="http://schemas.microsoft.com/office/word/2010/wordprocessingShape">
                          <wps:wsp>
                            <wps:cNvSpPr txBox="1"/>
                            <wps:spPr>
                              <a:xfrm>
                                <a:off x="0" y="0"/>
                                <a:ext cx="1125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2"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9545" cy="175260"/>
                      <wp:effectExtent l="0" t="0" r="0" b="0"/>
                      <wp:wrapNone/>
                      <wp:docPr id="123" name="Frame12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30555" cy="175260"/>
                      <wp:effectExtent l="0" t="0" r="0" b="0"/>
                      <wp:wrapNone/>
                      <wp:docPr id="124" name="Frame121"/>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5"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2875" cy="175260"/>
                      <wp:effectExtent l="0" t="0" r="0" b="0"/>
                      <wp:wrapNone/>
                      <wp:docPr id="126" name="Frame12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14375" cy="175260"/>
                      <wp:effectExtent l="0" t="0" r="0" b="0"/>
                      <wp:wrapNone/>
                      <wp:docPr id="127" name="Frame124"/>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Reported</w:t>
            </w:r>
          </w:p>
        </w:tc>
        <w:tc>
          <w:tcPr>
            <w:tcW w:w="346" w:type="dxa"/>
            <w:tcBorders/>
            <w:vAlign w:val="center"/>
          </w:tcPr>
          <w:p>
            <w:pPr>
              <w:pStyle w:val="TableContents"/>
              <w:bidi w:val="0"/>
              <w:spacing w:before="0" w:after="0"/>
              <w:ind w:left="0" w:right="0" w:hanging="0"/>
              <w:jc w:val="center"/>
              <w:rPr/>
            </w:pPr>
            <w:r>
              <w:rPr/>
              <w:t>  ​ ​ ​</w:t>
            </w:r>
          </w:p>
        </w:tc>
        <w:tc>
          <w:tcPr>
            <w:tcW w:w="477" w:type="dxa"/>
            <w:tcBorders/>
            <w:vAlign w:val="center"/>
          </w:tcPr>
          <w:p>
            <w:pPr>
              <w:pStyle w:val="TableContents"/>
              <w:bidi w:val="0"/>
              <w:spacing w:before="0" w:after="0"/>
              <w:ind w:left="0" w:right="0" w:hanging="0"/>
              <w:jc w:val="center"/>
              <w:rPr/>
            </w:pPr>
            <w:r>
              <w:rPr/>
              <w:t>​</w:t>
            </w:r>
          </w:p>
        </w:tc>
        <w:tc>
          <w:tcPr>
            <w:tcW w:w="17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67"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5" w:type="dxa"/>
            <w:tcBorders/>
            <w:vAlign w:val="center"/>
          </w:tcPr>
          <w:p>
            <w:pPr>
              <w:pStyle w:val="TableContents"/>
              <w:bidi w:val="0"/>
              <w:spacing w:before="0" w:after="0"/>
              <w:ind w:left="0" w:right="0" w:hanging="0"/>
              <w:jc w:val="center"/>
              <w:rPr/>
            </w:pPr>
            <w:r>
              <w:rPr/>
              <w:t>​</w:t>
            </w:r>
          </w:p>
        </w:tc>
        <w:tc>
          <w:tcPr>
            <w:tcW w:w="1125"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0"/>
              <w:ind w:left="0" w:right="0" w:hanging="0"/>
              <w:jc w:val="center"/>
              <w:rPr/>
            </w:pPr>
            <w:r>
              <w:rPr/>
              <w:t>​</w:t>
            </w:r>
          </w:p>
        </w:tc>
        <w:tc>
          <w:tcPr>
            <w:tcW w:w="22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Summary</w:t>
            </w:r>
          </w:p>
        </w:tc>
        <w:tc>
          <w:tcPr>
            <w:tcW w:w="346"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Equals: Average</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22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Table Average</w:t>
            </w:r>
          </w:p>
        </w:tc>
        <w:tc>
          <w:tcPr>
            <w:tcW w:w="34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Plus: Average</w:t>
            </w:r>
          </w:p>
        </w:tc>
        <w:tc>
          <w:tcPr>
            <w:tcW w:w="34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Total for</w:t>
            </w:r>
          </w:p>
        </w:tc>
        <w:tc>
          <w:tcPr>
            <w:tcW w:w="346" w:type="dxa"/>
            <w:tcBorders/>
            <w:vAlign w:val="center"/>
          </w:tcPr>
          <w:p>
            <w:pPr>
              <w:pStyle w:val="TableContents"/>
              <w:bidi w:val="0"/>
              <w:spacing w:before="0" w:after="0"/>
              <w:ind w:left="0" w:right="0" w:hanging="0"/>
              <w:jc w:val="center"/>
              <w:rPr/>
            </w:pPr>
            <w:r>
              <w:rPr/>
              <w:t>​</w:t>
            </w:r>
          </w:p>
        </w:tc>
        <w:tc>
          <w:tcPr>
            <w:tcW w:w="22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 Value of</w:t>
            </w:r>
          </w:p>
        </w:tc>
        <w:tc>
          <w:tcPr>
            <w:tcW w:w="34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Award</w:t>
            </w:r>
          </w:p>
        </w:tc>
        <w:tc>
          <w:tcPr>
            <w:tcW w:w="34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 Paid to</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left"/>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NEOs</w:t>
            </w:r>
          </w:p>
        </w:tc>
        <w:tc>
          <w:tcPr>
            <w:tcW w:w="346" w:type="dxa"/>
            <w:tcBorders/>
            <w:vAlign w:val="center"/>
          </w:tcPr>
          <w:p>
            <w:pPr>
              <w:pStyle w:val="TableContents"/>
              <w:bidi w:val="0"/>
              <w:spacing w:before="0" w:after="0"/>
              <w:ind w:left="0" w:right="0" w:hanging="0"/>
              <w:jc w:val="left"/>
              <w:rPr/>
            </w:pPr>
            <w:r>
              <w:rPr/>
              <w:t>  ​ ​ ​</w:t>
            </w:r>
          </w:p>
        </w:tc>
        <w:tc>
          <w:tcPr>
            <w:tcW w:w="2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Awards</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 (a)</w:t>
            </w:r>
          </w:p>
        </w:tc>
        <w:tc>
          <w:tcPr>
            <w:tcW w:w="346" w:type="dxa"/>
            <w:tcBorders/>
            <w:vAlign w:val="center"/>
          </w:tcPr>
          <w:p>
            <w:pPr>
              <w:pStyle w:val="TableContents"/>
              <w:bidi w:val="0"/>
              <w:spacing w:before="0" w:after="0"/>
              <w:ind w:left="0" w:right="0" w:hanging="0"/>
              <w:jc w:val="left"/>
              <w:rPr/>
            </w:pPr>
            <w:r>
              <w:rPr/>
              <w:t>  ​ ​ ​</w:t>
            </w:r>
          </w:p>
        </w:tc>
        <w:tc>
          <w:tcPr>
            <w:tcW w:w="225" w:type="dxa"/>
            <w:tcBorders/>
            <w:vAlign w:val="center"/>
          </w:tcPr>
          <w:p>
            <w:pPr>
              <w:pStyle w:val="TableContents"/>
              <w:bidi w:val="0"/>
              <w:spacing w:before="0" w:after="0"/>
              <w:ind w:left="0" w:right="0" w:hanging="0"/>
              <w:jc w:val="center"/>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NEOs</w:t>
            </w:r>
          </w:p>
        </w:tc>
      </w:tr>
      <w:tr>
        <w:trPr/>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604,485</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200,735</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331,602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735,352</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749,713</w:t>
            </w:r>
          </w:p>
        </w:tc>
        <w:tc>
          <w:tcPr>
            <w:tcW w:w="34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293,799</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32,616</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488,529</w:t>
            </w:r>
          </w:p>
        </w:tc>
      </w:tr>
      <w:tr>
        <w:trPr/>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902,702</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302,403</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494,314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1,094,613</w:t>
            </w:r>
          </w:p>
        </w:tc>
      </w:tr>
    </w:tbl>
    <w:tbl>
      <w:tblPr>
        <w:tblW w:w="8957" w:type="dxa"/>
        <w:jc w:val="left"/>
        <w:tblInd w:w="0" w:type="dxa"/>
        <w:tblLayout w:type="fixed"/>
        <w:tblCellMar>
          <w:top w:w="0" w:type="dxa"/>
          <w:left w:w="0" w:type="dxa"/>
          <w:bottom w:w="0" w:type="dxa"/>
          <w:right w:w="0" w:type="dxa"/>
        </w:tblCellMar>
      </w:tblPr>
      <w:tblGrid>
        <w:gridCol w:w="331"/>
        <w:gridCol w:w="862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6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deducted or added in calculating the total average equity award adjustments are as follows: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346"/>
        <w:gridCol w:w="237"/>
        <w:gridCol w:w="837"/>
        <w:gridCol w:w="346"/>
        <w:gridCol w:w="345"/>
        <w:gridCol w:w="953"/>
        <w:gridCol w:w="346"/>
        <w:gridCol w:w="222"/>
        <w:gridCol w:w="683"/>
        <w:gridCol w:w="346"/>
        <w:gridCol w:w="210"/>
        <w:gridCol w:w="735"/>
        <w:gridCol w:w="346"/>
        <w:gridCol w:w="390"/>
        <w:gridCol w:w="560"/>
        <w:gridCol w:w="346"/>
        <w:gridCol w:w="427"/>
        <w:gridCol w:w="598"/>
        <w:gridCol w:w="346"/>
        <w:gridCol w:w="237"/>
        <w:gridCol w:w="868"/>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05435" cy="175260"/>
                      <wp:effectExtent l="0" t="0" r="0" b="0"/>
                      <wp:wrapNone/>
                      <wp:docPr id="128" name="Frame12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29"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50495" cy="175260"/>
                      <wp:effectExtent l="0" t="0" r="0" b="0"/>
                      <wp:wrapNone/>
                      <wp:docPr id="130" name="Frame12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31495" cy="175260"/>
                      <wp:effectExtent l="0" t="0" r="0" b="0"/>
                      <wp:wrapNone/>
                      <wp:docPr id="131" name="Frame128"/>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2"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075" cy="175260"/>
                      <wp:effectExtent l="0" t="0" r="0" b="0"/>
                      <wp:wrapNone/>
                      <wp:docPr id="133" name="Frame13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05155" cy="175260"/>
                      <wp:effectExtent l="0" t="0" r="0" b="0"/>
                      <wp:wrapNone/>
                      <wp:docPr id="134" name="Frame131"/>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5"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0970" cy="175260"/>
                      <wp:effectExtent l="0" t="0" r="0" b="0"/>
                      <wp:wrapNone/>
                      <wp:docPr id="136" name="Frame13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3705" cy="175260"/>
                      <wp:effectExtent l="0" t="0" r="0" b="0"/>
                      <wp:wrapNone/>
                      <wp:docPr id="137" name="Frame134"/>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8"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350" cy="175260"/>
                      <wp:effectExtent l="0" t="0" r="0" b="0"/>
                      <wp:wrapNone/>
                      <wp:docPr id="139" name="Frame136"/>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66725" cy="175260"/>
                      <wp:effectExtent l="0" t="0" r="0" b="0"/>
                      <wp:wrapNone/>
                      <wp:docPr id="140" name="Frame137"/>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1"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47650" cy="175260"/>
                      <wp:effectExtent l="0" t="0" r="0" b="0"/>
                      <wp:wrapNone/>
                      <wp:docPr id="142" name="Frame13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55600" cy="175260"/>
                      <wp:effectExtent l="0" t="0" r="0" b="0"/>
                      <wp:wrapNone/>
                      <wp:docPr id="143" name="Frame140"/>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4"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71145" cy="175260"/>
                      <wp:effectExtent l="0" t="0" r="0" b="0"/>
                      <wp:wrapNone/>
                      <wp:docPr id="145" name="Frame142"/>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79730" cy="175260"/>
                      <wp:effectExtent l="0" t="0" r="0" b="0"/>
                      <wp:wrapNone/>
                      <wp:docPr id="146" name="Frame143"/>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7"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0495" cy="175260"/>
                      <wp:effectExtent l="0" t="0" r="0" b="0"/>
                      <wp:wrapNone/>
                      <wp:docPr id="148" name="Frame14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51180" cy="175260"/>
                      <wp:effectExtent l="0" t="0" r="0" b="0"/>
                      <wp:wrapNone/>
                      <wp:docPr id="149" name="Frame146"/>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7"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5" w:type="dxa"/>
            <w:tcBorders/>
            <w:vAlign w:val="center"/>
          </w:tcPr>
          <w:p>
            <w:pPr>
              <w:pStyle w:val="TableContents"/>
              <w:bidi w:val="0"/>
              <w:spacing w:before="0" w:after="0"/>
              <w:ind w:left="0" w:right="0" w:hanging="0"/>
              <w:jc w:val="center"/>
              <w:rPr/>
            </w:pPr>
            <w:r>
              <w:rPr/>
              <w:t>​</w:t>
            </w:r>
          </w:p>
        </w:tc>
        <w:tc>
          <w:tcPr>
            <w:tcW w:w="9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2" w:type="dxa"/>
            <w:tcBorders/>
            <w:vAlign w:val="center"/>
          </w:tcPr>
          <w:p>
            <w:pPr>
              <w:pStyle w:val="TableContents"/>
              <w:bidi w:val="0"/>
              <w:spacing w:before="0" w:after="0"/>
              <w:ind w:left="0" w:right="0" w:hanging="0"/>
              <w:jc w:val="center"/>
              <w:rPr/>
            </w:pPr>
            <w:r>
              <w:rPr/>
              <w:t>​</w:t>
            </w:r>
          </w:p>
        </w:tc>
        <w:tc>
          <w:tcPr>
            <w:tcW w:w="6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over</w:t>
            </w:r>
          </w:p>
        </w:tc>
        <w:tc>
          <w:tcPr>
            <w:tcW w:w="346" w:type="dxa"/>
            <w:tcBorders/>
            <w:vAlign w:val="center"/>
          </w:tcPr>
          <w:p>
            <w:pPr>
              <w:pStyle w:val="TableContents"/>
              <w:bidi w:val="0"/>
              <w:spacing w:before="0" w:after="0"/>
              <w:ind w:left="0" w:right="0" w:hanging="0"/>
              <w:jc w:val="center"/>
              <w:rPr/>
            </w:pPr>
            <w:r>
              <w:rPr/>
              <w:t>  ​ ​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46" w:type="dxa"/>
            <w:tcBorders/>
            <w:vAlign w:val="center"/>
          </w:tcPr>
          <w:p>
            <w:pPr>
              <w:pStyle w:val="TableContents"/>
              <w:bidi w:val="0"/>
              <w:spacing w:before="0" w:after="0"/>
              <w:ind w:left="0" w:right="0" w:hanging="0"/>
              <w:jc w:val="center"/>
              <w:rPr/>
            </w:pPr>
            <w:r>
              <w:rPr/>
              <w:t>  ​ ​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Value</w:t>
            </w:r>
          </w:p>
        </w:tc>
        <w:tc>
          <w:tcPr>
            <w:tcW w:w="346" w:type="dxa"/>
            <w:tcBorders/>
            <w:vAlign w:val="center"/>
          </w:tcPr>
          <w:p>
            <w:pPr>
              <w:pStyle w:val="TableContents"/>
              <w:bidi w:val="0"/>
              <w:spacing w:before="0" w:after="0"/>
              <w:ind w:left="0" w:right="0" w:hanging="0"/>
              <w:jc w:val="center"/>
              <w:rPr/>
            </w:pPr>
            <w:r>
              <w:rPr/>
              <w:t>  ​ ​ ​</w:t>
            </w:r>
          </w:p>
        </w:tc>
        <w:tc>
          <w:tcPr>
            <w:tcW w:w="237"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center"/>
              <w:rPr/>
            </w:pPr>
            <w:r>
              <w:rPr/>
              <w:t>​</w:t>
            </w:r>
          </w:p>
        </w:tc>
        <w:tc>
          <w:tcPr>
            <w:tcW w:w="9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Year</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Average</w:t>
            </w:r>
          </w:p>
        </w:tc>
        <w:tc>
          <w:tcPr>
            <w:tcW w:w="34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End of</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Dividend</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over Year</w:t>
            </w:r>
          </w:p>
        </w:tc>
        <w:tc>
          <w:tcPr>
            <w:tcW w:w="34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 Fair</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4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Prior</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Equivalents</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34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of</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Accrued or</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Year End</w:t>
            </w:r>
          </w:p>
        </w:tc>
        <w:tc>
          <w:tcPr>
            <w:tcW w:w="346" w:type="dxa"/>
            <w:tcBorders/>
            <w:vAlign w:val="center"/>
          </w:tcPr>
          <w:p>
            <w:pPr>
              <w:pStyle w:val="TableContents"/>
              <w:bidi w:val="0"/>
              <w:spacing w:before="0" w:after="0"/>
              <w:ind w:left="0" w:right="0" w:hanging="0"/>
              <w:jc w:val="center"/>
              <w:rPr/>
            </w:pPr>
            <w:r>
              <w:rPr/>
              <w:t>​</w:t>
            </w:r>
          </w:p>
        </w:tc>
        <w:tc>
          <w:tcPr>
            <w:tcW w:w="12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r>
          </w:p>
        </w:tc>
        <w:tc>
          <w:tcPr>
            <w:tcW w:w="34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Vested</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Earnings</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346" w:type="dxa"/>
            <w:tcBorders/>
            <w:vAlign w:val="center"/>
          </w:tcPr>
          <w:p>
            <w:pPr>
              <w:pStyle w:val="TableContents"/>
              <w:bidi w:val="0"/>
              <w:spacing w:before="0" w:after="0"/>
              <w:ind w:left="0" w:right="0" w:hanging="0"/>
              <w:jc w:val="center"/>
              <w:rPr/>
            </w:pPr>
            <w:r>
              <w:rPr/>
              <w:t>​</w:t>
            </w:r>
          </w:p>
        </w:tc>
        <w:tc>
          <w:tcPr>
            <w:tcW w:w="12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34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that</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on Stock</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 Equity</w:t>
            </w:r>
          </w:p>
        </w:tc>
        <w:tc>
          <w:tcPr>
            <w:tcW w:w="346" w:type="dxa"/>
            <w:tcBorders/>
            <w:vAlign w:val="center"/>
          </w:tcPr>
          <w:p>
            <w:pPr>
              <w:pStyle w:val="TableContents"/>
              <w:bidi w:val="0"/>
              <w:spacing w:before="0" w:after="0"/>
              <w:ind w:left="0" w:right="0" w:hanging="0"/>
              <w:jc w:val="center"/>
              <w:rPr/>
            </w:pPr>
            <w:r>
              <w:rPr/>
              <w:t>​</w:t>
            </w:r>
          </w:p>
        </w:tc>
        <w:tc>
          <w:tcPr>
            <w:tcW w:w="12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and</w:t>
            </w:r>
          </w:p>
        </w:tc>
        <w:tc>
          <w:tcPr>
            <w:tcW w:w="34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 in</w:t>
            </w:r>
          </w:p>
        </w:tc>
        <w:tc>
          <w:tcPr>
            <w:tcW w:w="34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Failed to</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not</w:t>
            </w:r>
          </w:p>
        </w:tc>
        <w:tc>
          <w:tcPr>
            <w:tcW w:w="346"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346" w:type="dxa"/>
            <w:tcBorders/>
            <w:vAlign w:val="center"/>
          </w:tcPr>
          <w:p>
            <w:pPr>
              <w:pStyle w:val="TableContents"/>
              <w:bidi w:val="0"/>
              <w:spacing w:before="0" w:after="0"/>
              <w:ind w:left="0" w:right="0" w:hanging="0"/>
              <w:jc w:val="center"/>
              <w:rPr/>
            </w:pPr>
            <w:r>
              <w:rPr/>
              <w:t>​</w:t>
            </w:r>
          </w:p>
        </w:tc>
        <w:tc>
          <w:tcPr>
            <w:tcW w:w="12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 Equity Awards</w:t>
            </w:r>
          </w:p>
        </w:tc>
        <w:tc>
          <w:tcPr>
            <w:tcW w:w="34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 in</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 Years</w:t>
            </w:r>
          </w:p>
        </w:tc>
        <w:tc>
          <w:tcPr>
            <w:tcW w:w="34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meet Vesting</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Otherwise</w:t>
            </w:r>
          </w:p>
        </w:tc>
        <w:tc>
          <w:tcPr>
            <w:tcW w:w="346" w:type="dxa"/>
            <w:tcBorders/>
            <w:vAlign w:val="center"/>
          </w:tcPr>
          <w:p>
            <w:pPr>
              <w:pStyle w:val="TableContents"/>
              <w:bidi w:val="0"/>
              <w:spacing w:before="0" w:after="0"/>
              <w:ind w:left="0" w:right="0" w:hanging="0"/>
              <w:jc w:val="center"/>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Average</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the Covered</w:t>
            </w:r>
          </w:p>
        </w:tc>
        <w:tc>
          <w:tcPr>
            <w:tcW w:w="346" w:type="dxa"/>
            <w:tcBorders/>
            <w:vAlign w:val="center"/>
          </w:tcPr>
          <w:p>
            <w:pPr>
              <w:pStyle w:val="TableContents"/>
              <w:bidi w:val="0"/>
              <w:spacing w:before="0" w:after="0"/>
              <w:ind w:left="0" w:right="0" w:hanging="0"/>
              <w:jc w:val="center"/>
              <w:rPr/>
            </w:pPr>
            <w:r>
              <w:rPr/>
              <w:t>​</w:t>
            </w:r>
          </w:p>
        </w:tc>
        <w:tc>
          <w:tcPr>
            <w:tcW w:w="12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 in prior</w:t>
            </w:r>
          </w:p>
        </w:tc>
        <w:tc>
          <w:tcPr>
            <w:tcW w:w="346" w:type="dxa"/>
            <w:tcBorders/>
            <w:vAlign w:val="center"/>
          </w:tcPr>
          <w:p>
            <w:pPr>
              <w:pStyle w:val="TableContents"/>
              <w:bidi w:val="0"/>
              <w:spacing w:before="0" w:after="0"/>
              <w:ind w:left="0" w:right="0" w:hanging="0"/>
              <w:jc w:val="center"/>
              <w:rPr/>
            </w:pPr>
            <w:r>
              <w:rPr/>
              <w:t>​</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Covered</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Vested in</w:t>
            </w:r>
          </w:p>
        </w:tc>
        <w:tc>
          <w:tcPr>
            <w:tcW w:w="34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Conditions in</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Reflected in</w:t>
            </w:r>
          </w:p>
        </w:tc>
        <w:tc>
          <w:tcPr>
            <w:tcW w:w="346" w:type="dxa"/>
            <w:tcBorders/>
            <w:vAlign w:val="center"/>
          </w:tcPr>
          <w:p>
            <w:pPr>
              <w:pStyle w:val="TableContents"/>
              <w:bidi w:val="0"/>
              <w:spacing w:before="0" w:after="0"/>
              <w:ind w:left="0" w:right="0" w:hanging="0"/>
              <w:jc w:val="center"/>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Award</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  ​ ​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  ​ ​ ​</w:t>
            </w:r>
          </w:p>
        </w:tc>
        <w:tc>
          <w:tcPr>
            <w:tcW w:w="12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Year</w:t>
            </w:r>
          </w:p>
        </w:tc>
        <w:tc>
          <w:tcPr>
            <w:tcW w:w="346" w:type="dxa"/>
            <w:tcBorders/>
            <w:vAlign w:val="center"/>
          </w:tcPr>
          <w:p>
            <w:pPr>
              <w:pStyle w:val="TableContents"/>
              <w:bidi w:val="0"/>
              <w:spacing w:before="0" w:after="0"/>
              <w:ind w:left="0" w:right="0" w:hanging="0"/>
              <w:jc w:val="center"/>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Year</w:t>
            </w:r>
          </w:p>
        </w:tc>
        <w:tc>
          <w:tcPr>
            <w:tcW w:w="346" w:type="dxa"/>
            <w:tcBorders/>
            <w:vAlign w:val="center"/>
          </w:tcPr>
          <w:p>
            <w:pPr>
              <w:pStyle w:val="TableContents"/>
              <w:bidi w:val="0"/>
              <w:spacing w:before="0" w:after="0"/>
              <w:ind w:left="0" w:right="0" w:hanging="0"/>
              <w:jc w:val="center"/>
              <w:rPr/>
            </w:pPr>
            <w:r>
              <w:rPr/>
              <w:t>  ​ ​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252,378</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(7,857)</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61,451</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25,630</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331,602</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66,865</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55,513</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(93,089)</w:t>
            </w:r>
          </w:p>
        </w:tc>
        <w:tc>
          <w:tcPr>
            <w:tcW w:w="34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32,616</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317,561</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89,197</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22,868</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64,688</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494,314</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Cumulative TSR is the value of a $100 investment in our common stock calculated by dividing the difference between the per share price of our common stock at the end of each year shown and the beginning of the measurement period by the per share price of our common stock at the beginning of the measurement period.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The dollar amounts reported represent the amount of net income reflected in our Consolidated Statements of Income included in our Annual Report on Form 10-K for the applicable fiscal year.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salaries of each of our Named Executive Officers, including excluding our CEO, are based on New Israeli Shekels (NIS). The conversion rates from NIS to US Dollars was based on the 2025 yearly average rate of NIS 3.4519 per US Dollar</w:t>
      </w:r>
      <w:r>
        <w:rPr>
          <w:rFonts w:ascii="Times New Roman;Times;serif" w:hAnsi="Times New Roman;Times;serif"/>
          <w:sz w:val="20"/>
          <w:shd w:fill="FFFFFF" w:val="clear"/>
        </w:rPr>
        <w:t xml:space="preserve"> as published by the Bank of Israel</w:t>
      </w:r>
      <w:r>
        <w:rPr>
          <w:rFonts w:ascii="Times New Roman;Times;serif" w:hAnsi="Times New Roman;Times;serif"/>
          <w:sz w:val="20"/>
        </w:rPr>
        <w:t>.</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sz w:val="20"/>
        </w:rPr>
        <w:t>Relationship Between Compensation Actually Paid, Company Total Shareholder Return (“TSR”) and Net Income (Loss)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Compensation actually paid to Mr. Bashan during the year ended December 31, 2025 was approximately $1.5 million, an increase of approximately $1.0 million from approximately $0.5 million for the year ended December 31, 2024. Average compensation actually paid to our Non-CEO Named Executive Officers for the years ended December 31, 2025 was approximately $0.7 million, an increase of approximately $0.2 million from approximately $0.5 million for the year ended December 31, 2024. For the year ended December 31, 2025, our TSR was $95.74, a decrease of 9%, compared to TSR of $105.62 for the year ended December 31, 2024. Our net loss for the year ended December 31, 2025 was $6.6 million compared to net income of $2.9 million over the same period in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Compensation actually paid to Mr. Bashan and to our Non-CEO Named Executive Officers as a group is not directly correlated with our TSR or our net income (loss) over the three years presented in the above tables. In the second half of 2023, we shifted our primarily focus from the clinical and regulatory development and approval of pegunigalsidase alfa to the support of our commercial partner’s launch efforts post approval of pegunigalsidase alfa and redirecting our R&amp;D and clinical resources towards the strengthening of our pipeline of product candidates, including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but not limited to, the clinical development of our leading drug candidate, PRX-115 (pegylated Uricase for the potential treatment of uncontrolled Gout). Accordingly, TSR and net income (loss), as performance measures, are not directly correlated to our executive compensation determinations. As increases in the market price of our common stock correspond to increases in the fair market value of our equity grants, the calculation of compensation actually paid with respect to equity grants held by Mr. Bashan and to our Non-CEO Named Executive Officers increases in a like manner. In the year ended December 31, 2023, given the approval of pegunigalsidase alfa for adult patients with Fabry disease by both the US Food and Drug Administration and the European Medicines Agency, the advancement in the clinical development of our PRX-115 drug candidate and strengthening of our Company’s liquidity and cash position, the Compensation Committee of our Board of Directors elected to award to Mr. Bashan and to our Non-CEO Named Executive Officers, as well as other officers and employees of our Company, an annual cash bonus and a one-time special cash bonus for such positive achievements. Compensation decisions for 2024 and 2025 were based on the Company’s successful completion of a Phase 1 clinical trial of PRX-115 and the preparations for a Phase 2 trial, as well as the continuous organic growth of pegunigalsidase alfa and the expansion of geographic approvals therefor. </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All information provided above under the “Pay Versus Performance” heading will not be deemed to be incorporated by reference into any of our filings under the Securities Act of 1933 (the “Securities Act”) or the Exchange Act, whether made before or after the date hereof and irrespective of any general incorporation language in any such filing, except to the extent we specifically incorporate such information by reference.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Potential Payments upon Termination or Change-in-Control/Corporate Transaction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Each of our Named Executive Officers (while employed by the Company) is entitled to be insured by Protalix Ltd. under a Manager’s Policy in lieu of severance upon termination. The intention of such Manager’s Policies is to provide our officers with severance protection of one month’s salary for each year of employment. The following payments would be payable in connection with a change of control of the Company: $1.0 million to the President and Chief Executive Officer, $400,000 to the Sr. Vice President and Chief Operating Officer, an amount equal to twelve (12) months’ cost of his then applicable salary to the Sr. Vice President and Chief Financial Officer if he is terminated in the twelve months following such change in control, and $400,000 to the former Sr. Vice President and Chief Financial Officer. Such payments are subject to certain terms and conditions. In addition to the foregoing, the vesting periods of outstanding stock options and restricted stock held by our Named Executive Officers are accelerated upon a change of control. Had we experienced a change of control on December 31, 2025, the value of the acceleration of the vesting period of the options and shares held by Mr. Bashan would have been $0.5 million; the value of the acceleration of the vesting period of the options held by Mr. Mamlok would have been $0.2 million; and the value of the acceleration of the vesting period of the options and shares held by Mr. Naos would have been $0.2 million. All of the options and shares held by Mr. Rubin on December 31, 2025 were fully-vested.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Employment Arrangements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 xml:space="preserve">Dror Bashan. </w:t>
      </w:r>
      <w:r>
        <w:rPr>
          <w:rFonts w:ascii="Times New Roman;Times;serif" w:hAnsi="Times New Roman;Times;serif"/>
          <w:sz w:val="20"/>
        </w:rPr>
        <w:t>Mr. Bashan’s current monthly base salary is NIS 120,175 (approximately $34,814) and Mr. Bashan is entitled to an annual discretionary bonus subject to the sole discretion of our Board of Directors, which was determined on the basis of agreed-upon annual objectives that included both measurable and strategic parameters. He is also entitled to a one-time bonus of $1.0 million upon the occurrence of certain change of control transactions. The monthly salary is subject to cost of living adjustments from time to time as may be required by law. Mr. Bashan was granted an option award upon his employment and he was entitled to additional equity awards from time to time on a discretionary basis. Mr. Bashan’s employment agreement is terminable by the Company on 180 days’ written notice for any reason. Mr. Bashan may terminate the agreement on 90 days’ written notice for any reason during its term. We may terminate Mr. Bashan’s employment agreement for cause without notice. Mr. Bashan is entitled to be insured by the Company under a Manager’s Policy in lieu of severance, Company contributions towards vocational studies, annual recreational allowances, a company car, a company laptop, and a company phone. Mr. Bashan is entitled to 25 working days of vacation.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Gilad Mamlok. </w:t>
      </w:r>
      <w:r>
        <w:rPr>
          <w:rFonts w:ascii="Times New Roman;Times;serif" w:hAnsi="Times New Roman;Times;serif"/>
          <w:sz w:val="20"/>
        </w:rPr>
        <w:t xml:space="preserve">Mr. Mamlok’s current monthly base salary is NIS 81,000 (approximately $23,465) and Mr. Mamlok is entitled to an annual discretionary bonus subject to the sole discretion of our Board of Directors, to be determined on the basis of agreed-upon annual objectives which shall include both measurable and strategic parameters. He is also entitled to a one-time bonus equal to twelve (12) months’ cost of his then applicable salary upon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occurrence of certain change of control transactions. The monthly salary is subject to cost of living adjustments from time to time as may be required by law. Mr. Mamlok was granted an option award upon his employment and he may be granted additional equity awards from time to time on a discretionary basis. Additional equity awards may be granted from time to time on a discretionary basis. Mr. Mamlok’s employment agreement is terminable by the Company on 180 days’ written notice for any reason. Mr. Mamlok may terminate the agreement on 90 days’ written notice for any reason. We may terminate Mr. Mamlok’s employment agreement for cause without notice. Mr. Mamlok is entitled to be insured by the Company under a Manager’s Policy in lieu of severance, Company contributions towards vocational studies, annual recreational allowances, a company car, a company laptop, and a company phone. Mr. Mamlok is entitled to 25 working days of vacation.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shd w:fill="FFFFFF" w:val="clear"/>
        </w:rPr>
        <w:t>Eyal Rubin. </w:t>
      </w:r>
      <w:r>
        <w:rPr>
          <w:rFonts w:ascii="Times New Roman;Times;serif" w:hAnsi="Times New Roman;Times;serif"/>
          <w:sz w:val="20"/>
        </w:rPr>
        <w:t xml:space="preserve">Mr. Rubin served as our Sr. Vice President and Chief Financial Officer until August 2025. At the end of Mr. Rubin’s tenure with the Company, his monthly base salary was </w:t>
      </w:r>
      <w:r>
        <w:rPr>
          <w:rFonts w:ascii="Times New Roman;Times;serif" w:hAnsi="Times New Roman;Times;serif"/>
          <w:sz w:val="20"/>
          <w:shd w:fill="FFFFFF" w:val="clear"/>
        </w:rPr>
        <w:t>NIS 80,000 (approximately $23,176) and he was entitled to an annual discretionary bonus subject to the sole discretion of our Board of Directors, to be determined on the basis of agreed-upon annual objectives which shall include both measurable and strategic parameters. He is also entitled to a one-time bonus of $400,000 upon the occurrence of certain change of control transactions. The monthly salary was subject to cost of living adjustments from time to time as may be required by law. Mr. Rubin was granted an option award upon his employment and he is entitled to additional equity awards from time to time on a discretionary basis. In addition, contingent upon certain conditions, Mr. Rubin was entitled to a grant of restricted stock units with an aggregate value of $100,000, on an annual basis. He was eligible for additional equity awards from time to time on a discretionary basis. Mr. Rubin’s employment agreement was terminable by the Company on 180 days’ written notice for any reason, and terminable by Mr. Rubin 90 days’ written notice for any reason. We were entitled to terminate Mr. Rubin’s employment agreement for cause without notice. Mr. Rubin was entitled to be insured by the Company under a Manager’s Policy in lieu of severance, Company contributions towards vocational studies, annual recreational allowances, a company car, a company laptop, and a company phone. He was entitled to 25 working days of vacation.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 xml:space="preserve">Yaron Naos. </w:t>
      </w:r>
      <w:r>
        <w:rPr>
          <w:rFonts w:ascii="Times New Roman;Times;serif" w:hAnsi="Times New Roman;Times;serif"/>
          <w:sz w:val="20"/>
        </w:rPr>
        <w:t>Mr. Naos’ current monthly base salary is NIS 70,000 (approximately $20,279) and he is entitled to an annual discretionary bonus for performance in the sole discretion of our Compensation Committee. His monthly salary is subject to cost of living adjustments from time to time as may be required by law. In addition, vesting of all of Mr. Naos’ options and restricted shares will be accelerated in full upon a Corporate Transaction or a Change in Control, as those terms are defined in our Plan. Mr. Naos’ employment is terminable by either party on 60 days’ written notice for any reason and we may terminate the agreement for cause without notice. Mr. Naos is entitled to be insured by the Company under a Manager’s Policy in lieu of severance, Company contributions towards vocational studies, annual recreational allowances, a company car, a company phone, a company laptop, and a company phone. Mr. Naos is entitled to 29 working days of vacation.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conversion rates of the base salaries in this section from NIS to US Dollars was based on the 2025 yearly average rate of NIS 3.4519 per US Dollar</w:t>
      </w:r>
      <w:r>
        <w:rPr>
          <w:rFonts w:ascii="Times New Roman;Times;serif" w:hAnsi="Times New Roman;Times;serif"/>
          <w:sz w:val="20"/>
          <w:shd w:fill="FFFFFF" w:val="clear"/>
        </w:rPr>
        <w:t xml:space="preserve"> as published by the Bank of Israel</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Amended and Restated 2006 Stock Incentive Plan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and our stockholders initially approved the Plan on December 14, 2006. Since its initial approval, our stockholders have approved a number of amendments to the plan, the last time being on June 27, 2024. Of the 17,475,171 shares reserved for issuance under the Plan, as of December 31, 2025 there are outstanding options to purchase 8,274,278 shares of our common stock in the aggregate, subject to adjustment for a stock split or any future stock dividend or other similar change in our common stock or our capital structure. As of December 31, 2025, options to acquire 2,092,933 shares of common stock remain available for grant under the Plan.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Plan provides for the grant of stock options, restricted stock, restricted stock units, stock appreciation rights and dividend equivalent rights, collectively referred to as “awards.” Stock options granted under the Plan may be either incentive stock options under the provisions of Section 422 of the Internal Revenue Code or non-qualified stock options. Incentive stock options may be granted only to employees of the Company or its subsidiaries. Awards other than incentive stock options may be granted to employees, directors and consultants. Shares issued from and after November 10, 2014 in connection with awards other than options or stock appreciation rights shall count as one and one-half (1.5) shares for each share issued for purposes of the number of shares authorized for issuance under the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Plan is designed to comply with the provisions of the Israeli Income Tax Ordinance New Version, 1961 (including as amended pursuant to Amendment 132 thereto), or the Tax Ordinance, and is intended to enable us to grant awards to grantees who are Israeli residents as follows: (i) awards to employees pursuant to Section 102 of the Tax Ordinance; and (ii) awards to non-employees pursuant to Section 3(I) of the Tax Ordinance. For this purpose, “employee” refers only to employees, office holders, and directors of the Company or a related entity excluding those who are considered “Controlling Shareholders” pursuant to, or otherwise excluded by, the Tax Ordinance. In accordance with the terms and conditions imposed by the Tax Ordinance, grantees who receive awards under the Plan may be afforded certain tax benefits in Israel as described below.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or the Compensation Committee, referred to as the “plan administrator,” administers the Plan, including selecting the grantees, determining the number of shares to be subject to each award, determining the exercise or purchase price of each award, and determining the vesting and exercise periods of each award.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exercise price of stock options granted under the Plan must be equal to at least 100% of the fair market value of our common stock on the date of grant. If, however, incentive stock options are granted to an employee who owns stock possessing more than 10% of the voting power of all classes of our stock or the stock of any parent or subsidiary of the Company, the exercise price of any incentive stock option granted must equal at least 110% of the fair market value on the grant date and the maximum term of these incentive stock options must not exceed five years. The maximum term of all other awards must not exceed 10 years (or five years in the case of an incentive stock option granted to any participant who owns stock representing more than 10% of the voting power of all classes of our stock or the stock of any parent or subsidiary of the Company). The plan administrator will determine the exercise or purchase price (if any) of all other awards granted under the Plan.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Plan, incentive stock options and options to Israeli grantees may not be sold, pledged, assigned, hypothecated, transferred or disposed of in any manner other than by will or by the laws of descent or distribution and may be exercised during the lifetime of the participant only by the participant. Other awards shall be transferable by will or by the laws of descent or distribution and, during the lifetime of the grantee, to the extent and in the manner authorized by the plan administrator but only to the extent such transfers are made to family members, to family trusts, to family-controlled entities, to charitable organizations, and pursuant to a domestic relations order or agreement. The Plan permits the designation of beneficiaries by holders of awards, including incentive stock options.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the service of a participant in the Plan is terminated for any reason other than cause, the participant may exercise awards that were vested as of the termination date for a period ending upon the earlier of 12 months from the date of termination (or such shorter or longer period set forth in the award agreement) or the expiration date of the awards unless otherwise determined by the plan administrator. If the service of a participant in the Plan is terminated for cause, the participant may exercise awards that were vested as of the termination date for a period ending upon the earlier of 14 days from the date of termination (or such shorter or longer period set forth in the award agreement) or the expiration date of the awards unless otherwise determined by the plan administrator.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event of a corporate transaction, all awards will terminate unless assumed or replaced by the successor corporation. Unless otherwise provided in a participant’s award agreement, in the event of a corporate transaction and with respect to the portion of each award that is assumed or replaced, then such portion will automatically become fully vested and exercisable immediately upon termination of a participant’s service if the participant is terminated by the successor company or us without cause within 12 months after the corporate transaction. With respect to the portion of each award that is not assumed or replaced, such portion will automatically become fully vested and exercisable immediately prior to the effective date of the corporate transaction so long as the participant’s service has not been terminated prior to such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event of a change in control, except as otherwise provided in a participant’s award agreement, following a change in control (other than a change in control that also is a corporate transaction) and upon the termination of a participant’s service without cause within 12 months after a change in control, each award of such participant that is outstanding at such time will automatically become fully vested and exercisable immediately upon the participant’s termination. In addition, the stock options and shares of restricted stock issued to each of our Named Executive Officers are subject to accelerated vesting immediately upon a corporate transaction or a change in control of the Company, as defined in the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Plan, a corporate transaction is generally defined as:</w:t>
      </w:r>
    </w:p>
    <w:p>
      <w:pPr>
        <w:pStyle w:val="TextBody"/>
        <w:bidi w:val="0"/>
        <w:spacing w:before="0" w:after="200"/>
        <w:ind w:left="0" w:right="0" w:hanging="0"/>
        <w:jc w:val="left"/>
        <w:rPr/>
      </w:pPr>
      <w:r>
        <w:rPr/>
        <w:t>●</w:t>
      </w:r>
      <w:r>
        <w:rPr>
          <w:rFonts w:ascii="Times New Roman;Times;serif" w:hAnsi="Times New Roman;Times;serif"/>
          <w:sz w:val="20"/>
        </w:rPr>
        <w:t>a merger or consolidation in which we are not the surviving entity, except for the principal purpose of changing the Company’s state of incorporation;</w:t>
      </w:r>
    </w:p>
    <w:p>
      <w:pPr>
        <w:pStyle w:val="TextBody"/>
        <w:bidi w:val="0"/>
        <w:spacing w:before="0" w:after="200"/>
        <w:ind w:left="0" w:right="0" w:hanging="0"/>
        <w:jc w:val="left"/>
        <w:rPr/>
      </w:pPr>
      <w:r>
        <w:rPr/>
        <w:t>●</w:t>
      </w:r>
      <w:r>
        <w:rPr>
          <w:rFonts w:ascii="Times New Roman;Times;serif" w:hAnsi="Times New Roman;Times;serif"/>
          <w:sz w:val="20"/>
        </w:rPr>
        <w:t>the sale, transfer or other disposition of all or substantially all of our assets;</w:t>
      </w:r>
    </w:p>
    <w:p>
      <w:pPr>
        <w:pStyle w:val="TextBody"/>
        <w:bidi w:val="0"/>
        <w:spacing w:before="0" w:after="200"/>
        <w:ind w:left="0" w:right="0" w:hanging="0"/>
        <w:jc w:val="left"/>
        <w:rPr/>
      </w:pPr>
      <w:r>
        <w:rPr/>
        <w:t>●</w:t>
      </w:r>
      <w:r>
        <w:rPr>
          <w:rFonts w:ascii="Times New Roman;Times;serif" w:hAnsi="Times New Roman;Times;serif"/>
          <w:sz w:val="20"/>
        </w:rPr>
        <w:t>the complete liquidation or dissolution of the Company;</w:t>
      </w:r>
    </w:p>
    <w:p>
      <w:pPr>
        <w:pStyle w:val="TextBody"/>
        <w:bidi w:val="0"/>
        <w:spacing w:before="0" w:after="200"/>
        <w:ind w:left="0" w:right="0" w:hanging="0"/>
        <w:jc w:val="left"/>
        <w:rPr/>
      </w:pPr>
      <w:r>
        <w:rPr/>
        <w:t>●</w:t>
      </w:r>
      <w:r>
        <w:rPr>
          <w:rFonts w:ascii="Times New Roman;Times;serif" w:hAnsi="Times New Roman;Times;serif"/>
          <w:sz w:val="20"/>
        </w:rPr>
        <w:t>any reverse merger in which we are the surviving entity but our shares of common stock outstanding immediately prior to such merger are converted or exchanged by virtue of the merger into other property, whether in the form of securities, cash or otherwise, or in which securities possessing more than forty percent (40%) of the total combined voting power of our outstanding securities are transferred to a person or persons different from those who held such securities immediately prior to such merger; or</w:t>
      </w:r>
    </w:p>
    <w:p>
      <w:pPr>
        <w:pStyle w:val="TextBody"/>
        <w:bidi w:val="0"/>
        <w:ind w:left="0" w:right="0" w:hanging="0"/>
        <w:jc w:val="left"/>
        <w:rPr/>
      </w:pPr>
      <w:r>
        <w:rPr/>
        <w:t>●</w:t>
      </w:r>
      <w:r>
        <w:rPr>
          <w:rFonts w:ascii="Times New Roman;Times;serif" w:hAnsi="Times New Roman;Times;serif"/>
          <w:sz w:val="20"/>
        </w:rPr>
        <w:t>an acquisition in a single or series of related transactions by any person or related group of persons (other than the Company or by a Company-sponsored employee benefit plan) of beneficial ownership of securities possessing more than fifty percent (50%) of the total combined voting power of our outstanding securities but excluding any such transaction or series of related transactions that the plan administrator determines not to be a corporate transaction (provided however that the plan administrator shall have no discretion in connection with a corporate transaction for the purchase of all or substantially all of our shares unless the principal purpose of such transaction is changing our state of incorporation).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Plan, a change of control is defined as:</w:t>
      </w:r>
    </w:p>
    <w:p>
      <w:pPr>
        <w:pStyle w:val="TextBody"/>
        <w:bidi w:val="0"/>
        <w:spacing w:before="0" w:after="200"/>
        <w:ind w:left="0" w:right="0" w:hanging="0"/>
        <w:jc w:val="left"/>
        <w:rPr/>
      </w:pPr>
      <w:r>
        <w:rPr/>
        <w:t>●</w:t>
      </w:r>
      <w:r>
        <w:rPr>
          <w:rFonts w:ascii="Times New Roman;Times;serif" w:hAnsi="Times New Roman;Times;serif"/>
          <w:sz w:val="20"/>
        </w:rPr>
        <w:t>the direct or indirect acquisition by any person or related group of persons of beneficial ownership of securities possessing more than fifty percent (50%) of the total combined voting power of our outstanding securities pursuant to a tender or exchange offer made directly to our stockholders and which a majority of the members of our Board of Directors (who have generally been on our Board of Directors for at least 12 months or who have been on our Board of Directors for less than 12 months but who were elected or nominated for election to our Board of Directors by a majority of the members who have been on our Board of Directors for more than 12 months) who are not affiliates or associates of the offeror do not recommend stockholders accept the offer; or</w:t>
      </w:r>
    </w:p>
    <w:p>
      <w:pPr>
        <w:pStyle w:val="TextBody"/>
        <w:bidi w:val="0"/>
        <w:ind w:left="0" w:right="0" w:hanging="0"/>
        <w:jc w:val="left"/>
        <w:rPr/>
      </w:pPr>
      <w:r>
        <w:rPr/>
        <w:t>●</w:t>
      </w:r>
      <w:r>
        <w:rPr>
          <w:rFonts w:ascii="Times New Roman;Times;serif" w:hAnsi="Times New Roman;Times;serif"/>
          <w:sz w:val="20"/>
        </w:rPr>
        <w:t>a change in the composition of our Board of Directors over a period of 12 months or less, such that a majority of the members of our Board of Directors ceases, by reason of one or more contested elections for board membership, to be comprised of individuals who were previously directors of the Company.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Unless terminated sooner, the Plan will automatically terminate on December 31, 2028. Our Board of Directors has the authority to amend, suspend, or terminate the Plan. No amendment, suspension, or termination of the Plan shall adversely affect any rights under awards already granted to a participant. To the extent necessary to comply with applicable provisions of federal securities laws, state corporate and securities laws, the IRC, the rules of any applicable stock exchange or national market system, and the rules of any non-U.S. jurisdiction applicable to awards granted to residents therein (including the Tax Ordinance), we shall obtain stockholder approval of any such amendment to the Plan in such a manner and to such a degree as required.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Equity Grant Timing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Item 402(x) of Regulation S-K, we are providing information regarding our practices related to the grant of equity awards. From time to time, we grant equity awards, stock options, and restricted stock, on a discretionary basis. Our Board of Directors or our Compensation Committee </w:t>
      </w:r>
      <w:r>
        <w:rPr>
          <w:rFonts w:ascii="Times New Roman;Times;serif" w:hAnsi="Times New Roman;Times;serif"/>
          <w:color w:val="191919"/>
          <w:sz w:val="20"/>
        </w:rPr>
        <w:t xml:space="preserve">do not generally grant stock options or other equity awards during periods in which there is material nonpublic information about our Company or at any time during the four business days prior to or the one business day following the filing of our periodic reports or the filing or furnishing of a Form 8-K that discloses material nonpublic information. </w:t>
      </w:r>
      <w:r>
        <w:rPr>
          <w:rFonts w:ascii="Times New Roman;Times;serif" w:hAnsi="Times New Roman;Times;serif"/>
          <w:sz w:val="20"/>
        </w:rPr>
        <w:t xml:space="preserve">Our Board of Directors and our Compensation Committee </w:t>
      </w:r>
      <w:r>
        <w:rPr>
          <w:rFonts w:ascii="Times New Roman;Times;serif" w:hAnsi="Times New Roman;Times;serif"/>
          <w:color w:val="191919"/>
          <w:sz w:val="20"/>
        </w:rPr>
        <w:t xml:space="preserve">do not take material nonpublic information into account when determining the timing and terms of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00"/>
        <w:ind w:left="0" w:right="0" w:hanging="0"/>
        <w:jc w:val="left"/>
        <w:rPr>
          <w:rFonts w:ascii="Times New Roman;Times;serif" w:hAnsi="Times New Roman;Times;serif"/>
          <w:color w:val="191919"/>
          <w:sz w:val="20"/>
        </w:rPr>
      </w:pPr>
      <w:r>
        <w:rPr>
          <w:rFonts w:ascii="Times New Roman;Times;serif" w:hAnsi="Times New Roman;Times;serif"/>
          <w:color w:val="191919"/>
          <w:sz w:val="20"/>
        </w:rPr>
        <w:t>awards. We have not timed the disclosure of material nonpublic information to affect the value of executive compensation.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Impact of Israeli Tax Law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awards granted to employees pursuant to Section 102 of the Tax Ordinance under the Plan may be designated by us as approved options under the capital gains alternative, or as approved options under the ordinary income tax alternative.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To qualify for these benefits, certain requirements must be met, including registration of the options in the name of a trustee. Each option, and any shares of common stock acquired upon the exercise of the option, must be held by the trustee for a period commencing on the date of grant and deposit into trust with the trustee and ending 24 months thereafter.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terms of the capital gains alternative, we may not deduct expenses pertaining to the options for tax purposes.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Plan, we may also grant to employees options pursuant to Section 102(c) of the Tax Ordinance that are not required to be held in trust by a trustee. This alternative, while facilitating immediate exercise of vested options and sale of the underlying shares, will subject the optionee to the marginal income tax rate of up to 50% as well as payments to the National Insurance Institute and health tax on the date of the sale of the shares or options. Under the Plan, we may also grant to non-employees options pursuant to Section 3(I) of the Tax Ordinance. Under that section, the income tax on the benefit arising to the optionee upon the exercise of options and the issuance of common stock is generally due at the time of exercise of the options.</w:t>
      </w:r>
    </w:p>
    <w:p>
      <w:pPr>
        <w:pStyle w:val="TextBody"/>
        <w:bidi w:val="0"/>
        <w:spacing w:before="0" w:after="200"/>
        <w:ind w:left="0" w:right="0" w:hanging="0"/>
        <w:jc w:val="center"/>
        <w:rPr>
          <w:rFonts w:ascii="Times New Roman;Times;serif" w:hAnsi="Times New Roman;Times;serif"/>
          <w:b/>
          <w:sz w:val="20"/>
        </w:rPr>
      </w:pPr>
      <w:bookmarkStart w:id="295" w:name="_89a498e7_db95_4f87_aaa6_8770e7c88b8b"/>
      <w:bookmarkEnd w:id="295"/>
      <w:r>
        <w:rPr>
          <w:rFonts w:ascii="Times New Roman;Times;serif" w:hAnsi="Times New Roman;Times;serif"/>
          <w:b/>
          <w:sz w:val="20"/>
        </w:rPr>
        <w:t>CERTAIN RELATIONSHIPS AND RELATED TRANSACTIONS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related party transactions are reviewed and approved by the Audit and Finance Committee, as required by the Audit and Finance Committee Charter.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Except as set forth below, there were no related party transactions during the last two fiscal years, or any currently proposed transaction, in which we were or are to be a participant and in which the amount involved exceeded or exceeds the lesser of $120,000 or one percent of the average of our total assets at year-end for the last two completed fiscal years. During fiscal years 2023 and 2024, we engaged Catenion for business development consulting services, the compensation for which was approximately $1.4 million in the aggregate. Our director, Christian Elze, is a founder of Catenion but retired in 2024. At the time of the engagement, we did not have a professional relationship with Mr. Elze in his individual capacity.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00"/>
        <w:ind w:left="0" w:right="0" w:hanging="0"/>
        <w:jc w:val="center"/>
        <w:rPr>
          <w:rFonts w:ascii="Times New Roman;Times;serif" w:hAnsi="Times New Roman;Times;serif"/>
          <w:b/>
          <w:sz w:val="20"/>
        </w:rPr>
      </w:pPr>
      <w:bookmarkStart w:id="296" w:name="_86d8687f_6342_4b03_926d_088a1c1f2469"/>
      <w:bookmarkEnd w:id="296"/>
      <w:r>
        <w:rPr>
          <w:rFonts w:ascii="Times New Roman;Times;serif" w:hAnsi="Times New Roman;Times;serif"/>
          <w:b/>
          <w:sz w:val="20"/>
        </w:rPr>
        <w:t>AUDIT AND FINANCE COMMITTEE REPORT</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(the “Exchange Act”), except to the extent that we specifically incorporate it by reference into a document filed under the Securities Act of 1933 or the Exchange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Audit and Finance Committee of our Board of Directors operates under a written charter adopted by our Board of Directors, and currently consists of Shmuel “Muli” Ben Zvi, Ph.D., Chairman of the Committee, Amos Bar Shalev and Aharon Schwartz, Ph.D. As described more fully in its charter, the Audit and Finance Committee provides oversight of the quality and integrity of our consolidated financial statements, internal controls, and financial reporting process, and our process to manage business and financial risks and compliance with legal, ethical and regulatory requirements. In addition, the Audit and Finance Committee interacts directly with and evaluates the qualifications, independence and performance of the independent auditors, Kesselman &amp; Kesselman, and is responsible for the appointment, compensation, retention and oversight of the work of the auditors.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Management is responsible for the preparation, presentation and integrity of the consolidated financial statements, and evaluation of and assessment of the effectiveness of our internal control over financial reporting. The independent auditors are responsible for performing an independent audit of the consolidated financial statements in accordance with the standards of the Public Company Accounting Oversight Board (the “PCAOB”). The Audit and Finance Committee’s responsibility is to monitor and oversee these processes.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Audit and Finance Committee has reviewed and discussed the audited consolidated financial statements with our Board of Directors and management. The Audit and Finance Committee has discussed with Kesselman &amp; Kesselman, Certified Public Accountant (Isr.), a member of PricewaterhouseCoopers International Limited (“Kesselman &amp; Kesselman”) the matters required to be discussed by the applicable requirements of the PCAOB and the U.S. Securities and Exchange Commission (“SEC”). The Audit and Finance Committee has received the written disclosures and the letter from Kesselman &amp; Kesselman required by applicable requirements of the PCAOB regarding the independent accountant’s communications with the Audit and Finance Committee concerning independence, and has discussed with Kesselman &amp; Kesselman that firm’s independence from our Company.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Based on the review and discussions of the audited consolidated financial statements and discussions with management and Kesselman &amp; Kesselman, the Audit and Finance Committee recommended to Board of Directors that the audited consolidated financial statements be included in our Annual Report on Form 10-K for the fiscal year ended December 31, 2025 for filing with the SEC.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Respectfully submitted on April 30, 2026,</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Shmuel “Muli” Ben Zvi, Ph.D., Chairman</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Amos Bar Shalev</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Aharon Schwartz, Ph.D.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00"/>
        <w:ind w:left="0" w:right="0" w:hanging="0"/>
        <w:jc w:val="center"/>
        <w:rPr>
          <w:rFonts w:ascii="Times New Roman;Times;serif" w:hAnsi="Times New Roman;Times;serif"/>
          <w:b/>
          <w:sz w:val="20"/>
        </w:rPr>
      </w:pPr>
      <w:bookmarkStart w:id="297" w:name="_4472e3f0_4568_455a_a771_b32afa1c7774"/>
      <w:bookmarkEnd w:id="297"/>
      <w:r>
        <w:rPr>
          <w:rFonts w:ascii="Times New Roman;Times;serif" w:hAnsi="Times New Roman;Times;serif"/>
          <w:b/>
          <w:sz w:val="20"/>
        </w:rPr>
        <w:t>PROPOSAL 2: ADVISORY VOTE TO APPROVE EXECUTIVE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required by Section 14A of the Exchange Act, we are providing our stockholders with the opportunity to vote to approve, on a non-binding, advisory basis, the compensation of the Named Executive Officers as disclosed in this proxy statement in accordance with the compensation disclosure rules of the SEC.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that the executive compensation program for the Named Executive Officers, as described in the “Management” section of this proxy statement, is based on a pay-for-performance culture and seeks to align the interests of the Named Executive Officers with the interests of our stockholders. We believe that our compensation programs are designed to reward our Named Executive Officers for the achievement of short-term and long-term strategic and operational goals and the achievement of increased total stockholder return, while at the same time creating a culture that focuses executives on prudent risk management and appropriately rewards them for performance. Our executive compensation program is also designed to be competitive with our peer companies, and seeks to enable us to attract and retain the best possible executive talent.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also believe that the disclosure of compensation information provided in this proxy statement provides our stockholders the information they need to make an informed decision as they weigh the pay of the Named Executive Officers in relation to our performance. This “Say-on-Pay” proposal gives you, as a stockholder, the opportunity to endorse the compensation we paid to the Named Executive Officers through the resolution set forth below.</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RESOLVED, that the compensation paid to the Named Executive Officers of Protalix BioTherapeutics, Inc., as disclosed pursuant to Item 402 of Regulation S-K, including the compensation tables and narrative discussion included in this proxy statement, is hereby APPROVED.”</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Because your vote is advisory, it will not be binding upon the Company, the Board of Directors, or the Compensation Committee. The vote on this resolution is not intended to address any specific element of compensation, but rather relates to the overall compensation of the Named Executive Officers, as described in this proxy statement in accordance with the compensation disclosure rules of the SEC. The Company, the Board of Directors, and the Compensation Committee will consider the outcome of the vote when evaluating future executive compensation arrangements for the Named Executive Officers.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proposal is provided as required pursuant to Rule 14a-21(a) promulgated under the Exchange Act.</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sz w:val="20"/>
        </w:rPr>
        <w:t>Our Board of Directors recommends that stockholders vote “FOR” Proposal 2: Advisory Vote to Approve Executive Compensation.</w:t>
      </w:r>
    </w:p>
    <w:p>
      <w:pPr>
        <w:pStyle w:val="TextBody"/>
        <w:bidi w:val="0"/>
        <w:spacing w:before="0" w:after="0"/>
        <w:ind w:left="0" w:right="0" w:hanging="0"/>
        <w:jc w:val="left"/>
        <w:rPr/>
      </w:pPr>
      <w:bookmarkStart w:id="298" w:name="_713bc20a_ca4a_439a_95f4_2331fae2072d"/>
      <w:bookmarkEnd w:id="298"/>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PROPOSAL 3: APPROVAL OF THE AMENDED AND RESTATED PROTALIX BIOTHERAPEUTICS, INC.</w:t>
        <w:br/>
        <w:t>2006 STOCK INCENTIVE PLAN TO INCREASE THE NUMBER OF AUTHORIZED SHARES OF COMMON STOCK RESERVED FOR ISSUANCE UNDER THE PLAN AND TO AMEND</w:t>
        <w:br/>
        <w:t>CERTAIN OTHER TERMS OF THE PLAN</w:t>
      </w:r>
    </w:p>
    <w:p>
      <w:pPr>
        <w:pStyle w:val="TextBody"/>
        <w:bidi w:val="0"/>
        <w:spacing w:before="0" w:after="20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General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asking our stockholders to approve the amendment and restatement of the Plan so that we can continue to use the Plan in order to attract and retain key talent, encourage stock ownership by our employees, non-employee directors, and consultants, better align with governance best practices. The Board of Directors unanimously approved the proposed amendment and restatement of the Plan, subject to approval of our stockholders. Approval of the Plan requires the affirmative vote of a majority of the outstanding shares of our common stock that are present in person or by proxy at the meeting and entitled to vote on this matter.</w:t>
      </w:r>
    </w:p>
    <w:p>
      <w:pPr>
        <w:pStyle w:val="TextBody"/>
        <w:bidi w:val="0"/>
        <w:spacing w:before="0" w:after="20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Primary Changes</w:t>
      </w:r>
    </w:p>
    <w:p>
      <w:pPr>
        <w:pStyle w:val="TextBody"/>
        <w:bidi w:val="0"/>
        <w:spacing w:before="0" w:after="20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As part of the proposed amendments to the Plan, we propose to:</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Increase the number of shares of common stock reserved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issuance under the Plan by 3,500,000 shares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a total of 20,975,171 </w:t>
            </w:r>
            <w:r>
              <w:rPr>
                <w:rFonts w:ascii="Times New Roman;Times;serif" w:hAnsi="Times New Roman;Times;serif"/>
                <w:b w:val="false"/>
                <w:i w:val="false"/>
                <w:caps w:val="false"/>
                <w:smallCaps w:val="false"/>
                <w:color w:val="231F20"/>
                <w:spacing w:val="-3"/>
                <w:sz w:val="20"/>
              </w:rPr>
              <w:t>shares</w:t>
            </w:r>
            <w:r>
              <w:rPr>
                <w:rFonts w:ascii="Times New Roman;Times;serif" w:hAnsi="Times New Roman;Times;serif"/>
                <w:b w:val="false"/>
                <w:i w:val="false"/>
                <w:caps w:val="false"/>
                <w:smallCaps w:val="false"/>
                <w:color w:val="231F20"/>
                <w:sz w:val="20"/>
              </w:rPr>
              <w:t>;</w:t>
            </w:r>
          </w:p>
        </w:tc>
      </w:tr>
    </w:tbl>
    <w:tbl>
      <w:tblPr>
        <w:tblW w:w="7266" w:type="dxa"/>
        <w:jc w:val="left"/>
        <w:tblInd w:w="0" w:type="dxa"/>
        <w:tblLayout w:type="fixed"/>
        <w:tblCellMar>
          <w:top w:w="28" w:type="dxa"/>
          <w:left w:w="28" w:type="dxa"/>
          <w:bottom w:w="28" w:type="dxa"/>
          <w:right w:w="28" w:type="dxa"/>
        </w:tblCellMar>
      </w:tblPr>
      <w:tblGrid>
        <w:gridCol w:w="124"/>
        <w:gridCol w:w="19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Remove provision of the Plan for Section 162(m) of the US Internal Revenue Code; </w:t>
            </w:r>
          </w:p>
        </w:tc>
      </w:tr>
    </w:tbl>
    <w:tbl>
      <w:tblPr>
        <w:tblW w:w="5361" w:type="dxa"/>
        <w:jc w:val="left"/>
        <w:tblInd w:w="0" w:type="dxa"/>
        <w:tblLayout w:type="fixed"/>
        <w:tblCellMar>
          <w:top w:w="28" w:type="dxa"/>
          <w:left w:w="28" w:type="dxa"/>
          <w:bottom w:w="28" w:type="dxa"/>
          <w:right w:w="28" w:type="dxa"/>
        </w:tblCellMar>
      </w:tblPr>
      <w:tblGrid>
        <w:gridCol w:w="124"/>
        <w:gridCol w:w="19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 the termination date of the plan until April 23, 2036.</w:t>
            </w:r>
          </w:p>
        </w:tc>
      </w:tr>
    </w:tbl>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believe strongly that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of the amendment to the Plan is essential to our success. Our employees are our most </w:t>
      </w:r>
      <w:r>
        <w:rPr>
          <w:rFonts w:ascii="Times New Roman;Times;serif" w:hAnsi="Times New Roman;Times;serif"/>
          <w:color w:val="231F20"/>
          <w:spacing w:val="-4"/>
          <w:sz w:val="20"/>
        </w:rPr>
        <w:t xml:space="preserve">valuable </w:t>
      </w:r>
      <w:r>
        <w:rPr>
          <w:rFonts w:ascii="Times New Roman;Times;serif" w:hAnsi="Times New Roman;Times;serif"/>
          <w:color w:val="231F20"/>
          <w:sz w:val="20"/>
        </w:rPr>
        <w:t xml:space="preserve">asset. Stock options, restricted stock grants and the other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 xml:space="preserve">permitted under the Plan are vital to our ability to attract and retain outstanding and highly skilled employees, especially in the competitive labor markets in which we </w:t>
      </w:r>
      <w:r>
        <w:rPr>
          <w:rFonts w:ascii="Times New Roman;Times;serif" w:hAnsi="Times New Roman;Times;serif"/>
          <w:color w:val="231F20"/>
          <w:spacing w:val="-3"/>
          <w:sz w:val="20"/>
        </w:rPr>
        <w:t xml:space="preserve">operate. </w:t>
      </w:r>
      <w:r>
        <w:rPr>
          <w:rFonts w:ascii="Times New Roman;Times;serif" w:hAnsi="Times New Roman;Times;serif"/>
          <w:color w:val="231F20"/>
          <w:sz w:val="20"/>
        </w:rPr>
        <w:t xml:space="preserve">These </w:t>
      </w:r>
      <w:r>
        <w:rPr>
          <w:rFonts w:ascii="Times New Roman;Times;serif" w:hAnsi="Times New Roman;Times;serif"/>
          <w:color w:val="231F20"/>
          <w:spacing w:val="-4"/>
          <w:sz w:val="20"/>
        </w:rPr>
        <w:t xml:space="preserve">awards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are crucial to our ability to motivate employees to achieve our </w:t>
      </w:r>
      <w:r>
        <w:rPr>
          <w:rFonts w:ascii="Times New Roman;Times;serif" w:hAnsi="Times New Roman;Times;serif"/>
          <w:color w:val="231F20"/>
          <w:spacing w:val="-4"/>
          <w:sz w:val="20"/>
        </w:rPr>
        <w:t xml:space="preserve">goals. </w:t>
      </w:r>
      <w:r>
        <w:rPr>
          <w:rFonts w:ascii="Times New Roman;Times;serif" w:hAnsi="Times New Roman;Times;serif"/>
          <w:color w:val="231F20"/>
          <w:sz w:val="20"/>
        </w:rPr>
        <w:t xml:space="preserve">Our Board of Directors after reviewing the allocation of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under the Plan</w:t>
      </w:r>
      <w:r>
        <w:rPr>
          <w:rFonts w:ascii="Times New Roman;Times;serif" w:hAnsi="Times New Roman;Times;serif"/>
          <w:color w:val="231F20"/>
          <w:spacing w:val="-7"/>
          <w:sz w:val="20"/>
        </w:rPr>
        <w:t xml:space="preserve"> </w:t>
      </w:r>
      <w:r>
        <w:rPr>
          <w:rFonts w:ascii="Times New Roman;Times;serif" w:hAnsi="Times New Roman;Times;serif"/>
          <w:color w:val="231F20"/>
          <w:sz w:val="20"/>
        </w:rPr>
        <w:t>has</w:t>
      </w:r>
      <w:r>
        <w:rPr>
          <w:rFonts w:ascii="Times New Roman;Times;serif" w:hAnsi="Times New Roman;Times;serif"/>
          <w:color w:val="231F20"/>
          <w:spacing w:val="-7"/>
          <w:sz w:val="20"/>
        </w:rPr>
        <w:t xml:space="preserve"> </w:t>
      </w:r>
      <w:r>
        <w:rPr>
          <w:rFonts w:ascii="Times New Roman;Times;serif" w:hAnsi="Times New Roman;Times;serif"/>
          <w:color w:val="231F20"/>
          <w:sz w:val="20"/>
        </w:rPr>
        <w:t>determined</w:t>
      </w:r>
      <w:r>
        <w:rPr>
          <w:rFonts w:ascii="Times New Roman;Times;serif" w:hAnsi="Times New Roman;Times;serif"/>
          <w:color w:val="231F20"/>
          <w:spacing w:val="-7"/>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7"/>
          <w:sz w:val="20"/>
        </w:rPr>
        <w:t xml:space="preserve"> </w:t>
      </w:r>
      <w:r>
        <w:rPr>
          <w:rFonts w:ascii="Times New Roman;Times;serif" w:hAnsi="Times New Roman;Times;serif"/>
          <w:color w:val="231F20"/>
          <w:sz w:val="20"/>
        </w:rPr>
        <w:t>it</w:t>
      </w:r>
      <w:r>
        <w:rPr>
          <w:rFonts w:ascii="Times New Roman;Times;serif" w:hAnsi="Times New Roman;Times;serif"/>
          <w:color w:val="231F20"/>
          <w:spacing w:val="-7"/>
          <w:sz w:val="20"/>
        </w:rPr>
        <w:t xml:space="preserve"> </w:t>
      </w:r>
      <w:r>
        <w:rPr>
          <w:rFonts w:ascii="Times New Roman;Times;serif" w:hAnsi="Times New Roman;Times;serif"/>
          <w:color w:val="231F20"/>
          <w:sz w:val="20"/>
        </w:rPr>
        <w:t>is</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best</w:t>
      </w:r>
      <w:r>
        <w:rPr>
          <w:rFonts w:ascii="Times New Roman;Times;serif" w:hAnsi="Times New Roman;Times;serif"/>
          <w:color w:val="231F20"/>
          <w:spacing w:val="-7"/>
          <w:sz w:val="20"/>
        </w:rPr>
        <w:t xml:space="preserve"> </w:t>
      </w:r>
      <w:r>
        <w:rPr>
          <w:rFonts w:ascii="Times New Roman;Times;serif" w:hAnsi="Times New Roman;Times;serif"/>
          <w:color w:val="231F20"/>
          <w:sz w:val="20"/>
        </w:rPr>
        <w:t>interest</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7"/>
          <w:sz w:val="20"/>
        </w:rPr>
        <w:t xml:space="preserve"> </w:t>
      </w:r>
      <w:r>
        <w:rPr>
          <w:rFonts w:ascii="Times New Roman;Times;serif" w:hAnsi="Times New Roman;Times;serif"/>
          <w:color w:val="231F20"/>
          <w:sz w:val="20"/>
        </w:rPr>
        <w:t>Company</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7"/>
          <w:sz w:val="20"/>
        </w:rPr>
        <w:t xml:space="preserve"> </w:t>
      </w:r>
      <w:r>
        <w:rPr>
          <w:rFonts w:ascii="Times New Roman;Times;serif" w:hAnsi="Times New Roman;Times;serif"/>
          <w:color w:val="231F20"/>
          <w:sz w:val="20"/>
        </w:rPr>
        <w:t>increase</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equity</w:t>
      </w:r>
      <w:r>
        <w:rPr>
          <w:rFonts w:ascii="Times New Roman;Times;serif" w:hAnsi="Times New Roman;Times;serif"/>
          <w:color w:val="231F20"/>
          <w:spacing w:val="-7"/>
          <w:sz w:val="20"/>
        </w:rPr>
        <w:t xml:space="preserve"> </w:t>
      </w:r>
      <w:r>
        <w:rPr>
          <w:rFonts w:ascii="Times New Roman;Times;serif" w:hAnsi="Times New Roman;Times;serif"/>
          <w:color w:val="231F20"/>
          <w:sz w:val="20"/>
        </w:rPr>
        <w:t>compensation</w:t>
      </w:r>
      <w:r>
        <w:rPr>
          <w:rFonts w:ascii="Times New Roman;Times;serif" w:hAnsi="Times New Roman;Times;serif"/>
          <w:color w:val="231F20"/>
          <w:spacing w:val="-7"/>
          <w:sz w:val="20"/>
        </w:rPr>
        <w:t xml:space="preserve"> </w:t>
      </w:r>
      <w:r>
        <w:rPr>
          <w:rFonts w:ascii="Times New Roman;Times;serif" w:hAnsi="Times New Roman;Times;serif"/>
          <w:color w:val="231F20"/>
          <w:sz w:val="20"/>
        </w:rPr>
        <w:t xml:space="preserve">granted to our current and future </w:t>
      </w:r>
      <w:r>
        <w:rPr>
          <w:rFonts w:ascii="Times New Roman;Times;serif" w:hAnsi="Times New Roman;Times;serif"/>
          <w:color w:val="231F20"/>
          <w:spacing w:val="-3"/>
          <w:sz w:val="20"/>
        </w:rPr>
        <w:t xml:space="preserve">employees. </w:t>
      </w:r>
      <w:r>
        <w:rPr>
          <w:rFonts w:ascii="Times New Roman;Times;serif" w:hAnsi="Times New Roman;Times;serif"/>
          <w:color w:val="231F20"/>
          <w:sz w:val="20"/>
        </w:rPr>
        <w:t xml:space="preserve">The proposed terms of the Plan are designed to </w:t>
      </w:r>
      <w:r>
        <w:rPr>
          <w:rFonts w:ascii="Times New Roman;Times;serif" w:hAnsi="Times New Roman;Times;serif"/>
          <w:color w:val="231F20"/>
          <w:spacing w:val="-3"/>
          <w:sz w:val="20"/>
        </w:rPr>
        <w:t xml:space="preserve">allow </w:t>
      </w:r>
      <w:r>
        <w:rPr>
          <w:rFonts w:ascii="Times New Roman;Times;serif" w:hAnsi="Times New Roman;Times;serif"/>
          <w:color w:val="231F20"/>
          <w:sz w:val="20"/>
        </w:rPr>
        <w:t>us to continue to</w:t>
      </w:r>
      <w:r>
        <w:rPr>
          <w:rFonts w:ascii="Times New Roman;Times;serif" w:hAnsi="Times New Roman;Times;serif"/>
          <w:color w:val="231F20"/>
          <w:spacing w:val="-15"/>
          <w:sz w:val="20"/>
        </w:rPr>
        <w:t xml:space="preserve"> </w:t>
      </w:r>
      <w:r>
        <w:rPr>
          <w:rFonts w:ascii="Times New Roman;Times;serif" w:hAnsi="Times New Roman;Times;serif"/>
          <w:color w:val="231F20"/>
          <w:sz w:val="20"/>
        </w:rPr>
        <w:t>attract,</w:t>
      </w:r>
      <w:r>
        <w:rPr>
          <w:rFonts w:ascii="Times New Roman;Times;serif" w:hAnsi="Times New Roman;Times;serif"/>
          <w:color w:val="231F20"/>
          <w:spacing w:val="-15"/>
          <w:sz w:val="20"/>
        </w:rPr>
        <w:t xml:space="preserve"> </w:t>
      </w:r>
      <w:r>
        <w:rPr>
          <w:rFonts w:ascii="Times New Roman;Times;serif" w:hAnsi="Times New Roman;Times;serif"/>
          <w:color w:val="231F20"/>
          <w:sz w:val="20"/>
        </w:rPr>
        <w:t>retain</w:t>
      </w:r>
      <w:r>
        <w:rPr>
          <w:rFonts w:ascii="Times New Roman;Times;serif" w:hAnsi="Times New Roman;Times;serif"/>
          <w:color w:val="231F20"/>
          <w:spacing w:val="-1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motivate</w:t>
      </w:r>
      <w:r>
        <w:rPr>
          <w:rFonts w:ascii="Times New Roman;Times;serif" w:hAnsi="Times New Roman;Times;serif"/>
          <w:color w:val="231F20"/>
          <w:spacing w:val="-15"/>
          <w:sz w:val="20"/>
        </w:rPr>
        <w:t xml:space="preserve"> </w:t>
      </w:r>
      <w:r>
        <w:rPr>
          <w:rFonts w:ascii="Times New Roman;Times;serif" w:hAnsi="Times New Roman;Times;serif"/>
          <w:color w:val="231F20"/>
          <w:sz w:val="20"/>
        </w:rPr>
        <w:t>people</w:t>
      </w:r>
      <w:r>
        <w:rPr>
          <w:rFonts w:ascii="Times New Roman;Times;serif" w:hAnsi="Times New Roman;Times;serif"/>
          <w:color w:val="231F20"/>
          <w:spacing w:val="-14"/>
          <w:sz w:val="20"/>
        </w:rPr>
        <w:t xml:space="preserve"> </w:t>
      </w:r>
      <w:r>
        <w:rPr>
          <w:rFonts w:ascii="Times New Roman;Times;serif" w:hAnsi="Times New Roman;Times;serif"/>
          <w:color w:val="231F20"/>
          <w:sz w:val="20"/>
        </w:rPr>
        <w:t>whose</w:t>
      </w:r>
      <w:r>
        <w:rPr>
          <w:rFonts w:ascii="Times New Roman;Times;serif" w:hAnsi="Times New Roman;Times;serif"/>
          <w:color w:val="231F20"/>
          <w:spacing w:val="-15"/>
          <w:sz w:val="20"/>
        </w:rPr>
        <w:t xml:space="preserve"> </w:t>
      </w:r>
      <w:r>
        <w:rPr>
          <w:rFonts w:ascii="Times New Roman;Times;serif" w:hAnsi="Times New Roman;Times;serif"/>
          <w:color w:val="231F20"/>
          <w:sz w:val="20"/>
        </w:rPr>
        <w:t>skills</w:t>
      </w:r>
      <w:r>
        <w:rPr>
          <w:rFonts w:ascii="Times New Roman;Times;serif" w:hAnsi="Times New Roman;Times;serif"/>
          <w:color w:val="231F20"/>
          <w:spacing w:val="-1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4"/>
          <w:sz w:val="20"/>
        </w:rPr>
        <w:t xml:space="preserve"> </w:t>
      </w:r>
      <w:r>
        <w:rPr>
          <w:rFonts w:ascii="Times New Roman;Times;serif" w:hAnsi="Times New Roman;Times;serif"/>
          <w:color w:val="231F20"/>
          <w:sz w:val="20"/>
        </w:rPr>
        <w:t>performance</w:t>
      </w:r>
      <w:r>
        <w:rPr>
          <w:rFonts w:ascii="Times New Roman;Times;serif" w:hAnsi="Times New Roman;Times;serif"/>
          <w:color w:val="231F20"/>
          <w:spacing w:val="-15"/>
          <w:sz w:val="20"/>
        </w:rPr>
        <w:t xml:space="preserve"> </w:t>
      </w:r>
      <w:r>
        <w:rPr>
          <w:rFonts w:ascii="Times New Roman;Times;serif" w:hAnsi="Times New Roman;Times;serif"/>
          <w:color w:val="231F20"/>
          <w:sz w:val="20"/>
        </w:rPr>
        <w:t>are</w:t>
      </w:r>
      <w:r>
        <w:rPr>
          <w:rFonts w:ascii="Times New Roman;Times;serif" w:hAnsi="Times New Roman;Times;serif"/>
          <w:color w:val="231F20"/>
          <w:spacing w:val="-14"/>
          <w:sz w:val="20"/>
        </w:rPr>
        <w:t xml:space="preserve"> </w:t>
      </w:r>
      <w:r>
        <w:rPr>
          <w:rFonts w:ascii="Times New Roman;Times;serif" w:hAnsi="Times New Roman;Times;serif"/>
          <w:color w:val="231F20"/>
          <w:sz w:val="20"/>
        </w:rPr>
        <w:t>critical</w:t>
      </w:r>
      <w:r>
        <w:rPr>
          <w:rFonts w:ascii="Times New Roman;Times;serif" w:hAnsi="Times New Roman;Times;serif"/>
          <w:color w:val="231F20"/>
          <w:spacing w:val="-15"/>
          <w:sz w:val="20"/>
        </w:rPr>
        <w:t xml:space="preserve"> </w:t>
      </w:r>
      <w:r>
        <w:rPr>
          <w:rFonts w:ascii="Times New Roman;Times;serif" w:hAnsi="Times New Roman;Times;serif"/>
          <w:color w:val="231F20"/>
          <w:sz w:val="20"/>
        </w:rPr>
        <w:t>to</w:t>
      </w:r>
      <w:r>
        <w:rPr>
          <w:rFonts w:ascii="Times New Roman;Times;serif" w:hAnsi="Times New Roman;Times;serif"/>
          <w:color w:val="231F20"/>
          <w:spacing w:val="-1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success.</w:t>
      </w:r>
      <w:r>
        <w:rPr>
          <w:rFonts w:ascii="Times New Roman;Times;serif" w:hAnsi="Times New Roman;Times;serif"/>
          <w:color w:val="231F20"/>
          <w:spacing w:val="-15"/>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15"/>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4"/>
          <w:sz w:val="20"/>
        </w:rPr>
        <w:t xml:space="preserve"> </w:t>
      </w:r>
      <w:r>
        <w:rPr>
          <w:rFonts w:ascii="Times New Roman;Times;serif" w:hAnsi="Times New Roman;Times;serif"/>
          <w:color w:val="231F20"/>
          <w:sz w:val="20"/>
        </w:rPr>
        <w:t xml:space="preserve">continue to monitor the environment in which we operate and </w:t>
      </w:r>
      <w:r>
        <w:rPr>
          <w:rFonts w:ascii="Times New Roman;Times;serif" w:hAnsi="Times New Roman;Times;serif"/>
          <w:color w:val="231F20"/>
          <w:spacing w:val="-4"/>
          <w:sz w:val="20"/>
        </w:rPr>
        <w:t xml:space="preserve">make </w:t>
      </w:r>
      <w:r>
        <w:rPr>
          <w:rFonts w:ascii="Times New Roman;Times;serif" w:hAnsi="Times New Roman;Times;serif"/>
          <w:color w:val="231F20"/>
          <w:sz w:val="20"/>
        </w:rPr>
        <w:t>changes to our equity compensation</w:t>
      </w:r>
      <w:r>
        <w:rPr>
          <w:rFonts w:ascii="Times New Roman;Times;serif" w:hAnsi="Times New Roman;Times;serif"/>
          <w:color w:val="231F20"/>
          <w:spacing w:val="29"/>
          <w:sz w:val="20"/>
        </w:rPr>
        <w:t xml:space="preserve"> </w:t>
      </w:r>
      <w:r>
        <w:rPr>
          <w:rFonts w:ascii="Times New Roman;Times;serif" w:hAnsi="Times New Roman;Times;serif"/>
          <w:color w:val="231F20"/>
          <w:sz w:val="20"/>
        </w:rPr>
        <w:t>program to help us meet our goals, including achieving long-term stockholder value.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color w:val="231F20"/>
          <w:sz w:val="20"/>
        </w:rPr>
        <w:t>Our</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Board</w:t>
      </w:r>
      <w:r>
        <w:rPr>
          <w:rFonts w:ascii="Times New Roman;Times;serif" w:hAnsi="Times New Roman;Times;serif"/>
          <w:b/>
          <w:color w:val="231F20"/>
          <w:spacing w:val="-17"/>
          <w:sz w:val="20"/>
        </w:rPr>
        <w:t xml:space="preserve"> </w:t>
      </w:r>
      <w:r>
        <w:rPr>
          <w:rFonts w:ascii="Times New Roman;Times;serif" w:hAnsi="Times New Roman;Times;serif"/>
          <w:b/>
          <w:color w:val="231F20"/>
          <w:sz w:val="20"/>
        </w:rPr>
        <w:t>of</w:t>
      </w:r>
      <w:r>
        <w:rPr>
          <w:rFonts w:ascii="Times New Roman;Times;serif" w:hAnsi="Times New Roman;Times;serif"/>
          <w:b/>
          <w:color w:val="231F20"/>
          <w:spacing w:val="-8"/>
          <w:sz w:val="20"/>
        </w:rPr>
        <w:t xml:space="preserve"> </w:t>
      </w:r>
      <w:r>
        <w:rPr>
          <w:rFonts w:ascii="Times New Roman;Times;serif" w:hAnsi="Times New Roman;Times;serif"/>
          <w:b/>
          <w:color w:val="231F20"/>
          <w:sz w:val="20"/>
        </w:rPr>
        <w:t>Directors</w:t>
      </w:r>
      <w:r>
        <w:rPr>
          <w:rFonts w:ascii="Times New Roman;Times;serif" w:hAnsi="Times New Roman;Times;serif"/>
          <w:b/>
          <w:color w:val="231F20"/>
          <w:spacing w:val="-17"/>
          <w:sz w:val="20"/>
        </w:rPr>
        <w:t xml:space="preserve"> </w:t>
      </w:r>
      <w:r>
        <w:rPr>
          <w:rFonts w:ascii="Times New Roman;Times;serif" w:hAnsi="Times New Roman;Times;serif"/>
          <w:b/>
          <w:color w:val="231F20"/>
          <w:sz w:val="20"/>
        </w:rPr>
        <w:t>recommends</w:t>
      </w:r>
      <w:r>
        <w:rPr>
          <w:rFonts w:ascii="Times New Roman;Times;serif" w:hAnsi="Times New Roman;Times;serif"/>
          <w:b/>
          <w:color w:val="231F20"/>
          <w:spacing w:val="-17"/>
          <w:sz w:val="20"/>
        </w:rPr>
        <w:t xml:space="preserve"> </w:t>
      </w:r>
      <w:r>
        <w:rPr>
          <w:rFonts w:ascii="Times New Roman;Times;serif" w:hAnsi="Times New Roman;Times;serif"/>
          <w:b/>
          <w:color w:val="231F20"/>
          <w:sz w:val="20"/>
        </w:rPr>
        <w:t>that</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stockholders</w:t>
      </w:r>
      <w:r>
        <w:rPr>
          <w:rFonts w:ascii="Times New Roman;Times;serif" w:hAnsi="Times New Roman;Times;serif"/>
          <w:b/>
          <w:color w:val="231F20"/>
          <w:spacing w:val="-17"/>
          <w:sz w:val="20"/>
        </w:rPr>
        <w:t xml:space="preserve"> </w:t>
      </w:r>
      <w:r>
        <w:rPr>
          <w:rFonts w:ascii="Times New Roman;Times;serif" w:hAnsi="Times New Roman;Times;serif"/>
          <w:b/>
          <w:color w:val="231F20"/>
          <w:sz w:val="20"/>
        </w:rPr>
        <w:t>vote</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“FOR”</w:t>
      </w:r>
      <w:r>
        <w:rPr>
          <w:rFonts w:ascii="Times New Roman;Times;serif" w:hAnsi="Times New Roman;Times;serif"/>
          <w:b/>
          <w:color w:val="231F20"/>
          <w:spacing w:val="-17"/>
          <w:sz w:val="20"/>
        </w:rPr>
        <w:t xml:space="preserve"> </w:t>
      </w:r>
      <w:r>
        <w:rPr>
          <w:rFonts w:ascii="Times New Roman;Times;serif" w:hAnsi="Times New Roman;Times;serif"/>
          <w:b/>
          <w:color w:val="231F20"/>
          <w:sz w:val="20"/>
        </w:rPr>
        <w:t>Proposal</w:t>
      </w:r>
      <w:r>
        <w:rPr>
          <w:rFonts w:ascii="Times New Roman;Times;serif" w:hAnsi="Times New Roman;Times;serif"/>
          <w:b/>
          <w:color w:val="231F20"/>
          <w:spacing w:val="-23"/>
          <w:sz w:val="20"/>
        </w:rPr>
        <w:t xml:space="preserve"> </w:t>
      </w:r>
      <w:r>
        <w:rPr>
          <w:rFonts w:ascii="Times New Roman;Times;serif" w:hAnsi="Times New Roman;Times;serif"/>
          <w:b/>
          <w:color w:val="231F20"/>
          <w:sz w:val="20"/>
        </w:rPr>
        <w:t>3: Approval of the Amended and Restated Protalix BioTherapeutics, Inc. 2006 Stock Incentive Plan to Increase</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the</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Number</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of</w:t>
      </w:r>
      <w:r>
        <w:rPr>
          <w:rFonts w:ascii="Times New Roman;Times;serif" w:hAnsi="Times New Roman;Times;serif"/>
          <w:b/>
          <w:color w:val="231F20"/>
          <w:spacing w:val="-8"/>
          <w:sz w:val="20"/>
        </w:rPr>
        <w:t xml:space="preserve"> </w:t>
      </w:r>
      <w:r>
        <w:rPr>
          <w:rFonts w:ascii="Times New Roman;Times;serif" w:hAnsi="Times New Roman;Times;serif"/>
          <w:b/>
          <w:color w:val="231F20"/>
          <w:sz w:val="20"/>
        </w:rPr>
        <w:t>Authorized</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Shares</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of</w:t>
      </w:r>
      <w:r>
        <w:rPr>
          <w:rFonts w:ascii="Times New Roman;Times;serif" w:hAnsi="Times New Roman;Times;serif"/>
          <w:b/>
          <w:color w:val="231F20"/>
          <w:spacing w:val="-8"/>
          <w:sz w:val="20"/>
        </w:rPr>
        <w:t xml:space="preserve"> </w:t>
      </w:r>
      <w:r>
        <w:rPr>
          <w:rFonts w:ascii="Times New Roman;Times;serif" w:hAnsi="Times New Roman;Times;serif"/>
          <w:b/>
          <w:color w:val="231F20"/>
          <w:sz w:val="20"/>
        </w:rPr>
        <w:t>Common</w:t>
      </w:r>
      <w:r>
        <w:rPr>
          <w:rFonts w:ascii="Times New Roman;Times;serif" w:hAnsi="Times New Roman;Times;serif"/>
          <w:b/>
          <w:color w:val="231F20"/>
          <w:spacing w:val="-17"/>
          <w:sz w:val="20"/>
        </w:rPr>
        <w:t xml:space="preserve"> </w:t>
      </w:r>
      <w:r>
        <w:rPr>
          <w:rFonts w:ascii="Times New Roman;Times;serif" w:hAnsi="Times New Roman;Times;serif"/>
          <w:b/>
          <w:color w:val="231F20"/>
          <w:sz w:val="20"/>
        </w:rPr>
        <w:t>Stock</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Reserved</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for</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Issuance</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under</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the</w:t>
      </w:r>
      <w:r>
        <w:rPr>
          <w:rFonts w:ascii="Times New Roman;Times;serif" w:hAnsi="Times New Roman;Times;serif"/>
          <w:b/>
          <w:color w:val="231F20"/>
          <w:spacing w:val="-17"/>
          <w:sz w:val="20"/>
        </w:rPr>
        <w:t xml:space="preserve"> </w:t>
      </w:r>
      <w:r>
        <w:rPr>
          <w:rFonts w:ascii="Times New Roman;Times;serif" w:hAnsi="Times New Roman;Times;serif"/>
          <w:b/>
          <w:color w:val="231F20"/>
          <w:sz w:val="20"/>
        </w:rPr>
        <w:t>Plan</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and</w:t>
      </w:r>
      <w:r>
        <w:rPr>
          <w:rFonts w:ascii="Times New Roman;Times;serif" w:hAnsi="Times New Roman;Times;serif"/>
          <w:b/>
          <w:color w:val="231F20"/>
          <w:spacing w:val="-18"/>
          <w:sz w:val="20"/>
        </w:rPr>
        <w:t xml:space="preserve"> </w:t>
      </w:r>
      <w:r>
        <w:rPr>
          <w:rFonts w:ascii="Times New Roman;Times;serif" w:hAnsi="Times New Roman;Times;serif"/>
          <w:b/>
          <w:color w:val="231F20"/>
          <w:sz w:val="20"/>
        </w:rPr>
        <w:t xml:space="preserve">to Amend Certain other </w:t>
      </w:r>
      <w:r>
        <w:rPr>
          <w:rFonts w:ascii="Times New Roman;Times;serif" w:hAnsi="Times New Roman;Times;serif"/>
          <w:b/>
          <w:color w:val="231F20"/>
          <w:spacing w:val="-3"/>
          <w:sz w:val="20"/>
        </w:rPr>
        <w:t xml:space="preserve">Terms </w:t>
      </w:r>
      <w:r>
        <w:rPr>
          <w:rFonts w:ascii="Times New Roman;Times;serif" w:hAnsi="Times New Roman;Times;serif"/>
          <w:b/>
          <w:color w:val="231F20"/>
          <w:sz w:val="20"/>
        </w:rPr>
        <w:t>of the</w:t>
      </w:r>
      <w:r>
        <w:rPr>
          <w:rFonts w:ascii="Times New Roman;Times;serif" w:hAnsi="Times New Roman;Times;serif"/>
          <w:b/>
          <w:color w:val="231F20"/>
          <w:spacing w:val="5"/>
          <w:sz w:val="20"/>
        </w:rPr>
        <w:t xml:space="preserve"> </w:t>
      </w:r>
      <w:r>
        <w:rPr>
          <w:rFonts w:ascii="Times New Roman;Times;serif" w:hAnsi="Times New Roman;Times;serif"/>
          <w:b/>
          <w:color w:val="231F20"/>
          <w:sz w:val="20"/>
        </w:rPr>
        <w:t>Plan.</w:t>
      </w:r>
    </w:p>
    <w:p>
      <w:pPr>
        <w:pStyle w:val="TextBody"/>
        <w:bidi w:val="0"/>
        <w:spacing w:before="0" w:after="200"/>
        <w:ind w:left="0" w:right="0" w:firstLine="399"/>
        <w:jc w:val="left"/>
        <w:rPr>
          <w:rFonts w:ascii="Times New Roman;Times;serif" w:hAnsi="Times New Roman;Times;serif"/>
          <w:color w:val="231F20"/>
          <w:sz w:val="20"/>
        </w:rPr>
      </w:pPr>
      <w:r>
        <w:rPr>
          <w:rFonts w:ascii="Times New Roman;Times;serif" w:hAnsi="Times New Roman;Times;serif"/>
          <w:color w:val="231F20"/>
          <w:sz w:val="20"/>
        </w:rPr>
        <w:t>A general description of the principal terms of the Plan is set forth below. This description is qualified in its entirety by the terms of the Plan, a copy of which is attached hereto as Appendix A.</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z w:val="20"/>
        </w:rPr>
        <w:t>At December 31, 2025, there were outstanding under the Plan options to purchase common stock</w:t>
      </w:r>
      <w:r>
        <w:rPr>
          <w:rFonts w:ascii="Times New Roman;Times;serif" w:hAnsi="Times New Roman;Times;serif"/>
          <w:color w:val="231F20"/>
          <w:spacing w:val="-9"/>
          <w:sz w:val="20"/>
        </w:rPr>
        <w:t xml:space="preserve"> </w:t>
      </w:r>
      <w:r>
        <w:rPr>
          <w:rFonts w:ascii="Times New Roman;Times;serif" w:hAnsi="Times New Roman;Times;serif"/>
          <w:color w:val="231F20"/>
          <w:sz w:val="20"/>
        </w:rPr>
        <w:t>issued</w:t>
      </w:r>
      <w:r>
        <w:rPr>
          <w:rFonts w:ascii="Times New Roman;Times;serif" w:hAnsi="Times New Roman;Times;serif"/>
          <w:color w:val="231F20"/>
          <w:spacing w:val="-9"/>
          <w:sz w:val="20"/>
        </w:rPr>
        <w:t xml:space="preserve"> </w:t>
      </w:r>
      <w:r>
        <w:rPr>
          <w:rFonts w:ascii="Times New Roman;Times;serif" w:hAnsi="Times New Roman;Times;serif"/>
          <w:color w:val="231F20"/>
          <w:sz w:val="20"/>
        </w:rPr>
        <w:t>covering</w:t>
      </w:r>
      <w:r>
        <w:rPr>
          <w:rFonts w:ascii="Times New Roman;Times;serif" w:hAnsi="Times New Roman;Times;serif"/>
          <w:color w:val="231F20"/>
          <w:spacing w:val="-8"/>
          <w:sz w:val="20"/>
        </w:rPr>
        <w:t xml:space="preserve"> </w:t>
      </w:r>
      <w:r>
        <w:rPr>
          <w:rFonts w:ascii="Times New Roman;Times;serif" w:hAnsi="Times New Roman;Times;serif"/>
          <w:sz w:val="20"/>
        </w:rPr>
        <w:t xml:space="preserve">8,274,278 </w:t>
      </w:r>
      <w:r>
        <w:rPr>
          <w:rFonts w:ascii="Times New Roman;Times;serif" w:hAnsi="Times New Roman;Times;serif"/>
          <w:color w:val="231F20"/>
          <w:sz w:val="20"/>
        </w:rPr>
        <w:t>shares</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8"/>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9"/>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8"/>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9"/>
          <w:sz w:val="20"/>
        </w:rPr>
        <w:t xml:space="preserve"> </w:t>
      </w:r>
      <w:r>
        <w:rPr>
          <w:rFonts w:ascii="Times New Roman;Times;serif" w:hAnsi="Times New Roman;Times;serif"/>
          <w:color w:val="231F20"/>
          <w:sz w:val="20"/>
        </w:rPr>
        <w:t>a</w:t>
      </w:r>
      <w:r>
        <w:rPr>
          <w:rFonts w:ascii="Times New Roman;Times;serif" w:hAnsi="Times New Roman;Times;serif"/>
          <w:color w:val="231F20"/>
          <w:spacing w:val="-9"/>
          <w:sz w:val="20"/>
        </w:rPr>
        <w:t xml:space="preserve"> </w:t>
      </w:r>
      <w:r>
        <w:rPr>
          <w:rFonts w:ascii="Times New Roman;Times;serif" w:hAnsi="Times New Roman;Times;serif"/>
          <w:color w:val="231F20"/>
          <w:sz w:val="20"/>
        </w:rPr>
        <w:t>weighted</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average</w:t>
      </w:r>
      <w:r>
        <w:rPr>
          <w:rFonts w:ascii="Times New Roman;Times;serif" w:hAnsi="Times New Roman;Times;serif"/>
          <w:color w:val="231F20"/>
          <w:spacing w:val="-9"/>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8"/>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$1.76 per share and a weighted </w:t>
      </w:r>
      <w:r>
        <w:rPr>
          <w:rFonts w:ascii="Times New Roman;Times;serif" w:hAnsi="Times New Roman;Times;serif"/>
          <w:color w:val="231F20"/>
          <w:spacing w:val="-4"/>
          <w:sz w:val="20"/>
        </w:rPr>
        <w:t xml:space="preserve">average </w:t>
      </w:r>
      <w:r>
        <w:rPr>
          <w:rFonts w:ascii="Times New Roman;Times;serif" w:hAnsi="Times New Roman;Times;serif"/>
          <w:color w:val="231F20"/>
          <w:sz w:val="20"/>
        </w:rPr>
        <w:t>remaining contractual life of 6.82 </w:t>
      </w:r>
      <w:r>
        <w:rPr>
          <w:rFonts w:ascii="Times New Roman;Times;serif" w:hAnsi="Times New Roman;Times;serif"/>
          <w:color w:val="231F20"/>
          <w:spacing w:val="-3"/>
          <w:sz w:val="20"/>
        </w:rPr>
        <w:t xml:space="preserve">years. </w:t>
      </w:r>
      <w:r>
        <w:rPr>
          <w:rFonts w:ascii="Times New Roman;Times;serif" w:hAnsi="Times New Roman;Times;serif"/>
          <w:color w:val="231F20"/>
          <w:sz w:val="20"/>
        </w:rPr>
        <w:t xml:space="preserve">As of December 31, 2025, the outstanding options represent </w:t>
      </w:r>
      <w:r>
        <w:rPr>
          <w:rFonts w:ascii="Times New Roman;Times;serif" w:hAnsi="Times New Roman;Times;serif"/>
          <w:color w:val="231F20"/>
          <w:spacing w:val="-3"/>
          <w:sz w:val="20"/>
        </w:rPr>
        <w:t>approximately 9.33%</w:t>
      </w:r>
      <w:r>
        <w:rPr>
          <w:rFonts w:ascii="Times New Roman;Times;serif" w:hAnsi="Times New Roman;Times;serif"/>
          <w:color w:val="231F20"/>
          <w:sz w:val="20"/>
        </w:rPr>
        <w:t xml:space="preserve"> of our outstanding shares on an “as exercised” </w:t>
      </w:r>
      <w:r>
        <w:rPr>
          <w:rFonts w:ascii="Times New Roman;Times;serif" w:hAnsi="Times New Roman;Times;serif"/>
          <w:color w:val="231F20"/>
          <w:spacing w:val="-3"/>
          <w:sz w:val="20"/>
        </w:rPr>
        <w:t xml:space="preserve">basis, and we had </w:t>
      </w:r>
      <w:r>
        <w:rPr>
          <w:rFonts w:ascii="Times New Roman;Times;serif" w:hAnsi="Times New Roman;Times;serif"/>
          <w:color w:val="231F20"/>
          <w:sz w:val="20"/>
        </w:rPr>
        <w:t xml:space="preserve">2,092,933 shares of common stock </w:t>
      </w:r>
      <w:r>
        <w:rPr>
          <w:rFonts w:ascii="Times New Roman;Times;serif" w:hAnsi="Times New Roman;Times;serif"/>
          <w:color w:val="231F20"/>
          <w:spacing w:val="-4"/>
          <w:sz w:val="20"/>
        </w:rPr>
        <w:t xml:space="preserve">available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future issuance under the Plan.</w:t>
      </w:r>
    </w:p>
    <w:p>
      <w:pPr>
        <w:pStyle w:val="TextBody"/>
        <w:bidi w:val="0"/>
        <w:spacing w:before="0" w:after="200"/>
        <w:ind w:left="0" w:right="0" w:firstLine="403"/>
        <w:jc w:val="left"/>
        <w:rPr>
          <w:rFonts w:ascii="Times New Roman;Times;serif" w:hAnsi="Times New Roman;Times;serif"/>
          <w:color w:val="231F20"/>
          <w:sz w:val="20"/>
        </w:rPr>
      </w:pPr>
      <w:r>
        <w:rPr>
          <w:rFonts w:ascii="Times New Roman;Times;serif" w:hAnsi="Times New Roman;Times;serif"/>
          <w:color w:val="231F20"/>
          <w:sz w:val="20"/>
        </w:rPr>
        <w:t>As of April 27, 2026, the fair market value of a share of our common stock was $2.16.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Equity Compensation Plan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as of December 31, 2025 with respect to the shares of our common stock that may be issued under the Plan.</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991"/>
        <w:gridCol w:w="346"/>
        <w:gridCol w:w="1459"/>
        <w:gridCol w:w="346"/>
        <w:gridCol w:w="490"/>
        <w:gridCol w:w="967"/>
        <w:gridCol w:w="346"/>
        <w:gridCol w:w="2260"/>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534285" cy="175260"/>
                      <wp:effectExtent l="0" t="0" r="0" b="0"/>
                      <wp:wrapNone/>
                      <wp:docPr id="150" name="Frame147"/>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1"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26465" cy="175260"/>
                      <wp:effectExtent l="0" t="0" r="0" b="0"/>
                      <wp:wrapNone/>
                      <wp:docPr id="152" name="Frame149"/>
                      <a:graphic xmlns:a="http://schemas.openxmlformats.org/drawingml/2006/main">
                        <a:graphicData uri="http://schemas.microsoft.com/office/word/2010/wordprocessingShape">
                          <wps:wsp>
                            <wps:cNvSpPr txBox="1"/>
                            <wps:spPr>
                              <a:xfrm>
                                <a:off x="0" y="0"/>
                                <a:ext cx="926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3"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11150" cy="175260"/>
                      <wp:effectExtent l="0" t="0" r="0" b="0"/>
                      <wp:wrapNone/>
                      <wp:docPr id="154" name="Frame151"/>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14045" cy="175260"/>
                      <wp:effectExtent l="0" t="0" r="0" b="0"/>
                      <wp:wrapNone/>
                      <wp:docPr id="155" name="Frame152"/>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6"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35100" cy="175260"/>
                      <wp:effectExtent l="0" t="0" r="0" b="0"/>
                      <wp:wrapNone/>
                      <wp:docPr id="157" name="Frame154"/>
                      <a:graphic xmlns:a="http://schemas.openxmlformats.org/drawingml/2006/main">
                        <a:graphicData uri="http://schemas.microsoft.com/office/word/2010/wordprocessingShape">
                          <wps:wsp>
                            <wps:cNvSpPr txBox="1"/>
                            <wps:spPr>
                              <a:xfrm>
                                <a:off x="0" y="0"/>
                                <a:ext cx="143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90"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3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46" w:type="dxa"/>
            <w:tcBorders/>
            <w:vAlign w:val="center"/>
          </w:tcPr>
          <w:p>
            <w:pPr>
              <w:pStyle w:val="TableContents"/>
              <w:bidi w:val="0"/>
              <w:spacing w:before="0" w:after="0"/>
              <w:ind w:left="0" w:right="0" w:hanging="0"/>
              <w:jc w:val="center"/>
              <w:rPr/>
            </w:pPr>
            <w:r>
              <w:rPr/>
              <w:t>​</w:t>
            </w:r>
          </w:p>
        </w:tc>
        <w:tc>
          <w:tcPr>
            <w:tcW w:w="490"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 Remaining</w:t>
            </w:r>
          </w:p>
        </w:tc>
      </w:tr>
      <w:tr>
        <w:trPr/>
        <w:tc>
          <w:tcPr>
            <w:tcW w:w="3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346" w:type="dxa"/>
            <w:tcBorders/>
            <w:vAlign w:val="center"/>
          </w:tcPr>
          <w:p>
            <w:pPr>
              <w:pStyle w:val="TableContents"/>
              <w:bidi w:val="0"/>
              <w:spacing w:before="0" w:after="0"/>
              <w:ind w:left="0" w:right="0" w:hanging="0"/>
              <w:jc w:val="center"/>
              <w:rPr/>
            </w:pPr>
            <w:r>
              <w:rPr/>
              <w:t>​</w:t>
            </w:r>
          </w:p>
        </w:tc>
        <w:tc>
          <w:tcPr>
            <w:tcW w:w="14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46" w:type="dxa"/>
            <w:tcBorders/>
            <w:vAlign w:val="center"/>
          </w:tcPr>
          <w:p>
            <w:pPr>
              <w:pStyle w:val="TableContents"/>
              <w:bidi w:val="0"/>
              <w:spacing w:before="0" w:after="0"/>
              <w:ind w:left="0" w:right="0" w:hanging="0"/>
              <w:jc w:val="center"/>
              <w:rPr/>
            </w:pPr>
            <w:r>
              <w:rPr/>
              <w:t>​</w:t>
            </w:r>
          </w:p>
        </w:tc>
        <w:tc>
          <w:tcPr>
            <w:tcW w:w="22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 for Future Issuance</w:t>
            </w:r>
          </w:p>
        </w:tc>
      </w:tr>
      <w:tr>
        <w:trPr/>
        <w:tc>
          <w:tcPr>
            <w:tcW w:w="3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be Issued</w:t>
            </w:r>
          </w:p>
        </w:tc>
        <w:tc>
          <w:tcPr>
            <w:tcW w:w="346" w:type="dxa"/>
            <w:tcBorders/>
            <w:vAlign w:val="center"/>
          </w:tcPr>
          <w:p>
            <w:pPr>
              <w:pStyle w:val="TableContents"/>
              <w:bidi w:val="0"/>
              <w:spacing w:before="0" w:after="0"/>
              <w:ind w:left="0" w:right="0" w:hanging="0"/>
              <w:jc w:val="center"/>
              <w:rPr/>
            </w:pPr>
            <w:r>
              <w:rPr/>
              <w:t>​</w:t>
            </w:r>
          </w:p>
        </w:tc>
        <w:tc>
          <w:tcPr>
            <w:tcW w:w="14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center"/>
              <w:rPr/>
            </w:pPr>
            <w:r>
              <w:rPr/>
              <w:t>​</w:t>
            </w:r>
          </w:p>
        </w:tc>
        <w:tc>
          <w:tcPr>
            <w:tcW w:w="22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Equity Compensation Plans</w:t>
            </w:r>
          </w:p>
        </w:tc>
      </w:tr>
      <w:tr>
        <w:trPr/>
        <w:tc>
          <w:tcPr>
            <w:tcW w:w="3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Upon Exercise of</w:t>
            </w:r>
          </w:p>
        </w:tc>
        <w:tc>
          <w:tcPr>
            <w:tcW w:w="346" w:type="dxa"/>
            <w:tcBorders/>
            <w:vAlign w:val="center"/>
          </w:tcPr>
          <w:p>
            <w:pPr>
              <w:pStyle w:val="TableContents"/>
              <w:bidi w:val="0"/>
              <w:spacing w:before="0" w:after="0"/>
              <w:ind w:left="0" w:right="0" w:hanging="0"/>
              <w:jc w:val="center"/>
              <w:rPr/>
            </w:pPr>
            <w:r>
              <w:rPr/>
              <w:t>​</w:t>
            </w:r>
          </w:p>
        </w:tc>
        <w:tc>
          <w:tcPr>
            <w:tcW w:w="14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46" w:type="dxa"/>
            <w:tcBorders/>
            <w:vAlign w:val="center"/>
          </w:tcPr>
          <w:p>
            <w:pPr>
              <w:pStyle w:val="TableContents"/>
              <w:bidi w:val="0"/>
              <w:spacing w:before="0" w:after="0"/>
              <w:ind w:left="0" w:right="0" w:hanging="0"/>
              <w:jc w:val="center"/>
              <w:rPr/>
            </w:pPr>
            <w:r>
              <w:rPr/>
              <w:t>​</w:t>
            </w:r>
          </w:p>
        </w:tc>
        <w:tc>
          <w:tcPr>
            <w:tcW w:w="22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(Excluding Securities Reflected in</w:t>
            </w:r>
          </w:p>
        </w:tc>
      </w:tr>
      <w:tr>
        <w:trPr/>
        <w:tc>
          <w:tcPr>
            <w:tcW w:w="3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0"/>
              <w:ind w:left="0" w:right="0" w:hanging="0"/>
              <w:jc w:val="center"/>
              <w:rPr/>
            </w:pPr>
            <w:r>
              <w:rPr/>
              <w:t>​</w:t>
            </w:r>
          </w:p>
        </w:tc>
        <w:tc>
          <w:tcPr>
            <w:tcW w:w="14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0"/>
              <w:ind w:left="0" w:right="0" w:hanging="0"/>
              <w:jc w:val="center"/>
              <w:rPr/>
            </w:pPr>
            <w:r>
              <w:rPr/>
              <w:t>​</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0"/>
              <w:ind w:left="0" w:right="0" w:hanging="0"/>
              <w:jc w:val="center"/>
              <w:rPr/>
            </w:pPr>
            <w:r>
              <w:rPr/>
              <w:t>​</w:t>
            </w:r>
          </w:p>
        </w:tc>
        <w:tc>
          <w:tcPr>
            <w:tcW w:w="22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Column A)</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Approved by Stockholders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4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8,274,278</w:t>
            </w:r>
          </w:p>
        </w:tc>
        <w:tc>
          <w:tcPr>
            <w:tcW w:w="34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0"/>
              <w:ind w:left="0" w:right="0" w:hanging="0"/>
              <w:jc w:val="left"/>
              <w:rPr/>
            </w:pPr>
            <w:r>
              <w:rPr/>
              <w:t> </w:t>
            </w:r>
          </w:p>
        </w:tc>
        <w:tc>
          <w:tcPr>
            <w:tcW w:w="2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2,092,933</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Stockholders</w:t>
            </w:r>
          </w:p>
        </w:tc>
        <w:tc>
          <w:tcPr>
            <w:tcW w:w="346" w:type="dxa"/>
            <w:tcBorders/>
            <w:vAlign w:val="center"/>
          </w:tcPr>
          <w:p>
            <w:pPr>
              <w:pStyle w:val="TableContents"/>
              <w:bidi w:val="0"/>
              <w:spacing w:before="0" w:after="0"/>
              <w:ind w:left="0" w:right="0" w:hanging="0"/>
              <w:jc w:val="left"/>
              <w:rPr/>
            </w:pPr>
            <w:r>
              <w:rPr/>
              <w:t> </w:t>
            </w:r>
          </w:p>
        </w:tc>
        <w:tc>
          <w:tcPr>
            <w:tcW w:w="14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2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4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8,274,278</w:t>
            </w:r>
          </w:p>
        </w:tc>
        <w:tc>
          <w:tcPr>
            <w:tcW w:w="346" w:type="dxa"/>
            <w:tcBorders/>
            <w:shd w:fill="CCEEFF" w:val="clear"/>
            <w:vAlign w:val="center"/>
          </w:tcPr>
          <w:p>
            <w:pPr>
              <w:pStyle w:val="TableContents"/>
              <w:bidi w:val="0"/>
              <w:spacing w:before="0" w:after="0"/>
              <w:ind w:left="0" w:right="0" w:hanging="0"/>
              <w:jc w:val="left"/>
              <w:rPr/>
            </w:pPr>
            <w:r>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0"/>
              <w:ind w:left="0" w:right="0" w:hanging="0"/>
              <w:jc w:val="left"/>
              <w:rPr/>
            </w:pPr>
            <w:r>
              <w:rPr/>
              <w:t> </w:t>
            </w:r>
          </w:p>
        </w:tc>
        <w:tc>
          <w:tcPr>
            <w:tcW w:w="226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2,092,933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General Description</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b/>
          <w:i/>
          <w:color w:val="231F20"/>
          <w:sz w:val="20"/>
        </w:rPr>
        <w:t>Purpose</w:t>
      </w:r>
      <w:r>
        <w:rPr>
          <w:rFonts w:ascii="Times New Roman;Times;serif" w:hAnsi="Times New Roman;Times;serif"/>
          <w:color w:val="231F20"/>
          <w:sz w:val="20"/>
        </w:rPr>
        <w:t xml:space="preserve">. The purposes of the Plan are to attract and retain the best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personnel, to provide additional</w:t>
      </w:r>
      <w:r>
        <w:rPr>
          <w:rFonts w:ascii="Times New Roman;Times;serif" w:hAnsi="Times New Roman;Times;serif"/>
          <w:color w:val="231F20"/>
          <w:spacing w:val="-39"/>
          <w:sz w:val="20"/>
        </w:rPr>
        <w:t xml:space="preserve"> </w:t>
      </w:r>
      <w:r>
        <w:rPr>
          <w:rFonts w:ascii="Times New Roman;Times;serif" w:hAnsi="Times New Roman;Times;serif"/>
          <w:color w:val="231F20"/>
          <w:sz w:val="20"/>
        </w:rPr>
        <w:t>incentives</w:t>
      </w:r>
      <w:r>
        <w:rPr>
          <w:rFonts w:ascii="Times New Roman;Times;serif" w:hAnsi="Times New Roman;Times;serif"/>
          <w:color w:val="231F20"/>
          <w:spacing w:val="-39"/>
          <w:sz w:val="20"/>
        </w:rPr>
        <w:t xml:space="preserve"> </w:t>
      </w:r>
      <w:r>
        <w:rPr>
          <w:rFonts w:ascii="Times New Roman;Times;serif" w:hAnsi="Times New Roman;Times;serif"/>
          <w:color w:val="231F20"/>
          <w:sz w:val="20"/>
        </w:rPr>
        <w:t>to</w:t>
      </w:r>
      <w:r>
        <w:rPr>
          <w:rFonts w:ascii="Times New Roman;Times;serif" w:hAnsi="Times New Roman;Times;serif"/>
          <w:color w:val="231F20"/>
          <w:spacing w:val="-3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9"/>
          <w:sz w:val="20"/>
        </w:rPr>
        <w:t xml:space="preserve"> </w:t>
      </w:r>
      <w:r>
        <w:rPr>
          <w:rFonts w:ascii="Times New Roman;Times;serif" w:hAnsi="Times New Roman;Times;serif"/>
          <w:color w:val="231F20"/>
          <w:sz w:val="20"/>
        </w:rPr>
        <w:t>officers,</w:t>
      </w:r>
      <w:r>
        <w:rPr>
          <w:rFonts w:ascii="Times New Roman;Times;serif" w:hAnsi="Times New Roman;Times;serif"/>
          <w:color w:val="231F20"/>
          <w:spacing w:val="-39"/>
          <w:sz w:val="20"/>
        </w:rPr>
        <w:t xml:space="preserve"> </w:t>
      </w:r>
      <w:r>
        <w:rPr>
          <w:rFonts w:ascii="Times New Roman;Times;serif" w:hAnsi="Times New Roman;Times;serif"/>
          <w:color w:val="231F20"/>
          <w:sz w:val="20"/>
        </w:rPr>
        <w:t>directors,</w:t>
      </w:r>
      <w:r>
        <w:rPr>
          <w:rFonts w:ascii="Times New Roman;Times;serif" w:hAnsi="Times New Roman;Times;serif"/>
          <w:color w:val="231F20"/>
          <w:spacing w:val="-39"/>
          <w:sz w:val="20"/>
        </w:rPr>
        <w:t xml:space="preserve"> </w:t>
      </w:r>
      <w:r>
        <w:rPr>
          <w:rFonts w:ascii="Times New Roman;Times;serif" w:hAnsi="Times New Roman;Times;serif"/>
          <w:color w:val="231F20"/>
          <w:sz w:val="20"/>
        </w:rPr>
        <w:t>employees</w:t>
      </w:r>
      <w:r>
        <w:rPr>
          <w:rFonts w:ascii="Times New Roman;Times;serif" w:hAnsi="Times New Roman;Times;serif"/>
          <w:color w:val="231F20"/>
          <w:spacing w:val="-3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9"/>
          <w:sz w:val="20"/>
        </w:rPr>
        <w:t xml:space="preserve"> </w:t>
      </w:r>
      <w:r>
        <w:rPr>
          <w:rFonts w:ascii="Times New Roman;Times;serif" w:hAnsi="Times New Roman;Times;serif"/>
          <w:color w:val="231F20"/>
          <w:sz w:val="20"/>
        </w:rPr>
        <w:t>consultants</w:t>
      </w:r>
      <w:r>
        <w:rPr>
          <w:rFonts w:ascii="Times New Roman;Times;serif" w:hAnsi="Times New Roman;Times;serif"/>
          <w:color w:val="231F20"/>
          <w:spacing w:val="-39"/>
          <w:sz w:val="20"/>
        </w:rPr>
        <w:t xml:space="preserve"> </w:t>
      </w:r>
      <w:r>
        <w:rPr>
          <w:rFonts w:ascii="Times New Roman;Times;serif" w:hAnsi="Times New Roman;Times;serif"/>
          <w:color w:val="231F20"/>
          <w:sz w:val="20"/>
        </w:rPr>
        <w:t>through</w:t>
      </w:r>
      <w:r>
        <w:rPr>
          <w:rFonts w:ascii="Times New Roman;Times;serif" w:hAnsi="Times New Roman;Times;serif"/>
          <w:color w:val="231F20"/>
          <w:spacing w:val="-39"/>
          <w:sz w:val="20"/>
        </w:rPr>
        <w:t xml:space="preserve"> </w:t>
      </w:r>
      <w:r>
        <w:rPr>
          <w:rFonts w:ascii="Times New Roman;Times;serif" w:hAnsi="Times New Roman;Times;serif"/>
          <w:color w:val="231F20"/>
          <w:sz w:val="20"/>
        </w:rPr>
        <w:t>ownership</w:t>
      </w:r>
      <w:r>
        <w:rPr>
          <w:rFonts w:ascii="Times New Roman;Times;serif" w:hAnsi="Times New Roman;Times;serif"/>
          <w:color w:val="231F20"/>
          <w:spacing w:val="-39"/>
          <w:sz w:val="20"/>
        </w:rPr>
        <w:t xml:space="preserve"> </w:t>
      </w:r>
      <w:r>
        <w:rPr>
          <w:rFonts w:ascii="Times New Roman;Times;serif" w:hAnsi="Times New Roman;Times;serif"/>
          <w:color w:val="231F20"/>
          <w:sz w:val="20"/>
        </w:rPr>
        <w:t>of</w:t>
      </w:r>
      <w:r>
        <w:rPr>
          <w:rFonts w:ascii="Times New Roman;Times;serif" w:hAnsi="Times New Roman;Times;serif"/>
          <w:color w:val="231F20"/>
          <w:spacing w:val="-3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9"/>
          <w:sz w:val="20"/>
        </w:rPr>
        <w:t xml:space="preserve"> </w:t>
      </w:r>
      <w:r>
        <w:rPr>
          <w:rFonts w:ascii="Times New Roman;Times;serif" w:hAnsi="Times New Roman;Times;serif"/>
          <w:color w:val="231F20"/>
          <w:sz w:val="20"/>
        </w:rPr>
        <w:t>common stock, and to promote the success of our</w:t>
      </w:r>
      <w:r>
        <w:rPr>
          <w:rFonts w:ascii="Times New Roman;Times;serif" w:hAnsi="Times New Roman;Times;serif"/>
          <w:color w:val="231F20"/>
          <w:spacing w:val="-41"/>
          <w:sz w:val="20"/>
        </w:rPr>
        <w:t xml:space="preserve"> </w:t>
      </w:r>
      <w:r>
        <w:rPr>
          <w:rFonts w:ascii="Times New Roman;Times;serif" w:hAnsi="Times New Roman;Times;serif"/>
          <w:color w:val="231F20"/>
          <w:sz w:val="20"/>
        </w:rPr>
        <w:t>business.</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b/>
          <w:i/>
          <w:color w:val="231F20"/>
          <w:sz w:val="20"/>
        </w:rPr>
        <w:t>Shares</w:t>
      </w:r>
      <w:r>
        <w:rPr>
          <w:rFonts w:ascii="Times New Roman;Times;serif" w:hAnsi="Times New Roman;Times;serif"/>
          <w:color w:val="231F20"/>
          <w:spacing w:val="-17"/>
          <w:sz w:val="20"/>
        </w:rPr>
        <w:t xml:space="preserve"> </w:t>
      </w:r>
      <w:r>
        <w:rPr>
          <w:rFonts w:ascii="Times New Roman;Times;serif" w:hAnsi="Times New Roman;Times;serif"/>
          <w:b/>
          <w:i/>
          <w:color w:val="231F20"/>
          <w:sz w:val="20"/>
        </w:rPr>
        <w:t>Reserved</w:t>
      </w:r>
      <w:r>
        <w:rPr>
          <w:rFonts w:ascii="Times New Roman;Times;serif" w:hAnsi="Times New Roman;Times;serif"/>
          <w:color w:val="231F20"/>
          <w:spacing w:val="-16"/>
          <w:sz w:val="20"/>
        </w:rPr>
        <w:t xml:space="preserve"> </w:t>
      </w:r>
      <w:r>
        <w:rPr>
          <w:rFonts w:ascii="Times New Roman;Times;serif" w:hAnsi="Times New Roman;Times;serif"/>
          <w:b/>
          <w:i/>
          <w:color w:val="231F20"/>
          <w:sz w:val="20"/>
        </w:rPr>
        <w:t>for</w:t>
      </w:r>
      <w:r>
        <w:rPr>
          <w:rFonts w:ascii="Times New Roman;Times;serif" w:hAnsi="Times New Roman;Times;serif"/>
          <w:color w:val="231F20"/>
          <w:spacing w:val="-16"/>
          <w:sz w:val="20"/>
        </w:rPr>
        <w:t xml:space="preserve"> </w:t>
      </w:r>
      <w:r>
        <w:rPr>
          <w:rFonts w:ascii="Times New Roman;Times;serif" w:hAnsi="Times New Roman;Times;serif"/>
          <w:b/>
          <w:i/>
          <w:color w:val="231F20"/>
          <w:sz w:val="20"/>
        </w:rPr>
        <w:t>Issuance</w:t>
      </w:r>
      <w:r>
        <w:rPr>
          <w:rFonts w:ascii="Times New Roman;Times;serif" w:hAnsi="Times New Roman;Times;serif"/>
          <w:color w:val="231F20"/>
          <w:spacing w:val="-17"/>
          <w:sz w:val="20"/>
        </w:rPr>
        <w:t xml:space="preserve"> </w:t>
      </w:r>
      <w:r>
        <w:rPr>
          <w:rFonts w:ascii="Times New Roman;Times;serif" w:hAnsi="Times New Roman;Times;serif"/>
          <w:b/>
          <w:i/>
          <w:color w:val="231F20"/>
          <w:sz w:val="20"/>
        </w:rPr>
        <w:t>under</w:t>
      </w:r>
      <w:r>
        <w:rPr>
          <w:rFonts w:ascii="Times New Roman;Times;serif" w:hAnsi="Times New Roman;Times;serif"/>
          <w:color w:val="231F20"/>
          <w:spacing w:val="-16"/>
          <w:sz w:val="20"/>
        </w:rPr>
        <w:t xml:space="preserve"> </w:t>
      </w:r>
      <w:r>
        <w:rPr>
          <w:rFonts w:ascii="Times New Roman;Times;serif" w:hAnsi="Times New Roman;Times;serif"/>
          <w:b/>
          <w:i/>
          <w:color w:val="231F20"/>
          <w:sz w:val="20"/>
        </w:rPr>
        <w:t>the</w:t>
      </w:r>
      <w:r>
        <w:rPr>
          <w:rFonts w:ascii="Times New Roman;Times;serif" w:hAnsi="Times New Roman;Times;serif"/>
          <w:color w:val="231F20"/>
          <w:spacing w:val="-16"/>
          <w:sz w:val="20"/>
        </w:rPr>
        <w:t xml:space="preserve"> </w:t>
      </w:r>
      <w:r>
        <w:rPr>
          <w:rFonts w:ascii="Times New Roman;Times;serif" w:hAnsi="Times New Roman;Times;serif"/>
          <w:b/>
          <w:i/>
          <w:color w:val="231F20"/>
          <w:sz w:val="20"/>
        </w:rPr>
        <w:t>Plan</w:t>
      </w:r>
      <w:r>
        <w:rPr>
          <w:rFonts w:ascii="Times New Roman;Times;serif" w:hAnsi="Times New Roman;Times;serif"/>
          <w:b/>
          <w:color w:val="231F20"/>
          <w:sz w:val="20"/>
        </w:rPr>
        <w:t>.</w:t>
      </w:r>
      <w:r>
        <w:rPr>
          <w:rFonts w:ascii="Times New Roman;Times;serif" w:hAnsi="Times New Roman;Times;serif"/>
          <w:color w:val="231F20"/>
          <w:spacing w:val="42"/>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17"/>
          <w:sz w:val="20"/>
        </w:rPr>
        <w:t xml:space="preserve"> </w:t>
      </w:r>
      <w:r>
        <w:rPr>
          <w:rFonts w:ascii="Times New Roman;Times;serif" w:hAnsi="Times New Roman;Times;serif"/>
          <w:color w:val="231F20"/>
          <w:sz w:val="20"/>
        </w:rPr>
        <w:t>currently</w:t>
      </w:r>
      <w:r>
        <w:rPr>
          <w:rFonts w:ascii="Times New Roman;Times;serif" w:hAnsi="Times New Roman;Times;serif"/>
          <w:color w:val="231F20"/>
          <w:spacing w:val="-16"/>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16"/>
          <w:sz w:val="20"/>
        </w:rPr>
        <w:t xml:space="preserve"> </w:t>
      </w:r>
      <w:r>
        <w:rPr>
          <w:rFonts w:ascii="Times New Roman;Times;serif" w:hAnsi="Times New Roman;Times;serif"/>
          <w:color w:val="231F20"/>
          <w:sz w:val="20"/>
        </w:rPr>
        <w:t>17,475,171</w:t>
      </w:r>
      <w:r>
        <w:rPr>
          <w:rFonts w:ascii="Times New Roman;Times;serif" w:hAnsi="Times New Roman;Times;serif"/>
          <w:color w:val="231F20"/>
          <w:spacing w:val="-17"/>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16"/>
          <w:sz w:val="20"/>
        </w:rPr>
        <w:t xml:space="preserve"> </w:t>
      </w:r>
      <w:r>
        <w:rPr>
          <w:rFonts w:ascii="Times New Roman;Times;serif" w:hAnsi="Times New Roman;Times;serif"/>
          <w:color w:val="231F20"/>
          <w:sz w:val="20"/>
        </w:rPr>
        <w:t>of</w:t>
      </w:r>
      <w:r>
        <w:rPr>
          <w:rFonts w:ascii="Times New Roman;Times;serif" w:hAnsi="Times New Roman;Times;serif"/>
          <w:color w:val="231F20"/>
          <w:spacing w:val="-2"/>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17"/>
          <w:sz w:val="20"/>
        </w:rPr>
        <w:t xml:space="preserve"> </w:t>
      </w:r>
      <w:r>
        <w:rPr>
          <w:rFonts w:ascii="Times New Roman;Times;serif" w:hAnsi="Times New Roman;Times;serif"/>
          <w:color w:val="231F20"/>
          <w:sz w:val="20"/>
        </w:rPr>
        <w:t xml:space="preserve">stock reserved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issuance under the Plan. If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 xml:space="preserve">by our stockholders, the total number of shares of common stock reserved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issuance under the Plan will be increased by 3,500,000 shares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a total of 20,975,171 </w:t>
      </w:r>
      <w:r>
        <w:rPr>
          <w:rFonts w:ascii="Times New Roman;Times;serif" w:hAnsi="Times New Roman;Times;serif"/>
          <w:color w:val="231F20"/>
          <w:spacing w:val="-3"/>
          <w:sz w:val="20"/>
        </w:rPr>
        <w:t xml:space="preserve">shares. </w:t>
      </w:r>
      <w:r>
        <w:rPr>
          <w:rFonts w:ascii="Times New Roman;Times;serif" w:hAnsi="Times New Roman;Times;serif"/>
          <w:color w:val="231F20"/>
          <w:sz w:val="20"/>
        </w:rPr>
        <w:t xml:space="preserve">Shares issued from and after November 10, 2014 in connection with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other than options or stock</w:t>
      </w:r>
      <w:r>
        <w:rPr>
          <w:rFonts w:ascii="Times New Roman;Times;serif" w:hAnsi="Times New Roman;Times;serif"/>
          <w:color w:val="231F20"/>
          <w:spacing w:val="6"/>
          <w:sz w:val="20"/>
        </w:rPr>
        <w:t xml:space="preserve"> </w:t>
      </w:r>
      <w:r>
        <w:rPr>
          <w:rFonts w:ascii="Times New Roman;Times;serif" w:hAnsi="Times New Roman;Times;serif"/>
          <w:color w:val="231F20"/>
          <w:sz w:val="20"/>
        </w:rPr>
        <w:t xml:space="preserve">appreciation rights shall count as one and one-half (1.5) shares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each share issued. The number of shares of common stock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 xml:space="preserve">under the Plan will be subject to adjustment in the event of a stock split, reverse stock split, stock dividend, combination, or reclassification of shares or other similar change in our shares or our capital structure.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shares of common stock covered by an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(or portion of an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which is forfeited, canceled, or expired (whether voluntarily or involuntarily) are deemed not to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been issued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purposes of determining the maximum aggregate number of shares of common stock which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issued under the Plan. Shares that actually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been issued under the Plan pursuant to an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will not be returned to the Plan and will not be </w:t>
      </w:r>
      <w:r>
        <w:rPr>
          <w:rFonts w:ascii="Times New Roman;Times;serif" w:hAnsi="Times New Roman;Times;serif"/>
          <w:color w:val="231F20"/>
          <w:spacing w:val="-4"/>
          <w:sz w:val="20"/>
        </w:rPr>
        <w:t xml:space="preserve">available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future issuance under the Plan, except that if unvested shares of common stock are forfeited, or repurchased by us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the lower of their original purchase price or their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 xml:space="preserve">(as defined in the Plan)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the time of repurchase, such shares of common stock shall become </w:t>
      </w:r>
      <w:r>
        <w:rPr>
          <w:rFonts w:ascii="Times New Roman;Times;serif" w:hAnsi="Times New Roman;Times;serif"/>
          <w:color w:val="231F20"/>
          <w:spacing w:val="-4"/>
          <w:sz w:val="20"/>
        </w:rPr>
        <w:t xml:space="preserve">available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future grant under the Plan.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shares covered by an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which are</w:t>
      </w:r>
      <w:r>
        <w:rPr>
          <w:rFonts w:ascii="Times New Roman;Times;serif" w:hAnsi="Times New Roman;Times;serif"/>
          <w:color w:val="231F20"/>
          <w:spacing w:val="25"/>
          <w:sz w:val="20"/>
        </w:rPr>
        <w:t xml:space="preserve"> </w:t>
      </w:r>
      <w:r>
        <w:rPr>
          <w:rFonts w:ascii="Times New Roman;Times;serif" w:hAnsi="Times New Roman;Times;serif"/>
          <w:color w:val="231F20"/>
          <w:sz w:val="20"/>
        </w:rPr>
        <w:t xml:space="preserve">surrendered (i) in payment of the award exercise or purchase price (including pursuant to the “net exercise” of an option pursuant to Section 7(b)(v) of the Plan) or (ii) in satisfaction of tax withholding obligations incident to the exercise of an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will not be returned to the Plan and will not be </w:t>
      </w:r>
      <w:r>
        <w:rPr>
          <w:rFonts w:ascii="Times New Roman;Times;serif" w:hAnsi="Times New Roman;Times;serif"/>
          <w:color w:val="231F20"/>
          <w:spacing w:val="-4"/>
          <w:sz w:val="20"/>
        </w:rPr>
        <w:t xml:space="preserve">available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future issuance under the</w:t>
      </w:r>
      <w:r>
        <w:rPr>
          <w:rFonts w:ascii="Times New Roman;Times;serif" w:hAnsi="Times New Roman;Times;serif"/>
          <w:color w:val="231F20"/>
          <w:spacing w:val="-5"/>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5"/>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4"/>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5"/>
          <w:sz w:val="20"/>
        </w:rPr>
        <w:t xml:space="preserve"> </w:t>
      </w:r>
      <w:r>
        <w:rPr>
          <w:rFonts w:ascii="Times New Roman;Times;serif" w:hAnsi="Times New Roman;Times;serif"/>
          <w:color w:val="231F20"/>
          <w:sz w:val="20"/>
        </w:rPr>
        <w:t>are</w:t>
      </w:r>
      <w:r>
        <w:rPr>
          <w:rFonts w:ascii="Times New Roman;Times;serif" w:hAnsi="Times New Roman;Times;serif"/>
          <w:color w:val="231F20"/>
          <w:spacing w:val="-4"/>
          <w:sz w:val="20"/>
        </w:rPr>
        <w:t xml:space="preserve"> </w:t>
      </w:r>
      <w:r>
        <w:rPr>
          <w:rFonts w:ascii="Times New Roman;Times;serif" w:hAnsi="Times New Roman;Times;serif"/>
          <w:color w:val="231F20"/>
          <w:sz w:val="20"/>
        </w:rPr>
        <w:t>covered</w:t>
      </w:r>
      <w:r>
        <w:rPr>
          <w:rFonts w:ascii="Times New Roman;Times;serif" w:hAnsi="Times New Roman;Times;serif"/>
          <w:color w:val="231F20"/>
          <w:spacing w:val="-5"/>
          <w:sz w:val="20"/>
        </w:rPr>
        <w:t xml:space="preserve"> </w:t>
      </w:r>
      <w:r>
        <w:rPr>
          <w:rFonts w:ascii="Times New Roman;Times;serif" w:hAnsi="Times New Roman;Times;serif"/>
          <w:color w:val="231F20"/>
          <w:sz w:val="20"/>
        </w:rPr>
        <w:t>by</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5"/>
          <w:sz w:val="20"/>
        </w:rPr>
        <w:t xml:space="preserve"> </w:t>
      </w:r>
      <w:r>
        <w:rPr>
          <w:rFonts w:ascii="Times New Roman;Times;serif" w:hAnsi="Times New Roman;Times;serif"/>
          <w:color w:val="231F20"/>
          <w:sz w:val="20"/>
        </w:rPr>
        <w:t>portion</w:t>
      </w:r>
      <w:r>
        <w:rPr>
          <w:rFonts w:ascii="Times New Roman;Times;serif" w:hAnsi="Times New Roman;Times;serif"/>
          <w:color w:val="231F20"/>
          <w:spacing w:val="-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an</w:t>
      </w:r>
      <w:r>
        <w:rPr>
          <w:rFonts w:ascii="Times New Roman;Times;serif" w:hAnsi="Times New Roman;Times;serif"/>
          <w:color w:val="231F20"/>
          <w:spacing w:val="-4"/>
          <w:sz w:val="20"/>
        </w:rPr>
        <w:t xml:space="preserve"> </w:t>
      </w:r>
      <w:r>
        <w:rPr>
          <w:rFonts w:ascii="Times New Roman;Times;serif" w:hAnsi="Times New Roman;Times;serif"/>
          <w:color w:val="231F20"/>
          <w:sz w:val="20"/>
        </w:rPr>
        <w:t>SAR</w:t>
      </w:r>
      <w:r>
        <w:rPr>
          <w:rFonts w:ascii="Times New Roman;Times;serif" w:hAnsi="Times New Roman;Times;serif"/>
          <w:color w:val="231F20"/>
          <w:spacing w:val="-5"/>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4"/>
          <w:sz w:val="20"/>
        </w:rPr>
        <w:t xml:space="preserve"> </w:t>
      </w:r>
      <w:r>
        <w:rPr>
          <w:rFonts w:ascii="Times New Roman;Times;serif" w:hAnsi="Times New Roman;Times;serif"/>
          <w:color w:val="231F20"/>
          <w:sz w:val="20"/>
        </w:rPr>
        <w:t>is</w:t>
      </w:r>
      <w:r>
        <w:rPr>
          <w:rFonts w:ascii="Times New Roman;Times;serif" w:hAnsi="Times New Roman;Times;serif"/>
          <w:color w:val="231F20"/>
          <w:spacing w:val="-5"/>
          <w:sz w:val="20"/>
        </w:rPr>
        <w:t xml:space="preserve"> </w:t>
      </w:r>
      <w:r>
        <w:rPr>
          <w:rFonts w:ascii="Times New Roman;Times;serif" w:hAnsi="Times New Roman;Times;serif"/>
          <w:color w:val="231F20"/>
          <w:sz w:val="20"/>
        </w:rPr>
        <w:t>exercised</w:t>
      </w:r>
      <w:r>
        <w:rPr>
          <w:rFonts w:ascii="Times New Roman;Times;serif" w:hAnsi="Times New Roman;Times;serif"/>
          <w:color w:val="231F20"/>
          <w:spacing w:val="-4"/>
          <w:sz w:val="20"/>
        </w:rPr>
        <w:t xml:space="preserve"> </w:t>
      </w:r>
      <w:r>
        <w:rPr>
          <w:rFonts w:ascii="Times New Roman;Times;serif" w:hAnsi="Times New Roman;Times;serif"/>
          <w:color w:val="231F20"/>
          <w:sz w:val="20"/>
        </w:rPr>
        <w:t>(whether</w:t>
      </w:r>
      <w:r>
        <w:rPr>
          <w:rFonts w:ascii="Times New Roman;Times;serif" w:hAnsi="Times New Roman;Times;serif"/>
          <w:color w:val="231F20"/>
          <w:spacing w:val="-5"/>
          <w:sz w:val="20"/>
        </w:rPr>
        <w:t xml:space="preserve"> </w:t>
      </w:r>
      <w:r>
        <w:rPr>
          <w:rFonts w:ascii="Times New Roman;Times;serif" w:hAnsi="Times New Roman;Times;serif"/>
          <w:color w:val="231F20"/>
          <w:sz w:val="20"/>
        </w:rPr>
        <w:t>or</w:t>
      </w:r>
      <w:r>
        <w:rPr>
          <w:rFonts w:ascii="Times New Roman;Times;serif" w:hAnsi="Times New Roman;Times;serif"/>
          <w:color w:val="231F20"/>
          <w:spacing w:val="-4"/>
          <w:sz w:val="20"/>
        </w:rPr>
        <w:t xml:space="preserve"> </w:t>
      </w:r>
      <w:r>
        <w:rPr>
          <w:rFonts w:ascii="Times New Roman;Times;serif" w:hAnsi="Times New Roman;Times;serif"/>
          <w:color w:val="231F20"/>
          <w:sz w:val="20"/>
        </w:rPr>
        <w:t>not</w:t>
      </w:r>
      <w:r>
        <w:rPr>
          <w:rFonts w:ascii="Times New Roman;Times;serif" w:hAnsi="Times New Roman;Times;serif"/>
          <w:color w:val="231F20"/>
          <w:spacing w:val="-5"/>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5"/>
          <w:sz w:val="20"/>
        </w:rPr>
        <w:t xml:space="preserve"> </w:t>
      </w:r>
      <w:r>
        <w:rPr>
          <w:rFonts w:ascii="Times New Roman;Times;serif" w:hAnsi="Times New Roman;Times;serif"/>
          <w:color w:val="231F20"/>
          <w:sz w:val="20"/>
        </w:rPr>
        <w:t>actually issued) will be considered issued. Shares that are counted as one and one-half (1.5) shares upon issuance will be counted as one and one-half (1.5) shares upon</w:t>
      </w:r>
      <w:r>
        <w:rPr>
          <w:rFonts w:ascii="Times New Roman;Times;serif" w:hAnsi="Times New Roman;Times;serif"/>
          <w:color w:val="231F20"/>
          <w:spacing w:val="-11"/>
          <w:sz w:val="20"/>
        </w:rPr>
        <w:t xml:space="preserve"> </w:t>
      </w:r>
      <w:r>
        <w:rPr>
          <w:rFonts w:ascii="Times New Roman;Times;serif" w:hAnsi="Times New Roman;Times;serif"/>
          <w:color w:val="231F20"/>
          <w:sz w:val="20"/>
        </w:rPr>
        <w:t>return.</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b/>
          <w:i/>
          <w:color w:val="231F20"/>
          <w:sz w:val="20"/>
        </w:rPr>
        <w:t>Administration</w:t>
      </w:r>
      <w:r>
        <w:rPr>
          <w:rFonts w:ascii="Times New Roman;Times;serif" w:hAnsi="Times New Roman;Times;serif"/>
          <w:color w:val="231F20"/>
          <w:sz w:val="20"/>
        </w:rPr>
        <w:t xml:space="preserve">. Our Board of Directors or the Compensation Committee, referred to as the “plan </w:t>
      </w:r>
      <w:r>
        <w:rPr>
          <w:rFonts w:ascii="Times New Roman;Times;serif" w:hAnsi="Times New Roman;Times;serif"/>
          <w:color w:val="231F20"/>
          <w:spacing w:val="-3"/>
          <w:sz w:val="20"/>
        </w:rPr>
        <w:t>administrator,”</w:t>
      </w:r>
      <w:r>
        <w:rPr>
          <w:rFonts w:ascii="Times New Roman;Times;serif" w:hAnsi="Times New Roman;Times;serif"/>
          <w:color w:val="231F20"/>
          <w:spacing w:val="-32"/>
          <w:sz w:val="20"/>
        </w:rPr>
        <w:t xml:space="preserve"> </w:t>
      </w:r>
      <w:r>
        <w:rPr>
          <w:rFonts w:ascii="Times New Roman;Times;serif" w:hAnsi="Times New Roman;Times;serif"/>
          <w:color w:val="231F20"/>
          <w:sz w:val="20"/>
        </w:rPr>
        <w:t>administers</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5"/>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25"/>
          <w:sz w:val="20"/>
        </w:rPr>
        <w:t xml:space="preserve"> </w:t>
      </w:r>
      <w:r>
        <w:rPr>
          <w:rFonts w:ascii="Times New Roman;Times;serif" w:hAnsi="Times New Roman;Times;serif"/>
          <w:color w:val="231F20"/>
          <w:sz w:val="20"/>
        </w:rPr>
        <w:t>selecting</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5"/>
          <w:sz w:val="20"/>
        </w:rPr>
        <w:t xml:space="preserve"> </w:t>
      </w:r>
      <w:r>
        <w:rPr>
          <w:rFonts w:ascii="Times New Roman;Times;serif" w:hAnsi="Times New Roman;Times;serif"/>
          <w:color w:val="231F20"/>
          <w:sz w:val="20"/>
        </w:rPr>
        <w:t>grantees,</w:t>
      </w:r>
      <w:r>
        <w:rPr>
          <w:rFonts w:ascii="Times New Roman;Times;serif" w:hAnsi="Times New Roman;Times;serif"/>
          <w:color w:val="231F20"/>
          <w:spacing w:val="-24"/>
          <w:sz w:val="20"/>
        </w:rPr>
        <w:t xml:space="preserve"> </w:t>
      </w:r>
      <w:r>
        <w:rPr>
          <w:rFonts w:ascii="Times New Roman;Times;serif" w:hAnsi="Times New Roman;Times;serif"/>
          <w:color w:val="231F20"/>
          <w:sz w:val="20"/>
        </w:rPr>
        <w:t>determining</w:t>
      </w:r>
      <w:r>
        <w:rPr>
          <w:rFonts w:ascii="Times New Roman;Times;serif" w:hAnsi="Times New Roman;Times;serif"/>
          <w:color w:val="231F20"/>
          <w:spacing w:val="-2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number</w:t>
      </w:r>
      <w:r>
        <w:rPr>
          <w:rFonts w:ascii="Times New Roman;Times;serif" w:hAnsi="Times New Roman;Times;serif"/>
          <w:color w:val="231F20"/>
          <w:spacing w:val="-25"/>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25"/>
          <w:sz w:val="20"/>
        </w:rPr>
        <w:t xml:space="preserve"> </w:t>
      </w:r>
      <w:r>
        <w:rPr>
          <w:rFonts w:ascii="Times New Roman;Times;serif" w:hAnsi="Times New Roman;Times;serif"/>
          <w:color w:val="231F20"/>
          <w:sz w:val="20"/>
        </w:rPr>
        <w:t>to be</w:t>
      </w:r>
      <w:r>
        <w:rPr>
          <w:rFonts w:ascii="Times New Roman;Times;serif" w:hAnsi="Times New Roman;Times;serif"/>
          <w:color w:val="231F20"/>
          <w:spacing w:val="-5"/>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each</w:t>
      </w:r>
      <w:r>
        <w:rPr>
          <w:rFonts w:ascii="Times New Roman;Times;serif" w:hAnsi="Times New Roman;Times;serif"/>
          <w:color w:val="231F20"/>
          <w:spacing w:val="-4"/>
          <w:sz w:val="20"/>
        </w:rPr>
        <w:t xml:space="preserve"> award, </w:t>
      </w:r>
      <w:r>
        <w:rPr>
          <w:rFonts w:ascii="Times New Roman;Times;serif" w:hAnsi="Times New Roman;Times;serif"/>
          <w:color w:val="231F20"/>
          <w:sz w:val="20"/>
        </w:rPr>
        <w:t>determining</w:t>
      </w:r>
      <w:r>
        <w:rPr>
          <w:rFonts w:ascii="Times New Roman;Times;serif" w:hAnsi="Times New Roman;Times;serif"/>
          <w:color w:val="231F20"/>
          <w:spacing w:val="-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4"/>
          <w:sz w:val="20"/>
        </w:rPr>
        <w:t xml:space="preserve"> </w:t>
      </w:r>
      <w:r>
        <w:rPr>
          <w:rFonts w:ascii="Times New Roman;Times;serif" w:hAnsi="Times New Roman;Times;serif"/>
          <w:color w:val="231F20"/>
          <w:sz w:val="20"/>
        </w:rPr>
        <w:t>or</w:t>
      </w:r>
      <w:r>
        <w:rPr>
          <w:rFonts w:ascii="Times New Roman;Times;serif" w:hAnsi="Times New Roman;Times;serif"/>
          <w:color w:val="231F20"/>
          <w:spacing w:val="-5"/>
          <w:sz w:val="20"/>
        </w:rPr>
        <w:t xml:space="preserve"> </w:t>
      </w:r>
      <w:r>
        <w:rPr>
          <w:rFonts w:ascii="Times New Roman;Times;serif" w:hAnsi="Times New Roman;Times;serif"/>
          <w:color w:val="231F20"/>
          <w:sz w:val="20"/>
        </w:rPr>
        <w:t>purchase</w:t>
      </w:r>
      <w:r>
        <w:rPr>
          <w:rFonts w:ascii="Times New Roman;Times;serif" w:hAnsi="Times New Roman;Times;serif"/>
          <w:color w:val="231F20"/>
          <w:spacing w:val="-4"/>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5"/>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each</w:t>
      </w:r>
      <w:r>
        <w:rPr>
          <w:rFonts w:ascii="Times New Roman;Times;serif" w:hAnsi="Times New Roman;Times;serif"/>
          <w:color w:val="231F20"/>
          <w:spacing w:val="-5"/>
          <w:sz w:val="20"/>
        </w:rPr>
        <w:t xml:space="preserve">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and</w:t>
      </w:r>
      <w:r>
        <w:rPr>
          <w:rFonts w:ascii="Times New Roman;Times;serif" w:hAnsi="Times New Roman;Times;serif"/>
          <w:color w:val="231F20"/>
          <w:spacing w:val="-5"/>
          <w:sz w:val="20"/>
        </w:rPr>
        <w:t xml:space="preserve"> </w:t>
      </w:r>
      <w:r>
        <w:rPr>
          <w:rFonts w:ascii="Times New Roman;Times;serif" w:hAnsi="Times New Roman;Times;serif"/>
          <w:color w:val="231F20"/>
          <w:sz w:val="20"/>
        </w:rPr>
        <w:t>determining</w:t>
      </w:r>
      <w:r>
        <w:rPr>
          <w:rFonts w:ascii="Times New Roman;Times;serif" w:hAnsi="Times New Roman;Times;serif"/>
          <w:color w:val="231F20"/>
          <w:spacing w:val="-4"/>
          <w:sz w:val="20"/>
        </w:rPr>
        <w:t xml:space="preserve"> the </w:t>
      </w:r>
      <w:r>
        <w:rPr>
          <w:rFonts w:ascii="Times New Roman;Times;serif" w:hAnsi="Times New Roman;Times;serif"/>
          <w:color w:val="231F20"/>
          <w:sz w:val="20"/>
        </w:rPr>
        <w:t xml:space="preserve">vesting and exercise periods of each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The Plan is currently being administered by the Compensation Committee. With respect to grants to officers and </w:t>
      </w:r>
      <w:r>
        <w:rPr>
          <w:rFonts w:ascii="Times New Roman;Times;serif" w:hAnsi="Times New Roman;Times;serif"/>
          <w:color w:val="231F20"/>
          <w:spacing w:val="-3"/>
          <w:sz w:val="20"/>
        </w:rPr>
        <w:t xml:space="preserve">directors, </w:t>
      </w:r>
      <w:r>
        <w:rPr>
          <w:rFonts w:ascii="Times New Roman;Times;serif" w:hAnsi="Times New Roman;Times;serif"/>
          <w:color w:val="231F20"/>
          <w:sz w:val="20"/>
        </w:rPr>
        <w:t xml:space="preserve">the Compensation Committee </w:t>
      </w:r>
      <w:r>
        <w:rPr>
          <w:rFonts w:ascii="Times New Roman;Times;serif" w:hAnsi="Times New Roman;Times;serif"/>
          <w:color w:val="231F20"/>
          <w:spacing w:val="-3"/>
          <w:sz w:val="20"/>
        </w:rPr>
        <w:t xml:space="preserve">shall </w:t>
      </w:r>
      <w:r>
        <w:rPr>
          <w:rFonts w:ascii="Times New Roman;Times;serif" w:hAnsi="Times New Roman;Times;serif"/>
          <w:color w:val="231F20"/>
          <w:sz w:val="20"/>
        </w:rPr>
        <w:t xml:space="preserve">be constituted in such a manner as to satisfy applicable </w:t>
      </w:r>
      <w:r>
        <w:rPr>
          <w:rFonts w:ascii="Times New Roman;Times;serif" w:hAnsi="Times New Roman;Times;serif"/>
          <w:color w:val="231F20"/>
          <w:spacing w:val="-5"/>
          <w:sz w:val="20"/>
        </w:rPr>
        <w:t xml:space="preserve">laws, </w:t>
      </w:r>
      <w:r>
        <w:rPr>
          <w:rFonts w:ascii="Times New Roman;Times;serif" w:hAnsi="Times New Roman;Times;serif"/>
          <w:color w:val="231F20"/>
          <w:sz w:val="20"/>
        </w:rPr>
        <w:t xml:space="preserve">including </w:t>
      </w:r>
      <w:r>
        <w:rPr>
          <w:rFonts w:ascii="Times New Roman;Times;serif" w:hAnsi="Times New Roman;Times;serif"/>
          <w:color w:val="231F20"/>
          <w:spacing w:val="-4"/>
          <w:sz w:val="20"/>
        </w:rPr>
        <w:t xml:space="preserve">Rule </w:t>
      </w:r>
      <w:r>
        <w:rPr>
          <w:rFonts w:ascii="Times New Roman;Times;serif" w:hAnsi="Times New Roman;Times;serif"/>
          <w:color w:val="231F20"/>
          <w:sz w:val="20"/>
        </w:rPr>
        <w:t>16b-3 promulgated under the Exchange Act.</w:t>
      </w:r>
    </w:p>
    <w:p>
      <w:pPr>
        <w:pStyle w:val="TextBody"/>
        <w:bidi w:val="0"/>
        <w:spacing w:before="0" w:after="0"/>
        <w:ind w:left="0" w:right="0" w:firstLine="399"/>
        <w:jc w:val="left"/>
        <w:rPr>
          <w:rFonts w:ascii="Times New Roman;Times;serif" w:hAnsi="Times New Roman;Times;serif"/>
          <w:sz w:val="20"/>
        </w:rPr>
      </w:pPr>
      <w:r>
        <w:rPr>
          <w:rFonts w:ascii="Times New Roman;Times;serif" w:hAnsi="Times New Roman;Times;serif"/>
          <w:b/>
          <w:i/>
          <w:color w:val="231F20"/>
          <w:spacing w:val="-4"/>
          <w:sz w:val="20"/>
        </w:rPr>
        <w:t xml:space="preserve">Terms </w:t>
      </w:r>
      <w:r>
        <w:rPr>
          <w:rFonts w:ascii="Times New Roman;Times;serif" w:hAnsi="Times New Roman;Times;serif"/>
          <w:b/>
          <w:i/>
          <w:color w:val="231F20"/>
          <w:sz w:val="20"/>
        </w:rPr>
        <w:t xml:space="preserve">and Conditions of </w:t>
      </w:r>
      <w:r>
        <w:rPr>
          <w:rFonts w:ascii="Times New Roman;Times;serif" w:hAnsi="Times New Roman;Times;serif"/>
          <w:b/>
          <w:i/>
          <w:color w:val="231F20"/>
          <w:spacing w:val="-6"/>
          <w:sz w:val="20"/>
        </w:rPr>
        <w:t xml:space="preserve">Awards. </w:t>
      </w:r>
      <w:r>
        <w:rPr>
          <w:rFonts w:ascii="Times New Roman;Times;serif" w:hAnsi="Times New Roman;Times;serif"/>
          <w:color w:val="231F20"/>
          <w:sz w:val="20"/>
        </w:rPr>
        <w:t xml:space="preserve">The Amendment provides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grant of stock options, restricted stock, restricted stock units, stock appreciation rights, and dividend equivalent rights, collectively referred to as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 xml:space="preserve">Stock options granted under the Plan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either incentive stock options under the provisions of Section 422 of the Internal </w:t>
      </w:r>
      <w:r>
        <w:rPr>
          <w:rFonts w:ascii="Times New Roman;Times;serif" w:hAnsi="Times New Roman;Times;serif"/>
          <w:color w:val="231F20"/>
          <w:spacing w:val="-4"/>
          <w:sz w:val="20"/>
        </w:rPr>
        <w:t xml:space="preserve">Revenue </w:t>
      </w:r>
      <w:r>
        <w:rPr>
          <w:rFonts w:ascii="Times New Roman;Times;serif" w:hAnsi="Times New Roman;Times;serif"/>
          <w:color w:val="231F20"/>
          <w:sz w:val="20"/>
        </w:rPr>
        <w:t xml:space="preserve">Code, or non-qualified stock options. Incentive stock options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granted only to our employees or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color w:val="231F20"/>
          <w:sz w:val="20"/>
        </w:rPr>
        <w:t xml:space="preserve">employees of our related entities. </w:t>
      </w:r>
      <w:r>
        <w:rPr>
          <w:rFonts w:ascii="Times New Roman;Times;serif" w:hAnsi="Times New Roman;Times;serif"/>
          <w:color w:val="231F20"/>
          <w:spacing w:val="-5"/>
          <w:sz w:val="20"/>
        </w:rPr>
        <w:t xml:space="preserve">Awards </w:t>
      </w:r>
      <w:r>
        <w:rPr>
          <w:rFonts w:ascii="Times New Roman;Times;serif" w:hAnsi="Times New Roman;Times;serif"/>
          <w:color w:val="231F20"/>
          <w:sz w:val="20"/>
        </w:rPr>
        <w:t xml:space="preserve">other than incentive stock options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granted to our employees, directors, and consultants or to employees, consultants, and directors of our related entities. Because the Plan provides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broad discretion in selecting which eligible persons will participate and in granting </w:t>
      </w:r>
      <w:r>
        <w:rPr>
          <w:rFonts w:ascii="Times New Roman;Times;serif" w:hAnsi="Times New Roman;Times;serif"/>
          <w:color w:val="231F20"/>
          <w:spacing w:val="-5"/>
          <w:sz w:val="20"/>
        </w:rPr>
        <w:t xml:space="preserve">awards, </w:t>
      </w:r>
      <w:r>
        <w:rPr>
          <w:rFonts w:ascii="Times New Roman;Times;serif" w:hAnsi="Times New Roman;Times;serif"/>
          <w:color w:val="231F20"/>
          <w:sz w:val="20"/>
        </w:rPr>
        <w:t xml:space="preserve">the total number of persons who will actually participate in the Amended Plan and the benefits that will be provided to the participants cannot be determined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this </w:t>
      </w:r>
      <w:r>
        <w:rPr>
          <w:rFonts w:ascii="Times New Roman;Times;serif" w:hAnsi="Times New Roman;Times;serif"/>
          <w:color w:val="231F20"/>
          <w:spacing w:val="-3"/>
          <w:sz w:val="20"/>
        </w:rPr>
        <w:t xml:space="preserve">time. </w:t>
      </w:r>
      <w:r>
        <w:rPr>
          <w:rFonts w:ascii="Times New Roman;Times;serif" w:hAnsi="Times New Roman;Times;serif"/>
          <w:color w:val="231F20"/>
          <w:sz w:val="20"/>
        </w:rPr>
        <w:t xml:space="preserve">As of December 31, 2025, </w:t>
      </w:r>
      <w:r>
        <w:rPr>
          <w:rFonts w:ascii="Times New Roman;Times;serif" w:hAnsi="Times New Roman;Times;serif"/>
          <w:color w:val="231F20"/>
          <w:spacing w:val="-3"/>
          <w:sz w:val="20"/>
        </w:rPr>
        <w:t xml:space="preserve">approximately </w:t>
      </w:r>
      <w:r>
        <w:rPr>
          <w:rFonts w:ascii="Times New Roman;Times;serif" w:hAnsi="Times New Roman;Times;serif"/>
          <w:color w:val="231F20"/>
          <w:sz w:val="20"/>
        </w:rPr>
        <w:t xml:space="preserve">200 employees (three of whom are current named executive officers of the Company) and seven non-employee directors were eligible </w:t>
      </w:r>
      <w:r>
        <w:rPr>
          <w:rFonts w:ascii="Times New Roman;Times;serif" w:hAnsi="Times New Roman;Times;serif"/>
          <w:color w:val="231F20"/>
          <w:spacing w:val="-3"/>
          <w:sz w:val="20"/>
        </w:rPr>
        <w:t xml:space="preserve">for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 xml:space="preserve">under the Plan. In addition, we engage certain consultants that </w:t>
      </w:r>
      <w:r>
        <w:rPr>
          <w:rFonts w:ascii="Times New Roman;Times;serif" w:hAnsi="Times New Roman;Times;serif"/>
          <w:color w:val="231F20"/>
          <w:spacing w:val="-3"/>
          <w:sz w:val="20"/>
        </w:rPr>
        <w:t xml:space="preserve">also may </w:t>
      </w:r>
      <w:r>
        <w:rPr>
          <w:rFonts w:ascii="Times New Roman;Times;serif" w:hAnsi="Times New Roman;Times;serif"/>
          <w:color w:val="231F20"/>
          <w:sz w:val="20"/>
        </w:rPr>
        <w:t xml:space="preserve">be eligible </w:t>
      </w:r>
      <w:r>
        <w:rPr>
          <w:rFonts w:ascii="Times New Roman;Times;serif" w:hAnsi="Times New Roman;Times;serif"/>
          <w:color w:val="231F20"/>
          <w:spacing w:val="-3"/>
          <w:sz w:val="20"/>
        </w:rPr>
        <w:t xml:space="preserve">for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 xml:space="preserve">under the Plan. </w:t>
      </w:r>
      <w:r>
        <w:rPr>
          <w:rFonts w:ascii="Times New Roman;Times;serif" w:hAnsi="Times New Roman;Times;serif"/>
          <w:color w:val="231F20"/>
          <w:spacing w:val="-11"/>
          <w:sz w:val="20"/>
        </w:rPr>
        <w:t xml:space="preserve">To </w:t>
      </w:r>
      <w:r>
        <w:rPr>
          <w:rFonts w:ascii="Times New Roman;Times;serif" w:hAnsi="Times New Roman;Times;serif"/>
          <w:color w:val="231F20"/>
          <w:sz w:val="20"/>
        </w:rPr>
        <w:t xml:space="preserve">the extent that the aggregate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of the shares subject to options designated as incentive stock options</w:t>
      </w:r>
      <w:r>
        <w:rPr>
          <w:rFonts w:ascii="Times New Roman;Times;serif" w:hAnsi="Times New Roman;Times;serif"/>
          <w:color w:val="231F20"/>
          <w:spacing w:val="-4"/>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3"/>
          <w:sz w:val="20"/>
        </w:rPr>
        <w:t xml:space="preserve"> </w:t>
      </w:r>
      <w:r>
        <w:rPr>
          <w:rFonts w:ascii="Times New Roman;Times;serif" w:hAnsi="Times New Roman;Times;serif"/>
          <w:color w:val="231F20"/>
          <w:sz w:val="20"/>
        </w:rPr>
        <w:t>become</w:t>
      </w:r>
      <w:r>
        <w:rPr>
          <w:rFonts w:ascii="Times New Roman;Times;serif" w:hAnsi="Times New Roman;Times;serif"/>
          <w:color w:val="231F20"/>
          <w:spacing w:val="-3"/>
          <w:sz w:val="20"/>
        </w:rPr>
        <w:t xml:space="preserve"> </w:t>
      </w:r>
      <w:r>
        <w:rPr>
          <w:rFonts w:ascii="Times New Roman;Times;serif" w:hAnsi="Times New Roman;Times;serif"/>
          <w:color w:val="231F20"/>
          <w:sz w:val="20"/>
        </w:rPr>
        <w:t>exercisable</w:t>
      </w:r>
      <w:r>
        <w:rPr>
          <w:rFonts w:ascii="Times New Roman;Times;serif" w:hAnsi="Times New Roman;Times;serif"/>
          <w:color w:val="231F20"/>
          <w:spacing w:val="-3"/>
          <w:sz w:val="20"/>
        </w:rPr>
        <w:t xml:space="preserve"> for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first</w:t>
      </w:r>
      <w:r>
        <w:rPr>
          <w:rFonts w:ascii="Times New Roman;Times;serif" w:hAnsi="Times New Roman;Times;serif"/>
          <w:color w:val="231F20"/>
          <w:spacing w:val="-3"/>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3"/>
          <w:sz w:val="20"/>
        </w:rPr>
        <w:t xml:space="preserve"> </w:t>
      </w:r>
      <w:r>
        <w:rPr>
          <w:rFonts w:ascii="Times New Roman;Times;serif" w:hAnsi="Times New Roman;Times;serif"/>
          <w:color w:val="231F20"/>
          <w:sz w:val="20"/>
        </w:rPr>
        <w:t>by</w:t>
      </w:r>
      <w:r>
        <w:rPr>
          <w:rFonts w:ascii="Times New Roman;Times;serif" w:hAnsi="Times New Roman;Times;serif"/>
          <w:color w:val="231F20"/>
          <w:spacing w:val="-3"/>
          <w:sz w:val="20"/>
        </w:rPr>
        <w:t xml:space="preserve"> </w:t>
      </w:r>
      <w:r>
        <w:rPr>
          <w:rFonts w:ascii="Times New Roman;Times;serif" w:hAnsi="Times New Roman;Times;serif"/>
          <w:color w:val="231F20"/>
          <w:sz w:val="20"/>
        </w:rPr>
        <w:t>a</w:t>
      </w:r>
      <w:r>
        <w:rPr>
          <w:rFonts w:ascii="Times New Roman;Times;serif" w:hAnsi="Times New Roman;Times;serif"/>
          <w:color w:val="231F20"/>
          <w:spacing w:val="-3"/>
          <w:sz w:val="20"/>
        </w:rPr>
        <w:t xml:space="preserve"> </w:t>
      </w:r>
      <w:r>
        <w:rPr>
          <w:rFonts w:ascii="Times New Roman;Times;serif" w:hAnsi="Times New Roman;Times;serif"/>
          <w:color w:val="231F20"/>
          <w:sz w:val="20"/>
        </w:rPr>
        <w:t>participant</w:t>
      </w:r>
      <w:r>
        <w:rPr>
          <w:rFonts w:ascii="Times New Roman;Times;serif" w:hAnsi="Times New Roman;Times;serif"/>
          <w:color w:val="231F20"/>
          <w:spacing w:val="-4"/>
          <w:sz w:val="20"/>
        </w:rPr>
        <w:t xml:space="preserve"> </w:t>
      </w:r>
      <w:r>
        <w:rPr>
          <w:rFonts w:ascii="Times New Roman;Times;serif" w:hAnsi="Times New Roman;Times;serif"/>
          <w:color w:val="231F20"/>
          <w:sz w:val="20"/>
        </w:rPr>
        <w:t>during</w:t>
      </w:r>
      <w:r>
        <w:rPr>
          <w:rFonts w:ascii="Times New Roman;Times;serif" w:hAnsi="Times New Roman;Times;serif"/>
          <w:color w:val="231F20"/>
          <w:spacing w:val="-3"/>
          <w:sz w:val="20"/>
        </w:rPr>
        <w:t xml:space="preserve"> any </w:t>
      </w:r>
      <w:r>
        <w:rPr>
          <w:rFonts w:ascii="Times New Roman;Times;serif" w:hAnsi="Times New Roman;Times;serif"/>
          <w:color w:val="231F20"/>
          <w:sz w:val="20"/>
        </w:rPr>
        <w:t>calendar</w:t>
      </w:r>
      <w:r>
        <w:rPr>
          <w:rFonts w:ascii="Times New Roman;Times;serif" w:hAnsi="Times New Roman;Times;serif"/>
          <w:color w:val="231F20"/>
          <w:spacing w:val="-3"/>
          <w:sz w:val="20"/>
        </w:rPr>
        <w:t xml:space="preserve"> </w:t>
      </w:r>
      <w:r>
        <w:rPr>
          <w:rFonts w:ascii="Times New Roman;Times;serif" w:hAnsi="Times New Roman;Times;serif"/>
          <w:color w:val="231F20"/>
          <w:sz w:val="20"/>
        </w:rPr>
        <w:t>year</w:t>
      </w:r>
      <w:r>
        <w:rPr>
          <w:rFonts w:ascii="Times New Roman;Times;serif" w:hAnsi="Times New Roman;Times;serif"/>
          <w:color w:val="231F20"/>
          <w:spacing w:val="-3"/>
          <w:sz w:val="20"/>
        </w:rPr>
        <w:t xml:space="preserve"> </w:t>
      </w:r>
      <w:r>
        <w:rPr>
          <w:rFonts w:ascii="Times New Roman;Times;serif" w:hAnsi="Times New Roman;Times;serif"/>
          <w:color w:val="231F20"/>
          <w:sz w:val="20"/>
        </w:rPr>
        <w:t>exceeds $100,000, such excess options shall be treated as nonqualified stock options. Each award granted under the Plan shall be designated in an award agreement.</w:t>
      </w:r>
    </w:p>
    <w:p>
      <w:pPr>
        <w:pStyle w:val="TextBody"/>
        <w:bidi w:val="0"/>
        <w:spacing w:before="0" w:after="200"/>
        <w:ind w:left="0" w:right="0" w:firstLine="403"/>
        <w:jc w:val="left"/>
        <w:rPr>
          <w:rFonts w:ascii="Times New Roman;Times;serif" w:hAnsi="Times New Roman;Times;serif"/>
          <w:sz w:val="20"/>
        </w:rPr>
      </w:pPr>
      <w:r>
        <w:rPr>
          <w:rFonts w:ascii="Times New Roman;Times;serif" w:hAnsi="Times New Roman;Times;serif"/>
          <w:color w:val="231F20"/>
          <w:sz w:val="20"/>
        </w:rPr>
        <w:t xml:space="preserve">The Plan is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designed to comply with the provisions of the Israeli Income </w:t>
      </w:r>
      <w:r>
        <w:rPr>
          <w:rFonts w:ascii="Times New Roman;Times;serif" w:hAnsi="Times New Roman;Times;serif"/>
          <w:color w:val="231F20"/>
          <w:spacing w:val="-5"/>
          <w:sz w:val="20"/>
        </w:rPr>
        <w:t xml:space="preserve">Tax </w:t>
      </w:r>
      <w:r>
        <w:rPr>
          <w:rFonts w:ascii="Times New Roman;Times;serif" w:hAnsi="Times New Roman;Times;serif"/>
          <w:color w:val="231F20"/>
          <w:sz w:val="20"/>
        </w:rPr>
        <w:t xml:space="preserve">Ordinance New </w:t>
      </w:r>
      <w:r>
        <w:rPr>
          <w:rFonts w:ascii="Times New Roman;Times;serif" w:hAnsi="Times New Roman;Times;serif"/>
          <w:color w:val="231F20"/>
          <w:spacing w:val="-3"/>
          <w:sz w:val="20"/>
        </w:rPr>
        <w:t>Version, </w:t>
      </w:r>
      <w:r>
        <w:rPr>
          <w:rFonts w:ascii="Times New Roman;Times;serif" w:hAnsi="Times New Roman;Times;serif"/>
          <w:color w:val="231F20"/>
          <w:sz w:val="20"/>
        </w:rPr>
        <w:t>1961 (including as amended pursuant to Amendment 132 thereto), or the tax ordinance, and is intended</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enable</w:t>
      </w:r>
      <w:r>
        <w:rPr>
          <w:rFonts w:ascii="Times New Roman;Times;serif" w:hAnsi="Times New Roman;Times;serif"/>
          <w:color w:val="231F20"/>
          <w:spacing w:val="-5"/>
          <w:sz w:val="20"/>
        </w:rPr>
        <w:t xml:space="preserve"> </w:t>
      </w:r>
      <w:r>
        <w:rPr>
          <w:rFonts w:ascii="Times New Roman;Times;serif" w:hAnsi="Times New Roman;Times;serif"/>
          <w:color w:val="231F20"/>
          <w:sz w:val="20"/>
        </w:rPr>
        <w:t>us</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grant</w:t>
      </w:r>
      <w:r>
        <w:rPr>
          <w:rFonts w:ascii="Times New Roman;Times;serif" w:hAnsi="Times New Roman;Times;serif"/>
          <w:color w:val="231F20"/>
          <w:spacing w:val="-5"/>
          <w:sz w:val="20"/>
        </w:rPr>
        <w:t xml:space="preserve"> </w:t>
      </w:r>
      <w:r>
        <w:rPr>
          <w:rFonts w:ascii="Times New Roman;Times;serif" w:hAnsi="Times New Roman;Times;serif"/>
          <w:color w:val="231F20"/>
          <w:spacing w:val="-4"/>
          <w:sz w:val="20"/>
        </w:rPr>
        <w:t>awards</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grantees</w:t>
      </w:r>
      <w:r>
        <w:rPr>
          <w:rFonts w:ascii="Times New Roman;Times;serif" w:hAnsi="Times New Roman;Times;serif"/>
          <w:color w:val="231F20"/>
          <w:spacing w:val="-4"/>
          <w:sz w:val="20"/>
        </w:rPr>
        <w:t xml:space="preserve"> </w:t>
      </w:r>
      <w:r>
        <w:rPr>
          <w:rFonts w:ascii="Times New Roman;Times;serif" w:hAnsi="Times New Roman;Times;serif"/>
          <w:color w:val="231F20"/>
          <w:sz w:val="20"/>
        </w:rPr>
        <w:t>who</w:t>
      </w:r>
      <w:r>
        <w:rPr>
          <w:rFonts w:ascii="Times New Roman;Times;serif" w:hAnsi="Times New Roman;Times;serif"/>
          <w:color w:val="231F20"/>
          <w:spacing w:val="-5"/>
          <w:sz w:val="20"/>
        </w:rPr>
        <w:t xml:space="preserve"> </w:t>
      </w:r>
      <w:r>
        <w:rPr>
          <w:rFonts w:ascii="Times New Roman;Times;serif" w:hAnsi="Times New Roman;Times;serif"/>
          <w:color w:val="231F20"/>
          <w:sz w:val="20"/>
        </w:rPr>
        <w:t>are</w:t>
      </w:r>
      <w:r>
        <w:rPr>
          <w:rFonts w:ascii="Times New Roman;Times;serif" w:hAnsi="Times New Roman;Times;serif"/>
          <w:color w:val="231F20"/>
          <w:spacing w:val="-5"/>
          <w:sz w:val="20"/>
        </w:rPr>
        <w:t xml:space="preserve"> </w:t>
      </w:r>
      <w:r>
        <w:rPr>
          <w:rFonts w:ascii="Times New Roman;Times;serif" w:hAnsi="Times New Roman;Times;serif"/>
          <w:color w:val="231F20"/>
          <w:sz w:val="20"/>
        </w:rPr>
        <w:t>Israeli</w:t>
      </w:r>
      <w:r>
        <w:rPr>
          <w:rFonts w:ascii="Times New Roman;Times;serif" w:hAnsi="Times New Roman;Times;serif"/>
          <w:color w:val="231F20"/>
          <w:spacing w:val="-5"/>
          <w:sz w:val="20"/>
        </w:rPr>
        <w:t xml:space="preserve"> </w:t>
      </w:r>
      <w:r>
        <w:rPr>
          <w:rFonts w:ascii="Times New Roman;Times;serif" w:hAnsi="Times New Roman;Times;serif"/>
          <w:color w:val="231F20"/>
          <w:sz w:val="20"/>
        </w:rPr>
        <w:t>residents</w:t>
      </w:r>
      <w:r>
        <w:rPr>
          <w:rFonts w:ascii="Times New Roman;Times;serif" w:hAnsi="Times New Roman;Times;serif"/>
          <w:color w:val="231F20"/>
          <w:spacing w:val="-5"/>
          <w:sz w:val="20"/>
        </w:rPr>
        <w:t xml:space="preserve"> </w:t>
      </w:r>
      <w:r>
        <w:rPr>
          <w:rFonts w:ascii="Times New Roman;Times;serif" w:hAnsi="Times New Roman;Times;serif"/>
          <w:color w:val="231F20"/>
          <w:sz w:val="20"/>
        </w:rPr>
        <w:t>as</w:t>
      </w:r>
      <w:r>
        <w:rPr>
          <w:rFonts w:ascii="Times New Roman;Times;serif" w:hAnsi="Times New Roman;Times;serif"/>
          <w:color w:val="231F20"/>
          <w:spacing w:val="-4"/>
          <w:sz w:val="20"/>
        </w:rPr>
        <w:t xml:space="preserve"> </w:t>
      </w:r>
      <w:r>
        <w:rPr>
          <w:rFonts w:ascii="Times New Roman;Times;serif" w:hAnsi="Times New Roman;Times;serif"/>
          <w:color w:val="231F20"/>
          <w:sz w:val="20"/>
        </w:rPr>
        <w:t>follows:</w:t>
      </w:r>
      <w:r>
        <w:rPr>
          <w:rFonts w:ascii="Times New Roman;Times;serif" w:hAnsi="Times New Roman;Times;serif"/>
          <w:color w:val="231F20"/>
          <w:spacing w:val="-5"/>
          <w:sz w:val="20"/>
        </w:rPr>
        <w:t xml:space="preserve"> </w:t>
      </w:r>
      <w:r>
        <w:rPr>
          <w:rFonts w:ascii="Times New Roman;Times;serif" w:hAnsi="Times New Roman;Times;serif"/>
          <w:color w:val="231F20"/>
          <w:sz w:val="20"/>
        </w:rPr>
        <w:t>(i)</w:t>
      </w:r>
      <w:r>
        <w:rPr>
          <w:rFonts w:ascii="Times New Roman;Times;serif" w:hAnsi="Times New Roman;Times;serif"/>
          <w:color w:val="231F20"/>
          <w:spacing w:val="-5"/>
          <w:sz w:val="20"/>
        </w:rPr>
        <w:t xml:space="preserve"> </w:t>
      </w:r>
      <w:r>
        <w:rPr>
          <w:rFonts w:ascii="Times New Roman;Times;serif" w:hAnsi="Times New Roman;Times;serif"/>
          <w:color w:val="231F20"/>
          <w:spacing w:val="-4"/>
          <w:sz w:val="20"/>
        </w:rPr>
        <w:t>awards</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 xml:space="preserve">employees pursuant to Section 102 of the tax ordinance; and (ii)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 xml:space="preserve">to non-employees pursuant to Section 3(I) of the tax ordinance. </w:t>
      </w:r>
      <w:r>
        <w:rPr>
          <w:rFonts w:ascii="Times New Roman;Times;serif" w:hAnsi="Times New Roman;Times;serif"/>
          <w:color w:val="231F20"/>
          <w:spacing w:val="-6"/>
          <w:sz w:val="20"/>
        </w:rPr>
        <w:t xml:space="preserve">For </w:t>
      </w:r>
      <w:r>
        <w:rPr>
          <w:rFonts w:ascii="Times New Roman;Times;serif" w:hAnsi="Times New Roman;Times;serif"/>
          <w:color w:val="231F20"/>
          <w:sz w:val="20"/>
        </w:rPr>
        <w:t xml:space="preserve">this purpose, “employee” refers only to employees, office holders, and directors of our Company or a related entity excluding those who are considered “Controlling Shareholders” pursuant </w:t>
      </w:r>
      <w:r>
        <w:rPr>
          <w:rFonts w:ascii="Times New Roman;Times;serif" w:hAnsi="Times New Roman;Times;serif"/>
          <w:color w:val="231F20"/>
          <w:spacing w:val="-3"/>
          <w:sz w:val="20"/>
        </w:rPr>
        <w:t xml:space="preserve">to, </w:t>
      </w:r>
      <w:r>
        <w:rPr>
          <w:rFonts w:ascii="Times New Roman;Times;serif" w:hAnsi="Times New Roman;Times;serif"/>
          <w:color w:val="231F20"/>
          <w:sz w:val="20"/>
        </w:rPr>
        <w:t xml:space="preserve">or otherwise excluded </w:t>
      </w:r>
      <w:r>
        <w:rPr>
          <w:rFonts w:ascii="Times New Roman;Times;serif" w:hAnsi="Times New Roman;Times;serif"/>
          <w:color w:val="231F20"/>
          <w:spacing w:val="-8"/>
          <w:sz w:val="20"/>
        </w:rPr>
        <w:t xml:space="preserve">by, </w:t>
      </w:r>
      <w:r>
        <w:rPr>
          <w:rFonts w:ascii="Times New Roman;Times;serif" w:hAnsi="Times New Roman;Times;serif"/>
          <w:color w:val="231F20"/>
          <w:sz w:val="20"/>
        </w:rPr>
        <w:t xml:space="preserve">the tax ordinance. In accordance with the terms and conditions imposed by the tax ordinance, grantees who receive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 xml:space="preserve">under the Amendment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w:t>
      </w:r>
      <w:r>
        <w:rPr>
          <w:rFonts w:ascii="Times New Roman;Times;serif" w:hAnsi="Times New Roman;Times;serif"/>
          <w:color w:val="231F20"/>
          <w:spacing w:val="-3"/>
          <w:sz w:val="20"/>
        </w:rPr>
        <w:t xml:space="preserve">afforded </w:t>
      </w:r>
      <w:r>
        <w:rPr>
          <w:rFonts w:ascii="Times New Roman;Times;serif" w:hAnsi="Times New Roman;Times;serif"/>
          <w:color w:val="231F20"/>
          <w:sz w:val="20"/>
        </w:rPr>
        <w:t>certain tax benefits in Israel as described below.</w:t>
      </w:r>
    </w:p>
    <w:p>
      <w:pPr>
        <w:pStyle w:val="TextBody"/>
        <w:bidi w:val="0"/>
        <w:spacing w:before="0" w:after="200"/>
        <w:ind w:left="0" w:right="0" w:firstLine="403"/>
        <w:jc w:val="left"/>
        <w:rPr>
          <w:rFonts w:ascii="Times New Roman;Times;serif" w:hAnsi="Times New Roman;Times;serif"/>
          <w:sz w:val="20"/>
        </w:rPr>
      </w:pP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17"/>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17"/>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7"/>
          <w:sz w:val="20"/>
        </w:rPr>
        <w:t xml:space="preserve"> </w:t>
      </w:r>
      <w:r>
        <w:rPr>
          <w:rFonts w:ascii="Times New Roman;Times;serif" w:hAnsi="Times New Roman;Times;serif"/>
          <w:color w:val="231F20"/>
          <w:sz w:val="20"/>
        </w:rPr>
        <w:t>options</w:t>
      </w:r>
      <w:r>
        <w:rPr>
          <w:rFonts w:ascii="Times New Roman;Times;serif" w:hAnsi="Times New Roman;Times;serif"/>
          <w:color w:val="231F20"/>
          <w:spacing w:val="-17"/>
          <w:sz w:val="20"/>
        </w:rPr>
        <w:t xml:space="preserve"> </w:t>
      </w:r>
      <w:r>
        <w:rPr>
          <w:rFonts w:ascii="Times New Roman;Times;serif" w:hAnsi="Times New Roman;Times;serif"/>
          <w:color w:val="231F20"/>
          <w:sz w:val="20"/>
        </w:rPr>
        <w:t>granted</w:t>
      </w:r>
      <w:r>
        <w:rPr>
          <w:rFonts w:ascii="Times New Roman;Times;serif" w:hAnsi="Times New Roman;Times;serif"/>
          <w:color w:val="231F20"/>
          <w:spacing w:val="-17"/>
          <w:sz w:val="20"/>
        </w:rPr>
        <w:t xml:space="preserve"> </w:t>
      </w:r>
      <w:r>
        <w:rPr>
          <w:rFonts w:ascii="Times New Roman;Times;serif" w:hAnsi="Times New Roman;Times;serif"/>
          <w:color w:val="231F20"/>
          <w:sz w:val="20"/>
        </w:rPr>
        <w:t>under</w:t>
      </w:r>
      <w:r>
        <w:rPr>
          <w:rFonts w:ascii="Times New Roman;Times;serif" w:hAnsi="Times New Roman;Times;serif"/>
          <w:color w:val="231F20"/>
          <w:spacing w:val="-1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7"/>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17"/>
          <w:sz w:val="20"/>
        </w:rPr>
        <w:t xml:space="preserve"> </w:t>
      </w:r>
      <w:r>
        <w:rPr>
          <w:rFonts w:ascii="Times New Roman;Times;serif" w:hAnsi="Times New Roman;Times;serif"/>
          <w:color w:val="231F20"/>
          <w:sz w:val="20"/>
        </w:rPr>
        <w:t>must</w:t>
      </w:r>
      <w:r>
        <w:rPr>
          <w:rFonts w:ascii="Times New Roman;Times;serif" w:hAnsi="Times New Roman;Times;serif"/>
          <w:color w:val="231F20"/>
          <w:spacing w:val="-17"/>
          <w:sz w:val="20"/>
        </w:rPr>
        <w:t xml:space="preserve"> </w:t>
      </w:r>
      <w:r>
        <w:rPr>
          <w:rFonts w:ascii="Times New Roman;Times;serif" w:hAnsi="Times New Roman;Times;serif"/>
          <w:color w:val="231F20"/>
          <w:sz w:val="20"/>
        </w:rPr>
        <w:t>be</w:t>
      </w:r>
      <w:r>
        <w:rPr>
          <w:rFonts w:ascii="Times New Roman;Times;serif" w:hAnsi="Times New Roman;Times;serif"/>
          <w:color w:val="231F20"/>
          <w:spacing w:val="-17"/>
          <w:sz w:val="20"/>
        </w:rPr>
        <w:t xml:space="preserve"> </w:t>
      </w:r>
      <w:r>
        <w:rPr>
          <w:rFonts w:ascii="Times New Roman;Times;serif" w:hAnsi="Times New Roman;Times;serif"/>
          <w:color w:val="231F20"/>
          <w:sz w:val="20"/>
        </w:rPr>
        <w:t>equal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to</w:t>
      </w:r>
      <w:r>
        <w:rPr>
          <w:rFonts w:ascii="Times New Roman;Times;serif" w:hAnsi="Times New Roman;Times;serif"/>
          <w:color w:val="231F20"/>
          <w:spacing w:val="-17"/>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17"/>
          <w:sz w:val="20"/>
        </w:rPr>
        <w:t xml:space="preserve"> </w:t>
      </w:r>
      <w:r>
        <w:rPr>
          <w:rFonts w:ascii="Times New Roman;Times;serif" w:hAnsi="Times New Roman;Times;serif"/>
          <w:color w:val="231F20"/>
          <w:sz w:val="20"/>
        </w:rPr>
        <w:t>least</w:t>
      </w:r>
      <w:r>
        <w:rPr>
          <w:rFonts w:ascii="Times New Roman;Times;serif" w:hAnsi="Times New Roman;Times;serif"/>
          <w:color w:val="231F20"/>
          <w:spacing w:val="-17"/>
          <w:sz w:val="20"/>
        </w:rPr>
        <w:t xml:space="preserve"> </w:t>
      </w:r>
      <w:r>
        <w:rPr>
          <w:rFonts w:ascii="Times New Roman;Times;serif" w:hAnsi="Times New Roman;Times;serif"/>
          <w:color w:val="231F20"/>
          <w:sz w:val="20"/>
        </w:rPr>
        <w:t>100%</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7"/>
          <w:sz w:val="20"/>
        </w:rPr>
        <w:t xml:space="preserve"> </w:t>
      </w:r>
      <w:r>
        <w:rPr>
          <w:rFonts w:ascii="Times New Roman;Times;serif" w:hAnsi="Times New Roman;Times;serif"/>
          <w:color w:val="231F20"/>
          <w:sz w:val="20"/>
        </w:rPr>
        <w:t>fair market</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value</w:t>
      </w:r>
      <w:r>
        <w:rPr>
          <w:rFonts w:ascii="Times New Roman;Times;serif" w:hAnsi="Times New Roman;Times;serif"/>
          <w:color w:val="231F20"/>
          <w:spacing w:val="-17"/>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8"/>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17"/>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8"/>
          <w:sz w:val="20"/>
        </w:rPr>
        <w:t xml:space="preserve"> </w:t>
      </w:r>
      <w:r>
        <w:rPr>
          <w:rFonts w:ascii="Times New Roman;Times;serif" w:hAnsi="Times New Roman;Times;serif"/>
          <w:color w:val="231F20"/>
          <w:sz w:val="20"/>
        </w:rPr>
        <w:t>on</w:t>
      </w:r>
      <w:r>
        <w:rPr>
          <w:rFonts w:ascii="Times New Roman;Times;serif" w:hAnsi="Times New Roman;Times;serif"/>
          <w:color w:val="231F20"/>
          <w:spacing w:val="-1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date</w:t>
      </w:r>
      <w:r>
        <w:rPr>
          <w:rFonts w:ascii="Times New Roman;Times;serif" w:hAnsi="Times New Roman;Times;serif"/>
          <w:color w:val="231F20"/>
          <w:spacing w:val="-17"/>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grant.</w:t>
      </w:r>
      <w:r>
        <w:rPr>
          <w:rFonts w:ascii="Times New Roman;Times;serif" w:hAnsi="Times New Roman;Times;serif"/>
          <w:color w:val="231F20"/>
          <w:spacing w:val="-18"/>
          <w:sz w:val="20"/>
        </w:rPr>
        <w:t xml:space="preserve"> </w:t>
      </w:r>
      <w:r>
        <w:rPr>
          <w:rFonts w:ascii="Times New Roman;Times;serif" w:hAnsi="Times New Roman;Times;serif"/>
          <w:color w:val="231F20"/>
          <w:sz w:val="20"/>
        </w:rPr>
        <w:t>If,</w:t>
      </w:r>
      <w:r>
        <w:rPr>
          <w:rFonts w:ascii="Times New Roman;Times;serif" w:hAnsi="Times New Roman;Times;serif"/>
          <w:color w:val="231F20"/>
          <w:spacing w:val="-17"/>
          <w:sz w:val="20"/>
        </w:rPr>
        <w:t xml:space="preserve"> </w:t>
      </w:r>
      <w:r>
        <w:rPr>
          <w:rFonts w:ascii="Times New Roman;Times;serif" w:hAnsi="Times New Roman;Times;serif"/>
          <w:color w:val="231F20"/>
          <w:spacing w:val="-5"/>
          <w:sz w:val="20"/>
        </w:rPr>
        <w:t>however,</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incentive</w:t>
      </w:r>
      <w:r>
        <w:rPr>
          <w:rFonts w:ascii="Times New Roman;Times;serif" w:hAnsi="Times New Roman;Times;serif"/>
          <w:color w:val="231F20"/>
          <w:spacing w:val="-17"/>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7"/>
          <w:sz w:val="20"/>
        </w:rPr>
        <w:t xml:space="preserve"> </w:t>
      </w:r>
      <w:r>
        <w:rPr>
          <w:rFonts w:ascii="Times New Roman;Times;serif" w:hAnsi="Times New Roman;Times;serif"/>
          <w:color w:val="231F20"/>
          <w:sz w:val="20"/>
        </w:rPr>
        <w:t>options</w:t>
      </w:r>
      <w:r>
        <w:rPr>
          <w:rFonts w:ascii="Times New Roman;Times;serif" w:hAnsi="Times New Roman;Times;serif"/>
          <w:color w:val="231F20"/>
          <w:spacing w:val="-18"/>
          <w:sz w:val="20"/>
        </w:rPr>
        <w:t xml:space="preserve"> </w:t>
      </w:r>
      <w:r>
        <w:rPr>
          <w:rFonts w:ascii="Times New Roman;Times;serif" w:hAnsi="Times New Roman;Times;serif"/>
          <w:color w:val="231F20"/>
          <w:sz w:val="20"/>
        </w:rPr>
        <w:t>are</w:t>
      </w:r>
      <w:r>
        <w:rPr>
          <w:rFonts w:ascii="Times New Roman;Times;serif" w:hAnsi="Times New Roman;Times;serif"/>
          <w:color w:val="231F20"/>
          <w:spacing w:val="-17"/>
          <w:sz w:val="20"/>
        </w:rPr>
        <w:t xml:space="preserve"> </w:t>
      </w:r>
      <w:r>
        <w:rPr>
          <w:rFonts w:ascii="Times New Roman;Times;serif" w:hAnsi="Times New Roman;Times;serif"/>
          <w:color w:val="231F20"/>
          <w:sz w:val="20"/>
        </w:rPr>
        <w:t>granted</w:t>
      </w:r>
      <w:r>
        <w:rPr>
          <w:rFonts w:ascii="Times New Roman;Times;serif" w:hAnsi="Times New Roman;Times;serif"/>
          <w:color w:val="231F20"/>
          <w:spacing w:val="-18"/>
          <w:sz w:val="20"/>
        </w:rPr>
        <w:t xml:space="preserve"> </w:t>
      </w:r>
      <w:r>
        <w:rPr>
          <w:rFonts w:ascii="Times New Roman;Times;serif" w:hAnsi="Times New Roman;Times;serif"/>
          <w:color w:val="231F20"/>
          <w:sz w:val="20"/>
        </w:rPr>
        <w:t>to an</w:t>
      </w:r>
      <w:r>
        <w:rPr>
          <w:rFonts w:ascii="Times New Roman;Times;serif" w:hAnsi="Times New Roman;Times;serif"/>
          <w:color w:val="231F20"/>
          <w:spacing w:val="-22"/>
          <w:sz w:val="20"/>
        </w:rPr>
        <w:t xml:space="preserve"> </w:t>
      </w:r>
      <w:r>
        <w:rPr>
          <w:rFonts w:ascii="Times New Roman;Times;serif" w:hAnsi="Times New Roman;Times;serif"/>
          <w:color w:val="231F20"/>
          <w:sz w:val="20"/>
        </w:rPr>
        <w:t>employee</w:t>
      </w:r>
      <w:r>
        <w:rPr>
          <w:rFonts w:ascii="Times New Roman;Times;serif" w:hAnsi="Times New Roman;Times;serif"/>
          <w:color w:val="231F20"/>
          <w:spacing w:val="-21"/>
          <w:sz w:val="20"/>
        </w:rPr>
        <w:t xml:space="preserve"> </w:t>
      </w:r>
      <w:r>
        <w:rPr>
          <w:rFonts w:ascii="Times New Roman;Times;serif" w:hAnsi="Times New Roman;Times;serif"/>
          <w:color w:val="231F20"/>
          <w:sz w:val="20"/>
        </w:rPr>
        <w:t>who</w:t>
      </w:r>
      <w:r>
        <w:rPr>
          <w:rFonts w:ascii="Times New Roman;Times;serif" w:hAnsi="Times New Roman;Times;serif"/>
          <w:color w:val="231F20"/>
          <w:spacing w:val="-21"/>
          <w:sz w:val="20"/>
        </w:rPr>
        <w:t xml:space="preserve"> </w:t>
      </w:r>
      <w:r>
        <w:rPr>
          <w:rFonts w:ascii="Times New Roman;Times;serif" w:hAnsi="Times New Roman;Times;serif"/>
          <w:color w:val="231F20"/>
          <w:sz w:val="20"/>
        </w:rPr>
        <w:t>owns</w:t>
      </w:r>
      <w:r>
        <w:rPr>
          <w:rFonts w:ascii="Times New Roman;Times;serif" w:hAnsi="Times New Roman;Times;serif"/>
          <w:color w:val="231F20"/>
          <w:spacing w:val="-21"/>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21"/>
          <w:sz w:val="20"/>
        </w:rPr>
        <w:t xml:space="preserve"> </w:t>
      </w:r>
      <w:r>
        <w:rPr>
          <w:rFonts w:ascii="Times New Roman;Times;serif" w:hAnsi="Times New Roman;Times;serif"/>
          <w:color w:val="231F20"/>
          <w:sz w:val="20"/>
        </w:rPr>
        <w:t>possessing</w:t>
      </w:r>
      <w:r>
        <w:rPr>
          <w:rFonts w:ascii="Times New Roman;Times;serif" w:hAnsi="Times New Roman;Times;serif"/>
          <w:color w:val="231F20"/>
          <w:spacing w:val="-22"/>
          <w:sz w:val="20"/>
        </w:rPr>
        <w:t xml:space="preserve"> </w:t>
      </w:r>
      <w:r>
        <w:rPr>
          <w:rFonts w:ascii="Times New Roman;Times;serif" w:hAnsi="Times New Roman;Times;serif"/>
          <w:color w:val="231F20"/>
          <w:sz w:val="20"/>
        </w:rPr>
        <w:t>more</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than</w:t>
      </w:r>
      <w:r>
        <w:rPr>
          <w:rFonts w:ascii="Times New Roman;Times;serif" w:hAnsi="Times New Roman;Times;serif"/>
          <w:color w:val="231F20"/>
          <w:spacing w:val="-21"/>
          <w:sz w:val="20"/>
        </w:rPr>
        <w:t xml:space="preserve"> </w:t>
      </w:r>
      <w:r>
        <w:rPr>
          <w:rFonts w:ascii="Times New Roman;Times;serif" w:hAnsi="Times New Roman;Times;serif"/>
          <w:color w:val="231F20"/>
          <w:sz w:val="20"/>
        </w:rPr>
        <w:t>10%</w:t>
      </w:r>
      <w:r>
        <w:rPr>
          <w:rFonts w:ascii="Times New Roman;Times;serif" w:hAnsi="Times New Roman;Times;serif"/>
          <w:color w:val="231F20"/>
          <w:spacing w:val="-21"/>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1"/>
          <w:sz w:val="20"/>
        </w:rPr>
        <w:t xml:space="preserve"> </w:t>
      </w:r>
      <w:r>
        <w:rPr>
          <w:rFonts w:ascii="Times New Roman;Times;serif" w:hAnsi="Times New Roman;Times;serif"/>
          <w:color w:val="231F20"/>
          <w:sz w:val="20"/>
        </w:rPr>
        <w:t>voting</w:t>
      </w:r>
      <w:r>
        <w:rPr>
          <w:rFonts w:ascii="Times New Roman;Times;serif" w:hAnsi="Times New Roman;Times;serif"/>
          <w:color w:val="231F20"/>
          <w:spacing w:val="-22"/>
          <w:sz w:val="20"/>
        </w:rPr>
        <w:t xml:space="preserve"> </w:t>
      </w:r>
      <w:r>
        <w:rPr>
          <w:rFonts w:ascii="Times New Roman;Times;serif" w:hAnsi="Times New Roman;Times;serif"/>
          <w:color w:val="231F20"/>
          <w:sz w:val="20"/>
        </w:rPr>
        <w:t>power</w:t>
      </w:r>
      <w:r>
        <w:rPr>
          <w:rFonts w:ascii="Times New Roman;Times;serif" w:hAnsi="Times New Roman;Times;serif"/>
          <w:color w:val="231F20"/>
          <w:spacing w:val="-21"/>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all</w:t>
      </w:r>
      <w:r>
        <w:rPr>
          <w:rFonts w:ascii="Times New Roman;Times;serif" w:hAnsi="Times New Roman;Times;serif"/>
          <w:color w:val="231F20"/>
          <w:spacing w:val="-21"/>
          <w:sz w:val="20"/>
        </w:rPr>
        <w:t xml:space="preserve"> </w:t>
      </w:r>
      <w:r>
        <w:rPr>
          <w:rFonts w:ascii="Times New Roman;Times;serif" w:hAnsi="Times New Roman;Times;serif"/>
          <w:color w:val="231F20"/>
          <w:sz w:val="20"/>
        </w:rPr>
        <w:t>classes</w:t>
      </w:r>
      <w:r>
        <w:rPr>
          <w:rFonts w:ascii="Times New Roman;Times;serif" w:hAnsi="Times New Roman;Times;serif"/>
          <w:color w:val="231F20"/>
          <w:spacing w:val="-21"/>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2"/>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 the</w:t>
      </w:r>
      <w:r>
        <w:rPr>
          <w:rFonts w:ascii="Times New Roman;Times;serif" w:hAnsi="Times New Roman;Times;serif"/>
          <w:color w:val="231F20"/>
          <w:spacing w:val="-32"/>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31"/>
          <w:sz w:val="20"/>
        </w:rPr>
        <w:t xml:space="preserve"> </w:t>
      </w:r>
      <w:r>
        <w:rPr>
          <w:rFonts w:ascii="Times New Roman;Times;serif" w:hAnsi="Times New Roman;Times;serif"/>
          <w:color w:val="231F20"/>
          <w:sz w:val="20"/>
        </w:rPr>
        <w:t>of</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31"/>
          <w:sz w:val="20"/>
        </w:rPr>
        <w:t xml:space="preserve"> </w:t>
      </w:r>
      <w:r>
        <w:rPr>
          <w:rFonts w:ascii="Times New Roman;Times;serif" w:hAnsi="Times New Roman;Times;serif"/>
          <w:color w:val="231F20"/>
          <w:sz w:val="20"/>
        </w:rPr>
        <w:t>parent</w:t>
      </w:r>
      <w:r>
        <w:rPr>
          <w:rFonts w:ascii="Times New Roman;Times;serif" w:hAnsi="Times New Roman;Times;serif"/>
          <w:color w:val="231F20"/>
          <w:spacing w:val="-31"/>
          <w:sz w:val="20"/>
        </w:rPr>
        <w:t xml:space="preserve"> </w:t>
      </w:r>
      <w:r>
        <w:rPr>
          <w:rFonts w:ascii="Times New Roman;Times;serif" w:hAnsi="Times New Roman;Times;serif"/>
          <w:color w:val="231F20"/>
          <w:sz w:val="20"/>
        </w:rPr>
        <w:t>or</w:t>
      </w:r>
      <w:r>
        <w:rPr>
          <w:rFonts w:ascii="Times New Roman;Times;serif" w:hAnsi="Times New Roman;Times;serif"/>
          <w:color w:val="231F20"/>
          <w:spacing w:val="-31"/>
          <w:sz w:val="20"/>
        </w:rPr>
        <w:t xml:space="preserve"> </w:t>
      </w:r>
      <w:r>
        <w:rPr>
          <w:rFonts w:ascii="Times New Roman;Times;serif" w:hAnsi="Times New Roman;Times;serif"/>
          <w:color w:val="231F20"/>
          <w:sz w:val="20"/>
        </w:rPr>
        <w:t>subsidiary</w:t>
      </w:r>
      <w:r>
        <w:rPr>
          <w:rFonts w:ascii="Times New Roman;Times;serif" w:hAnsi="Times New Roman;Times;serif"/>
          <w:color w:val="231F20"/>
          <w:spacing w:val="-31"/>
          <w:sz w:val="20"/>
        </w:rPr>
        <w:t xml:space="preserve"> </w:t>
      </w:r>
      <w:r>
        <w:rPr>
          <w:rFonts w:ascii="Times New Roman;Times;serif" w:hAnsi="Times New Roman;Times;serif"/>
          <w:color w:val="231F20"/>
          <w:sz w:val="20"/>
        </w:rPr>
        <w:t>of</w:t>
      </w:r>
      <w:r>
        <w:rPr>
          <w:rFonts w:ascii="Times New Roman;Times;serif" w:hAnsi="Times New Roman;Times;serif"/>
          <w:color w:val="231F20"/>
          <w:spacing w:val="-20"/>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1"/>
          <w:sz w:val="20"/>
        </w:rPr>
        <w:t xml:space="preserve"> </w:t>
      </w:r>
      <w:r>
        <w:rPr>
          <w:rFonts w:ascii="Times New Roman;Times;serif" w:hAnsi="Times New Roman;Times;serif"/>
          <w:color w:val="231F20"/>
          <w:spacing w:val="-4"/>
          <w:sz w:val="20"/>
        </w:rPr>
        <w:t>Company,</w:t>
      </w:r>
      <w:r>
        <w:rPr>
          <w:rFonts w:ascii="Times New Roman;Times;serif" w:hAnsi="Times New Roman;Times;serif"/>
          <w:color w:val="231F20"/>
          <w:spacing w:val="-3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1"/>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31"/>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31"/>
          <w:sz w:val="20"/>
        </w:rPr>
        <w:t xml:space="preserve"> </w:t>
      </w:r>
      <w:r>
        <w:rPr>
          <w:rFonts w:ascii="Times New Roman;Times;serif" w:hAnsi="Times New Roman;Times;serif"/>
          <w:color w:val="231F20"/>
          <w:sz w:val="20"/>
        </w:rPr>
        <w:t>of</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31"/>
          <w:sz w:val="20"/>
        </w:rPr>
        <w:t xml:space="preserve"> </w:t>
      </w:r>
      <w:r>
        <w:rPr>
          <w:rFonts w:ascii="Times New Roman;Times;serif" w:hAnsi="Times New Roman;Times;serif"/>
          <w:color w:val="231F20"/>
          <w:sz w:val="20"/>
        </w:rPr>
        <w:t>incentive</w:t>
      </w:r>
      <w:r>
        <w:rPr>
          <w:rFonts w:ascii="Times New Roman;Times;serif" w:hAnsi="Times New Roman;Times;serif"/>
          <w:color w:val="231F20"/>
          <w:spacing w:val="-31"/>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31"/>
          <w:sz w:val="20"/>
        </w:rPr>
        <w:t xml:space="preserve"> </w:t>
      </w:r>
      <w:r>
        <w:rPr>
          <w:rFonts w:ascii="Times New Roman;Times;serif" w:hAnsi="Times New Roman;Times;serif"/>
          <w:color w:val="231F20"/>
          <w:sz w:val="20"/>
        </w:rPr>
        <w:t>option</w:t>
      </w:r>
      <w:r>
        <w:rPr>
          <w:rFonts w:ascii="Times New Roman;Times;serif" w:hAnsi="Times New Roman;Times;serif"/>
          <w:color w:val="231F20"/>
          <w:spacing w:val="-31"/>
          <w:sz w:val="20"/>
        </w:rPr>
        <w:t xml:space="preserve"> </w:t>
      </w:r>
      <w:r>
        <w:rPr>
          <w:rFonts w:ascii="Times New Roman;Times;serif" w:hAnsi="Times New Roman;Times;serif"/>
          <w:color w:val="231F20"/>
          <w:sz w:val="20"/>
        </w:rPr>
        <w:t xml:space="preserve">granted must equal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least 110% of the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on the grant date and the maximum term of these incentive</w:t>
      </w:r>
      <w:r>
        <w:rPr>
          <w:rFonts w:ascii="Times New Roman;Times;serif" w:hAnsi="Times New Roman;Times;serif"/>
          <w:color w:val="231F20"/>
          <w:spacing w:val="-24"/>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25"/>
          <w:sz w:val="20"/>
        </w:rPr>
        <w:t xml:space="preserve"> </w:t>
      </w:r>
      <w:r>
        <w:rPr>
          <w:rFonts w:ascii="Times New Roman;Times;serif" w:hAnsi="Times New Roman;Times;serif"/>
          <w:color w:val="231F20"/>
          <w:sz w:val="20"/>
        </w:rPr>
        <w:t>options</w:t>
      </w:r>
      <w:r>
        <w:rPr>
          <w:rFonts w:ascii="Times New Roman;Times;serif" w:hAnsi="Times New Roman;Times;serif"/>
          <w:color w:val="231F20"/>
          <w:spacing w:val="-24"/>
          <w:sz w:val="20"/>
        </w:rPr>
        <w:t xml:space="preserve"> </w:t>
      </w:r>
      <w:r>
        <w:rPr>
          <w:rFonts w:ascii="Times New Roman;Times;serif" w:hAnsi="Times New Roman;Times;serif"/>
          <w:color w:val="231F20"/>
          <w:sz w:val="20"/>
        </w:rPr>
        <w:t>must</w:t>
      </w:r>
      <w:r>
        <w:rPr>
          <w:rFonts w:ascii="Times New Roman;Times;serif" w:hAnsi="Times New Roman;Times;serif"/>
          <w:color w:val="231F20"/>
          <w:spacing w:val="-24"/>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4"/>
          <w:sz w:val="20"/>
        </w:rPr>
        <w:t xml:space="preserve"> </w:t>
      </w:r>
      <w:r>
        <w:rPr>
          <w:rFonts w:ascii="Times New Roman;Times;serif" w:hAnsi="Times New Roman;Times;serif"/>
          <w:color w:val="231F20"/>
          <w:sz w:val="20"/>
        </w:rPr>
        <w:t>exceed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five</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years.</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maximum</w:t>
      </w:r>
      <w:r>
        <w:rPr>
          <w:rFonts w:ascii="Times New Roman;Times;serif" w:hAnsi="Times New Roman;Times;serif"/>
          <w:color w:val="231F20"/>
          <w:spacing w:val="-24"/>
          <w:sz w:val="20"/>
        </w:rPr>
        <w:t xml:space="preserve"> </w:t>
      </w:r>
      <w:r>
        <w:rPr>
          <w:rFonts w:ascii="Times New Roman;Times;serif" w:hAnsi="Times New Roman;Times;serif"/>
          <w:color w:val="231F20"/>
          <w:sz w:val="20"/>
        </w:rPr>
        <w:t>term</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pacing w:val="-3"/>
          <w:sz w:val="20"/>
        </w:rPr>
        <w:t>all</w:t>
      </w:r>
      <w:r>
        <w:rPr>
          <w:rFonts w:ascii="Times New Roman;Times;serif" w:hAnsi="Times New Roman;Times;serif"/>
          <w:color w:val="231F20"/>
          <w:spacing w:val="-24"/>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4"/>
          <w:sz w:val="20"/>
        </w:rPr>
        <w:t xml:space="preserve"> </w:t>
      </w:r>
      <w:r>
        <w:rPr>
          <w:rFonts w:ascii="Times New Roman;Times;serif" w:hAnsi="Times New Roman;Times;serif"/>
          <w:color w:val="231F20"/>
          <w:spacing w:val="-4"/>
          <w:sz w:val="20"/>
        </w:rPr>
        <w:t>awards</w:t>
      </w:r>
      <w:r>
        <w:rPr>
          <w:rFonts w:ascii="Times New Roman;Times;serif" w:hAnsi="Times New Roman;Times;serif"/>
          <w:color w:val="231F20"/>
          <w:spacing w:val="-24"/>
          <w:sz w:val="20"/>
        </w:rPr>
        <w:t xml:space="preserve"> </w:t>
      </w:r>
      <w:r>
        <w:rPr>
          <w:rFonts w:ascii="Times New Roman;Times;serif" w:hAnsi="Times New Roman;Times;serif"/>
          <w:color w:val="231F20"/>
          <w:sz w:val="20"/>
        </w:rPr>
        <w:t>must</w:t>
      </w:r>
      <w:r>
        <w:rPr>
          <w:rFonts w:ascii="Times New Roman;Times;serif" w:hAnsi="Times New Roman;Times;serif"/>
          <w:color w:val="231F20"/>
          <w:spacing w:val="-24"/>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4"/>
          <w:sz w:val="20"/>
        </w:rPr>
        <w:t xml:space="preserve"> </w:t>
      </w:r>
      <w:r>
        <w:rPr>
          <w:rFonts w:ascii="Times New Roman;Times;serif" w:hAnsi="Times New Roman;Times;serif"/>
          <w:color w:val="231F20"/>
          <w:sz w:val="20"/>
        </w:rPr>
        <w:t xml:space="preserve">exceed 10 years (or 5 years in the case of an incentive stock option granted to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participant who owns stock representing more than 10% of the voting power of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classes of our stock or the stock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parent or subsidiary</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Company).</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23"/>
          <w:sz w:val="20"/>
        </w:rPr>
        <w:t xml:space="preserve"> </w:t>
      </w:r>
      <w:r>
        <w:rPr>
          <w:rFonts w:ascii="Times New Roman;Times;serif" w:hAnsi="Times New Roman;Times;serif"/>
          <w:color w:val="231F20"/>
          <w:sz w:val="20"/>
        </w:rPr>
        <w:t>administrator</w:t>
      </w:r>
      <w:r>
        <w:rPr>
          <w:rFonts w:ascii="Times New Roman;Times;serif" w:hAnsi="Times New Roman;Times;serif"/>
          <w:color w:val="231F20"/>
          <w:spacing w:val="-23"/>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23"/>
          <w:sz w:val="20"/>
        </w:rPr>
        <w:t xml:space="preserve"> </w:t>
      </w:r>
      <w:r>
        <w:rPr>
          <w:rFonts w:ascii="Times New Roman;Times;serif" w:hAnsi="Times New Roman;Times;serif"/>
          <w:color w:val="231F20"/>
          <w:sz w:val="20"/>
        </w:rPr>
        <w:t>determine</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23"/>
          <w:sz w:val="20"/>
        </w:rPr>
        <w:t xml:space="preserve"> </w:t>
      </w:r>
      <w:r>
        <w:rPr>
          <w:rFonts w:ascii="Times New Roman;Times;serif" w:hAnsi="Times New Roman;Times;serif"/>
          <w:color w:val="231F20"/>
          <w:sz w:val="20"/>
        </w:rPr>
        <w:t>purchase</w:t>
      </w:r>
      <w:r>
        <w:rPr>
          <w:rFonts w:ascii="Times New Roman;Times;serif" w:hAnsi="Times New Roman;Times;serif"/>
          <w:color w:val="231F20"/>
          <w:spacing w:val="-23"/>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23"/>
          <w:sz w:val="20"/>
        </w:rPr>
        <w:t xml:space="preserve"> </w:t>
      </w:r>
      <w:r>
        <w:rPr>
          <w:rFonts w:ascii="Times New Roman;Times;serif" w:hAnsi="Times New Roman;Times;serif"/>
          <w:color w:val="231F20"/>
          <w:sz w:val="20"/>
        </w:rPr>
        <w:t>(if</w:t>
      </w:r>
      <w:r>
        <w:rPr>
          <w:rFonts w:ascii="Times New Roman;Times;serif" w:hAnsi="Times New Roman;Times;serif"/>
          <w:color w:val="231F20"/>
          <w:spacing w:val="-11"/>
          <w:sz w:val="20"/>
        </w:rPr>
        <w:t xml:space="preserve"> </w:t>
      </w:r>
      <w:r>
        <w:rPr>
          <w:rFonts w:ascii="Times New Roman;Times;serif" w:hAnsi="Times New Roman;Times;serif"/>
          <w:color w:val="231F20"/>
          <w:sz w:val="20"/>
        </w:rPr>
        <w:t xml:space="preserve">any) of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other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granted under 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Plan.</w:t>
      </w:r>
    </w:p>
    <w:p>
      <w:pPr>
        <w:pStyle w:val="TextBody"/>
        <w:bidi w:val="0"/>
        <w:spacing w:before="0" w:after="200"/>
        <w:ind w:left="0" w:right="0" w:firstLine="399"/>
        <w:jc w:val="left"/>
        <w:rPr>
          <w:rFonts w:ascii="Times New Roman;Times;serif" w:hAnsi="Times New Roman;Times;serif"/>
          <w:color w:val="231F20"/>
          <w:sz w:val="20"/>
        </w:rPr>
      </w:pPr>
      <w:r>
        <w:rPr>
          <w:rFonts w:ascii="Times New Roman;Times;serif" w:hAnsi="Times New Roman;Times;serif"/>
          <w:color w:val="231F20"/>
          <w:sz w:val="20"/>
        </w:rPr>
        <w:t>Under the Plan, incentive stock options and options to Israeli grantees may not be sold, pledged, assigned, hypothecated, transferred, or disposed of in any manner other than by will or by the laws of descent or distribution and may be exercised during the lifetime of the participant only by the participant. Other awards shall be transferable by will or by the laws of descent or distribution and, during the lifetime of the grantee, to the extent and in the manner authorized by the plan administrator but only to the extent such transfers are made to family members, to family trusts, to family-controlled entities, to charitable organizations and pursuant to a domestic relations order or agreement. The Plan permits the designation of beneficiaries by holders of awards, including incentive stock options.</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z w:val="20"/>
        </w:rPr>
        <w:t>If</w:t>
      </w:r>
      <w:r>
        <w:rPr>
          <w:rFonts w:ascii="Times New Roman;Times;serif" w:hAnsi="Times New Roman;Times;serif"/>
          <w:color w:val="231F20"/>
          <w:spacing w:val="-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6"/>
          <w:sz w:val="20"/>
        </w:rPr>
        <w:t xml:space="preserve"> </w:t>
      </w:r>
      <w:r>
        <w:rPr>
          <w:rFonts w:ascii="Times New Roman;Times;serif" w:hAnsi="Times New Roman;Times;serif"/>
          <w:color w:val="231F20"/>
          <w:sz w:val="20"/>
        </w:rPr>
        <w:t>service</w:t>
      </w:r>
      <w:r>
        <w:rPr>
          <w:rFonts w:ascii="Times New Roman;Times;serif" w:hAnsi="Times New Roman;Times;serif"/>
          <w:color w:val="231F20"/>
          <w:spacing w:val="-1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
          <w:sz w:val="20"/>
        </w:rPr>
        <w:t xml:space="preserve"> </w:t>
      </w:r>
      <w:r>
        <w:rPr>
          <w:rFonts w:ascii="Times New Roman;Times;serif" w:hAnsi="Times New Roman;Times;serif"/>
          <w:color w:val="231F20"/>
          <w:sz w:val="20"/>
        </w:rPr>
        <w:t>a</w:t>
      </w:r>
      <w:r>
        <w:rPr>
          <w:rFonts w:ascii="Times New Roman;Times;serif" w:hAnsi="Times New Roman;Times;serif"/>
          <w:color w:val="231F20"/>
          <w:spacing w:val="-16"/>
          <w:sz w:val="20"/>
        </w:rPr>
        <w:t xml:space="preserve"> </w:t>
      </w:r>
      <w:r>
        <w:rPr>
          <w:rFonts w:ascii="Times New Roman;Times;serif" w:hAnsi="Times New Roman;Times;serif"/>
          <w:color w:val="231F20"/>
          <w:sz w:val="20"/>
        </w:rPr>
        <w:t>participant</w:t>
      </w:r>
      <w:r>
        <w:rPr>
          <w:rFonts w:ascii="Times New Roman;Times;serif" w:hAnsi="Times New Roman;Times;serif"/>
          <w:color w:val="231F20"/>
          <w:spacing w:val="-16"/>
          <w:sz w:val="20"/>
        </w:rPr>
        <w:t xml:space="preserve"> </w:t>
      </w:r>
      <w:r>
        <w:rPr>
          <w:rFonts w:ascii="Times New Roman;Times;serif" w:hAnsi="Times New Roman;Times;serif"/>
          <w:color w:val="231F20"/>
          <w:sz w:val="20"/>
        </w:rPr>
        <w:t>in</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6"/>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16"/>
          <w:sz w:val="20"/>
        </w:rPr>
        <w:t xml:space="preserve"> </w:t>
      </w:r>
      <w:r>
        <w:rPr>
          <w:rFonts w:ascii="Times New Roman;Times;serif" w:hAnsi="Times New Roman;Times;serif"/>
          <w:color w:val="231F20"/>
          <w:sz w:val="20"/>
        </w:rPr>
        <w:t>is</w:t>
      </w:r>
      <w:r>
        <w:rPr>
          <w:rFonts w:ascii="Times New Roman;Times;serif" w:hAnsi="Times New Roman;Times;serif"/>
          <w:color w:val="231F20"/>
          <w:spacing w:val="-16"/>
          <w:sz w:val="20"/>
        </w:rPr>
        <w:t xml:space="preserve"> </w:t>
      </w:r>
      <w:r>
        <w:rPr>
          <w:rFonts w:ascii="Times New Roman;Times;serif" w:hAnsi="Times New Roman;Times;serif"/>
          <w:color w:val="231F20"/>
          <w:sz w:val="20"/>
        </w:rPr>
        <w:t>terminated</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6"/>
          <w:sz w:val="20"/>
        </w:rPr>
        <w:t xml:space="preserve"> </w:t>
      </w:r>
      <w:r>
        <w:rPr>
          <w:rFonts w:ascii="Times New Roman;Times;serif" w:hAnsi="Times New Roman;Times;serif"/>
          <w:color w:val="231F20"/>
          <w:sz w:val="20"/>
        </w:rPr>
        <w:t>reason</w:t>
      </w:r>
      <w:r>
        <w:rPr>
          <w:rFonts w:ascii="Times New Roman;Times;serif" w:hAnsi="Times New Roman;Times;serif"/>
          <w:color w:val="231F20"/>
          <w:spacing w:val="-16"/>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than</w:t>
      </w:r>
      <w:r>
        <w:rPr>
          <w:rFonts w:ascii="Times New Roman;Times;serif" w:hAnsi="Times New Roman;Times;serif"/>
          <w:color w:val="231F20"/>
          <w:spacing w:val="-16"/>
          <w:sz w:val="20"/>
        </w:rPr>
        <w:t xml:space="preserve"> </w:t>
      </w:r>
      <w:r>
        <w:rPr>
          <w:rFonts w:ascii="Times New Roman;Times;serif" w:hAnsi="Times New Roman;Times;serif"/>
          <w:color w:val="231F20"/>
          <w:sz w:val="20"/>
        </w:rPr>
        <w:t>cause,</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6"/>
          <w:sz w:val="20"/>
        </w:rPr>
        <w:t xml:space="preserve"> </w:t>
      </w:r>
      <w:r>
        <w:rPr>
          <w:rFonts w:ascii="Times New Roman;Times;serif" w:hAnsi="Times New Roman;Times;serif"/>
          <w:color w:val="231F20"/>
          <w:sz w:val="20"/>
        </w:rPr>
        <w:t xml:space="preserve">participant </w:t>
      </w:r>
      <w:r>
        <w:rPr>
          <w:rFonts w:ascii="Times New Roman;Times;serif" w:hAnsi="Times New Roman;Times;serif"/>
          <w:color w:val="231F20"/>
          <w:spacing w:val="-3"/>
          <w:sz w:val="20"/>
        </w:rPr>
        <w:t>may</w:t>
      </w:r>
      <w:r>
        <w:rPr>
          <w:rFonts w:ascii="Times New Roman;Times;serif" w:hAnsi="Times New Roman;Times;serif"/>
          <w:color w:val="231F20"/>
          <w:spacing w:val="-12"/>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11"/>
          <w:sz w:val="20"/>
        </w:rPr>
        <w:t xml:space="preserve"> </w:t>
      </w:r>
      <w:r>
        <w:rPr>
          <w:rFonts w:ascii="Times New Roman;Times;serif" w:hAnsi="Times New Roman;Times;serif"/>
          <w:color w:val="231F20"/>
          <w:spacing w:val="-4"/>
          <w:sz w:val="20"/>
        </w:rPr>
        <w:t>awards</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11"/>
          <w:sz w:val="20"/>
        </w:rPr>
        <w:t xml:space="preserve"> </w:t>
      </w:r>
      <w:r>
        <w:rPr>
          <w:rFonts w:ascii="Times New Roman;Times;serif" w:hAnsi="Times New Roman;Times;serif"/>
          <w:color w:val="231F20"/>
          <w:sz w:val="20"/>
        </w:rPr>
        <w:t>were</w:t>
      </w:r>
      <w:r>
        <w:rPr>
          <w:rFonts w:ascii="Times New Roman;Times;serif" w:hAnsi="Times New Roman;Times;serif"/>
          <w:color w:val="231F20"/>
          <w:spacing w:val="-11"/>
          <w:sz w:val="20"/>
        </w:rPr>
        <w:t xml:space="preserve"> </w:t>
      </w:r>
      <w:r>
        <w:rPr>
          <w:rFonts w:ascii="Times New Roman;Times;serif" w:hAnsi="Times New Roman;Times;serif"/>
          <w:color w:val="231F20"/>
          <w:sz w:val="20"/>
        </w:rPr>
        <w:t>vested</w:t>
      </w:r>
      <w:r>
        <w:rPr>
          <w:rFonts w:ascii="Times New Roman;Times;serif" w:hAnsi="Times New Roman;Times;serif"/>
          <w:color w:val="231F20"/>
          <w:spacing w:val="-11"/>
          <w:sz w:val="20"/>
        </w:rPr>
        <w:t xml:space="preserve"> </w:t>
      </w:r>
      <w:r>
        <w:rPr>
          <w:rFonts w:ascii="Times New Roman;Times;serif" w:hAnsi="Times New Roman;Times;serif"/>
          <w:color w:val="231F20"/>
          <w:sz w:val="20"/>
        </w:rPr>
        <w:t>as</w:t>
      </w:r>
      <w:r>
        <w:rPr>
          <w:rFonts w:ascii="Times New Roman;Times;serif" w:hAnsi="Times New Roman;Times;serif"/>
          <w:color w:val="231F20"/>
          <w:spacing w:val="-11"/>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1"/>
          <w:sz w:val="20"/>
        </w:rPr>
        <w:t xml:space="preserve"> </w:t>
      </w:r>
      <w:r>
        <w:rPr>
          <w:rFonts w:ascii="Times New Roman;Times;serif" w:hAnsi="Times New Roman;Times;serif"/>
          <w:color w:val="231F20"/>
          <w:sz w:val="20"/>
        </w:rPr>
        <w:t>termination</w:t>
      </w:r>
      <w:r>
        <w:rPr>
          <w:rFonts w:ascii="Times New Roman;Times;serif" w:hAnsi="Times New Roman;Times;serif"/>
          <w:color w:val="231F20"/>
          <w:spacing w:val="-11"/>
          <w:sz w:val="20"/>
        </w:rPr>
        <w:t xml:space="preserve"> </w:t>
      </w:r>
      <w:r>
        <w:rPr>
          <w:rFonts w:ascii="Times New Roman;Times;serif" w:hAnsi="Times New Roman;Times;serif"/>
          <w:color w:val="231F20"/>
          <w:sz w:val="20"/>
        </w:rPr>
        <w:t>date</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1"/>
          <w:sz w:val="20"/>
        </w:rPr>
        <w:t xml:space="preserve"> </w:t>
      </w:r>
      <w:r>
        <w:rPr>
          <w:rFonts w:ascii="Times New Roman;Times;serif" w:hAnsi="Times New Roman;Times;serif"/>
          <w:color w:val="231F20"/>
          <w:sz w:val="20"/>
        </w:rPr>
        <w:t>a</w:t>
      </w:r>
      <w:r>
        <w:rPr>
          <w:rFonts w:ascii="Times New Roman;Times;serif" w:hAnsi="Times New Roman;Times;serif"/>
          <w:color w:val="231F20"/>
          <w:spacing w:val="-11"/>
          <w:sz w:val="20"/>
        </w:rPr>
        <w:t xml:space="preserve"> </w:t>
      </w:r>
      <w:r>
        <w:rPr>
          <w:rFonts w:ascii="Times New Roman;Times;serif" w:hAnsi="Times New Roman;Times;serif"/>
          <w:color w:val="231F20"/>
          <w:sz w:val="20"/>
        </w:rPr>
        <w:t>period</w:t>
      </w:r>
      <w:r>
        <w:rPr>
          <w:rFonts w:ascii="Times New Roman;Times;serif" w:hAnsi="Times New Roman;Times;serif"/>
          <w:color w:val="231F20"/>
          <w:spacing w:val="-11"/>
          <w:sz w:val="20"/>
        </w:rPr>
        <w:t xml:space="preserve"> </w:t>
      </w:r>
      <w:r>
        <w:rPr>
          <w:rFonts w:ascii="Times New Roman;Times;serif" w:hAnsi="Times New Roman;Times;serif"/>
          <w:color w:val="231F20"/>
          <w:sz w:val="20"/>
        </w:rPr>
        <w:t>ending</w:t>
      </w:r>
      <w:r>
        <w:rPr>
          <w:rFonts w:ascii="Times New Roman;Times;serif" w:hAnsi="Times New Roman;Times;serif"/>
          <w:color w:val="231F20"/>
          <w:spacing w:val="-11"/>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1"/>
          <w:sz w:val="20"/>
        </w:rPr>
        <w:t xml:space="preserve"> </w:t>
      </w:r>
      <w:r>
        <w:rPr>
          <w:rFonts w:ascii="Times New Roman;Times;serif" w:hAnsi="Times New Roman;Times;serif"/>
          <w:color w:val="231F20"/>
          <w:sz w:val="20"/>
        </w:rPr>
        <w:t>earlier</w:t>
      </w:r>
      <w:r>
        <w:rPr>
          <w:rFonts w:ascii="Times New Roman;Times;serif" w:hAnsi="Times New Roman;Times;serif"/>
          <w:color w:val="231F20"/>
          <w:spacing w:val="-11"/>
          <w:sz w:val="20"/>
        </w:rPr>
        <w:t xml:space="preserve"> </w:t>
      </w:r>
      <w:r>
        <w:rPr>
          <w:rFonts w:ascii="Times New Roman;Times;serif" w:hAnsi="Times New Roman;Times;serif"/>
          <w:color w:val="231F20"/>
          <w:sz w:val="20"/>
        </w:rPr>
        <w:t>of 12</w:t>
      </w:r>
      <w:r>
        <w:rPr>
          <w:rFonts w:ascii="Times New Roman;Times;serif" w:hAnsi="Times New Roman;Times;serif"/>
          <w:color w:val="231F20"/>
          <w:spacing w:val="-19"/>
          <w:sz w:val="20"/>
        </w:rPr>
        <w:t xml:space="preserve"> </w:t>
      </w:r>
      <w:r>
        <w:rPr>
          <w:rFonts w:ascii="Times New Roman;Times;serif" w:hAnsi="Times New Roman;Times;serif"/>
          <w:color w:val="231F20"/>
          <w:sz w:val="20"/>
        </w:rPr>
        <w:t>months</w:t>
      </w:r>
      <w:r>
        <w:rPr>
          <w:rFonts w:ascii="Times New Roman;Times;serif" w:hAnsi="Times New Roman;Times;serif"/>
          <w:color w:val="231F20"/>
          <w:spacing w:val="-18"/>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date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termination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19"/>
          <w:sz w:val="20"/>
        </w:rPr>
        <w:t xml:space="preserve"> </w:t>
      </w:r>
      <w:r>
        <w:rPr>
          <w:rFonts w:ascii="Times New Roman;Times;serif" w:hAnsi="Times New Roman;Times;serif"/>
          <w:color w:val="231F20"/>
          <w:sz w:val="20"/>
        </w:rPr>
        <w:t>shorter</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longer</w:t>
      </w:r>
      <w:r>
        <w:rPr>
          <w:rFonts w:ascii="Times New Roman;Times;serif" w:hAnsi="Times New Roman;Times;serif"/>
          <w:color w:val="231F20"/>
          <w:spacing w:val="-18"/>
          <w:sz w:val="20"/>
        </w:rPr>
        <w:t xml:space="preserve"> </w:t>
      </w:r>
      <w:r>
        <w:rPr>
          <w:rFonts w:ascii="Times New Roman;Times;serif" w:hAnsi="Times New Roman;Times;serif"/>
          <w:color w:val="231F20"/>
          <w:sz w:val="20"/>
        </w:rPr>
        <w:t>period</w:t>
      </w:r>
      <w:r>
        <w:rPr>
          <w:rFonts w:ascii="Times New Roman;Times;serif" w:hAnsi="Times New Roman;Times;serif"/>
          <w:color w:val="231F20"/>
          <w:spacing w:val="-18"/>
          <w:sz w:val="20"/>
        </w:rPr>
        <w:t xml:space="preserve"> </w:t>
      </w:r>
      <w:r>
        <w:rPr>
          <w:rFonts w:ascii="Times New Roman;Times;serif" w:hAnsi="Times New Roman;Times;serif"/>
          <w:color w:val="231F20"/>
          <w:sz w:val="20"/>
        </w:rPr>
        <w:t>set</w:t>
      </w:r>
      <w:r>
        <w:rPr>
          <w:rFonts w:ascii="Times New Roman;Times;serif" w:hAnsi="Times New Roman;Times;serif"/>
          <w:color w:val="231F20"/>
          <w:spacing w:val="-19"/>
          <w:sz w:val="20"/>
        </w:rPr>
        <w:t xml:space="preserve"> </w:t>
      </w:r>
      <w:r>
        <w:rPr>
          <w:rFonts w:ascii="Times New Roman;Times;serif" w:hAnsi="Times New Roman;Times;serif"/>
          <w:color w:val="231F20"/>
          <w:sz w:val="20"/>
        </w:rPr>
        <w:t>forth</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pacing w:val="-4"/>
          <w:sz w:val="20"/>
        </w:rPr>
        <w:t>award</w:t>
      </w:r>
      <w:r>
        <w:rPr>
          <w:rFonts w:ascii="Times New Roman;Times;serif" w:hAnsi="Times New Roman;Times;serif"/>
          <w:color w:val="231F20"/>
          <w:spacing w:val="-19"/>
          <w:sz w:val="20"/>
        </w:rPr>
        <w:t xml:space="preserve"> </w:t>
      </w:r>
      <w:r>
        <w:rPr>
          <w:rFonts w:ascii="Times New Roman;Times;serif" w:hAnsi="Times New Roman;Times;serif"/>
          <w:color w:val="231F20"/>
          <w:sz w:val="20"/>
        </w:rPr>
        <w:t>agreement) 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expiration</w:t>
      </w:r>
      <w:r>
        <w:rPr>
          <w:rFonts w:ascii="Times New Roman;Times;serif" w:hAnsi="Times New Roman;Times;serif"/>
          <w:color w:val="231F20"/>
          <w:spacing w:val="-20"/>
          <w:sz w:val="20"/>
        </w:rPr>
        <w:t xml:space="preserve"> </w:t>
      </w:r>
      <w:r>
        <w:rPr>
          <w:rFonts w:ascii="Times New Roman;Times;serif" w:hAnsi="Times New Roman;Times;serif"/>
          <w:color w:val="231F20"/>
          <w:sz w:val="20"/>
        </w:rPr>
        <w:t>date</w:t>
      </w:r>
      <w:r>
        <w:rPr>
          <w:rFonts w:ascii="Times New Roman;Times;serif" w:hAnsi="Times New Roman;Times;serif"/>
          <w:color w:val="231F20"/>
          <w:spacing w:val="-20"/>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pacing w:val="-4"/>
          <w:sz w:val="20"/>
        </w:rPr>
        <w:t>awards</w:t>
      </w:r>
      <w:r>
        <w:rPr>
          <w:rFonts w:ascii="Times New Roman;Times;serif" w:hAnsi="Times New Roman;Times;serif"/>
          <w:color w:val="231F20"/>
          <w:spacing w:val="-20"/>
          <w:sz w:val="20"/>
        </w:rPr>
        <w:t xml:space="preserve"> </w:t>
      </w:r>
      <w:r>
        <w:rPr>
          <w:rFonts w:ascii="Times New Roman;Times;serif" w:hAnsi="Times New Roman;Times;serif"/>
          <w:color w:val="231F20"/>
          <w:sz w:val="20"/>
        </w:rPr>
        <w:t>unless</w:t>
      </w:r>
      <w:r>
        <w:rPr>
          <w:rFonts w:ascii="Times New Roman;Times;serif" w:hAnsi="Times New Roman;Times;serif"/>
          <w:color w:val="231F20"/>
          <w:spacing w:val="-20"/>
          <w:sz w:val="20"/>
        </w:rPr>
        <w:t xml:space="preserve"> </w:t>
      </w:r>
      <w:r>
        <w:rPr>
          <w:rFonts w:ascii="Times New Roman;Times;serif" w:hAnsi="Times New Roman;Times;serif"/>
          <w:color w:val="231F20"/>
          <w:sz w:val="20"/>
        </w:rPr>
        <w:t>otherwise</w:t>
      </w:r>
      <w:r>
        <w:rPr>
          <w:rFonts w:ascii="Times New Roman;Times;serif" w:hAnsi="Times New Roman;Times;serif"/>
          <w:color w:val="231F20"/>
          <w:spacing w:val="-20"/>
          <w:sz w:val="20"/>
        </w:rPr>
        <w:t xml:space="preserve"> </w:t>
      </w:r>
      <w:r>
        <w:rPr>
          <w:rFonts w:ascii="Times New Roman;Times;serif" w:hAnsi="Times New Roman;Times;serif"/>
          <w:color w:val="231F20"/>
          <w:sz w:val="20"/>
        </w:rPr>
        <w:t>determined</w:t>
      </w:r>
      <w:r>
        <w:rPr>
          <w:rFonts w:ascii="Times New Roman;Times;serif" w:hAnsi="Times New Roman;Times;serif"/>
          <w:color w:val="231F20"/>
          <w:spacing w:val="-20"/>
          <w:sz w:val="20"/>
        </w:rPr>
        <w:t xml:space="preserve"> </w:t>
      </w:r>
      <w:r>
        <w:rPr>
          <w:rFonts w:ascii="Times New Roman;Times;serif" w:hAnsi="Times New Roman;Times;serif"/>
          <w:color w:val="231F20"/>
          <w:sz w:val="20"/>
        </w:rPr>
        <w:t>by</w:t>
      </w:r>
      <w:r>
        <w:rPr>
          <w:rFonts w:ascii="Times New Roman;Times;serif" w:hAnsi="Times New Roman;Times;serif"/>
          <w:color w:val="231F20"/>
          <w:spacing w:val="-2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20"/>
          <w:sz w:val="20"/>
        </w:rPr>
        <w:t xml:space="preserve"> </w:t>
      </w:r>
      <w:r>
        <w:rPr>
          <w:rFonts w:ascii="Times New Roman;Times;serif" w:hAnsi="Times New Roman;Times;serif"/>
          <w:color w:val="231F20"/>
          <w:sz w:val="20"/>
        </w:rPr>
        <w:t>administrator.</w:t>
      </w:r>
      <w:r>
        <w:rPr>
          <w:rFonts w:ascii="Times New Roman;Times;serif" w:hAnsi="Times New Roman;Times;serif"/>
          <w:color w:val="231F20"/>
          <w:spacing w:val="-20"/>
          <w:sz w:val="20"/>
        </w:rPr>
        <w:t xml:space="preserve"> </w:t>
      </w:r>
      <w:r>
        <w:rPr>
          <w:rFonts w:ascii="Times New Roman;Times;serif" w:hAnsi="Times New Roman;Times;serif"/>
          <w:color w:val="231F20"/>
          <w:sz w:val="20"/>
        </w:rPr>
        <w:t>If</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service of</w:t>
      </w:r>
      <w:r>
        <w:rPr>
          <w:rFonts w:ascii="Times New Roman;Times;serif" w:hAnsi="Times New Roman;Times;serif"/>
          <w:color w:val="231F20"/>
          <w:spacing w:val="-8"/>
          <w:sz w:val="20"/>
        </w:rPr>
        <w:t xml:space="preserve"> </w:t>
      </w:r>
      <w:r>
        <w:rPr>
          <w:rFonts w:ascii="Times New Roman;Times;serif" w:hAnsi="Times New Roman;Times;serif"/>
          <w:color w:val="231F20"/>
          <w:sz w:val="20"/>
        </w:rPr>
        <w:t>a</w:t>
      </w:r>
      <w:r>
        <w:rPr>
          <w:rFonts w:ascii="Times New Roman;Times;serif" w:hAnsi="Times New Roman;Times;serif"/>
          <w:color w:val="231F20"/>
          <w:spacing w:val="-20"/>
          <w:sz w:val="20"/>
        </w:rPr>
        <w:t xml:space="preserve"> </w:t>
      </w:r>
      <w:r>
        <w:rPr>
          <w:rFonts w:ascii="Times New Roman;Times;serif" w:hAnsi="Times New Roman;Times;serif"/>
          <w:color w:val="231F20"/>
          <w:sz w:val="20"/>
        </w:rPr>
        <w:t>participant</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w:t>
      </w:r>
      <w:r>
        <w:rPr>
          <w:rFonts w:ascii="Times New Roman;Times;serif" w:hAnsi="Times New Roman;Times;serif"/>
          <w:color w:val="231F20"/>
          <w:spacing w:val="-2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1"/>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21"/>
          <w:sz w:val="20"/>
        </w:rPr>
        <w:t xml:space="preserve"> </w:t>
      </w:r>
      <w:r>
        <w:rPr>
          <w:rFonts w:ascii="Times New Roman;Times;serif" w:hAnsi="Times New Roman;Times;serif"/>
          <w:color w:val="231F20"/>
          <w:sz w:val="20"/>
        </w:rPr>
        <w:t>is</w:t>
      </w:r>
      <w:r>
        <w:rPr>
          <w:rFonts w:ascii="Times New Roman;Times;serif" w:hAnsi="Times New Roman;Times;serif"/>
          <w:color w:val="231F20"/>
          <w:spacing w:val="-20"/>
          <w:sz w:val="20"/>
        </w:rPr>
        <w:t xml:space="preserve"> </w:t>
      </w:r>
      <w:r>
        <w:rPr>
          <w:rFonts w:ascii="Times New Roman;Times;serif" w:hAnsi="Times New Roman;Times;serif"/>
          <w:color w:val="231F20"/>
          <w:sz w:val="20"/>
        </w:rPr>
        <w:t>terminated</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0"/>
          <w:sz w:val="20"/>
        </w:rPr>
        <w:t xml:space="preserve"> </w:t>
      </w:r>
      <w:r>
        <w:rPr>
          <w:rFonts w:ascii="Times New Roman;Times;serif" w:hAnsi="Times New Roman;Times;serif"/>
          <w:color w:val="231F20"/>
          <w:sz w:val="20"/>
        </w:rPr>
        <w:t>cause,</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participant</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0"/>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21"/>
          <w:sz w:val="20"/>
        </w:rPr>
        <w:t xml:space="preserve"> </w:t>
      </w:r>
      <w:r>
        <w:rPr>
          <w:rFonts w:ascii="Times New Roman;Times;serif" w:hAnsi="Times New Roman;Times;serif"/>
          <w:color w:val="231F20"/>
          <w:spacing w:val="-4"/>
          <w:sz w:val="20"/>
        </w:rPr>
        <w:t>awards</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0"/>
          <w:sz w:val="20"/>
        </w:rPr>
        <w:t xml:space="preserve"> </w:t>
      </w:r>
      <w:r>
        <w:rPr>
          <w:rFonts w:ascii="Times New Roman;Times;serif" w:hAnsi="Times New Roman;Times;serif"/>
          <w:color w:val="231F20"/>
          <w:sz w:val="20"/>
        </w:rPr>
        <w:t>were</w:t>
      </w:r>
      <w:r>
        <w:rPr>
          <w:rFonts w:ascii="Times New Roman;Times;serif" w:hAnsi="Times New Roman;Times;serif"/>
          <w:color w:val="231F20"/>
          <w:spacing w:val="-21"/>
          <w:sz w:val="20"/>
        </w:rPr>
        <w:t xml:space="preserve"> </w:t>
      </w:r>
      <w:r>
        <w:rPr>
          <w:rFonts w:ascii="Times New Roman;Times;serif" w:hAnsi="Times New Roman;Times;serif"/>
          <w:color w:val="231F20"/>
          <w:sz w:val="20"/>
        </w:rPr>
        <w:t>vested</w:t>
      </w:r>
      <w:r>
        <w:rPr>
          <w:rFonts w:ascii="Times New Roman;Times;serif" w:hAnsi="Times New Roman;Times;serif"/>
          <w:color w:val="231F20"/>
          <w:spacing w:val="-20"/>
          <w:sz w:val="20"/>
        </w:rPr>
        <w:t xml:space="preserve"> </w:t>
      </w:r>
      <w:r>
        <w:rPr>
          <w:rFonts w:ascii="Times New Roman;Times;serif" w:hAnsi="Times New Roman;Times;serif"/>
          <w:color w:val="231F20"/>
          <w:sz w:val="20"/>
        </w:rPr>
        <w:t>as of</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termination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date</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a</w:t>
      </w:r>
      <w:r>
        <w:rPr>
          <w:rFonts w:ascii="Times New Roman;Times;serif" w:hAnsi="Times New Roman;Times;serif"/>
          <w:color w:val="231F20"/>
          <w:spacing w:val="-19"/>
          <w:sz w:val="20"/>
        </w:rPr>
        <w:t xml:space="preserve"> </w:t>
      </w:r>
      <w:r>
        <w:rPr>
          <w:rFonts w:ascii="Times New Roman;Times;serif" w:hAnsi="Times New Roman;Times;serif"/>
          <w:color w:val="231F20"/>
          <w:sz w:val="20"/>
        </w:rPr>
        <w:t>period</w:t>
      </w:r>
      <w:r>
        <w:rPr>
          <w:rFonts w:ascii="Times New Roman;Times;serif" w:hAnsi="Times New Roman;Times;serif"/>
          <w:color w:val="231F20"/>
          <w:spacing w:val="-19"/>
          <w:sz w:val="20"/>
        </w:rPr>
        <w:t xml:space="preserve"> </w:t>
      </w:r>
      <w:r>
        <w:rPr>
          <w:rFonts w:ascii="Times New Roman;Times;serif" w:hAnsi="Times New Roman;Times;serif"/>
          <w:color w:val="231F20"/>
          <w:sz w:val="20"/>
        </w:rPr>
        <w:t>ending</w:t>
      </w:r>
      <w:r>
        <w:rPr>
          <w:rFonts w:ascii="Times New Roman;Times;serif" w:hAnsi="Times New Roman;Times;serif"/>
          <w:color w:val="231F20"/>
          <w:spacing w:val="-19"/>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earlier</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5"/>
          <w:sz w:val="20"/>
        </w:rPr>
        <w:t xml:space="preserve"> </w:t>
      </w:r>
      <w:r>
        <w:rPr>
          <w:rFonts w:ascii="Times New Roman;Times;serif" w:hAnsi="Times New Roman;Times;serif"/>
          <w:color w:val="231F20"/>
          <w:sz w:val="20"/>
        </w:rPr>
        <w:t>14</w:t>
      </w:r>
      <w:r>
        <w:rPr>
          <w:rFonts w:ascii="Times New Roman;Times;serif" w:hAnsi="Times New Roman;Times;serif"/>
          <w:color w:val="231F20"/>
          <w:spacing w:val="-19"/>
          <w:sz w:val="20"/>
        </w:rPr>
        <w:t xml:space="preserve"> </w:t>
      </w:r>
      <w:r>
        <w:rPr>
          <w:rFonts w:ascii="Times New Roman;Times;serif" w:hAnsi="Times New Roman;Times;serif"/>
          <w:color w:val="231F20"/>
          <w:sz w:val="20"/>
        </w:rPr>
        <w:t>days</w:t>
      </w:r>
      <w:r>
        <w:rPr>
          <w:rFonts w:ascii="Times New Roman;Times;serif" w:hAnsi="Times New Roman;Times;serif"/>
          <w:color w:val="231F20"/>
          <w:spacing w:val="-19"/>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9"/>
          <w:sz w:val="20"/>
        </w:rPr>
        <w:t xml:space="preserve"> </w:t>
      </w:r>
      <w:r>
        <w:rPr>
          <w:rFonts w:ascii="Times New Roman;Times;serif" w:hAnsi="Times New Roman;Times;serif"/>
          <w:color w:val="231F20"/>
          <w:sz w:val="20"/>
        </w:rPr>
        <w:t>date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5"/>
          <w:sz w:val="20"/>
        </w:rPr>
        <w:t xml:space="preserve"> </w:t>
      </w:r>
      <w:r>
        <w:rPr>
          <w:rFonts w:ascii="Times New Roman;Times;serif" w:hAnsi="Times New Roman;Times;serif"/>
          <w:color w:val="231F20"/>
          <w:sz w:val="20"/>
        </w:rPr>
        <w:t>termination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 xml:space="preserve">such </w:t>
      </w:r>
      <w:r>
        <w:rPr>
          <w:rFonts w:ascii="Times New Roman;Times;serif" w:hAnsi="Times New Roman;Times;serif"/>
          <w:color w:val="231F20"/>
          <w:sz w:val="20"/>
        </w:rPr>
        <w:t xml:space="preserve">shorter or longer period set forth in the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agreement) or the expiration date of the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unless otherwise determined by the plan</w:t>
      </w:r>
      <w:r>
        <w:rPr>
          <w:rFonts w:ascii="Times New Roman;Times;serif" w:hAnsi="Times New Roman;Times;serif"/>
          <w:color w:val="231F20"/>
          <w:spacing w:val="-36"/>
          <w:sz w:val="20"/>
        </w:rPr>
        <w:t xml:space="preserve"> </w:t>
      </w:r>
      <w:r>
        <w:rPr>
          <w:rFonts w:ascii="Times New Roman;Times;serif" w:hAnsi="Times New Roman;Times;serif"/>
          <w:color w:val="231F20"/>
          <w:sz w:val="20"/>
        </w:rPr>
        <w:t>administrator.</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b/>
          <w:i/>
          <w:color w:val="231F20"/>
          <w:sz w:val="20"/>
        </w:rPr>
        <w:t>Corporate Transaction and Change in Control</w:t>
      </w:r>
      <w:r>
        <w:rPr>
          <w:rFonts w:ascii="Times New Roman;Times;serif" w:hAnsi="Times New Roman;Times;serif"/>
          <w:b/>
          <w:color w:val="231F20"/>
          <w:sz w:val="20"/>
        </w:rPr>
        <w:t>.</w:t>
      </w:r>
      <w:r>
        <w:rPr>
          <w:rFonts w:ascii="Times New Roman;Times;serif" w:hAnsi="Times New Roman;Times;serif"/>
          <w:color w:val="231F20"/>
          <w:spacing w:val="4"/>
          <w:sz w:val="20"/>
        </w:rPr>
        <w:t xml:space="preserve"> </w:t>
      </w:r>
      <w:r>
        <w:rPr>
          <w:rFonts w:ascii="Times New Roman;Times;serif" w:hAnsi="Times New Roman;Times;serif"/>
          <w:color w:val="231F20"/>
          <w:sz w:val="20"/>
        </w:rPr>
        <w:t xml:space="preserve">In the event of a corporate transaction,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outstanding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 xml:space="preserve">will terminate unless assumed or replaced by the successor corporation. Unless otherwise provided in a participant’s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agreement, in the event of a corporate transaction and with respect to the portion of each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that is assumed or replaced, such portion will automatically become fully vested and exercisable immediately upon termination of a participant’s service if the participant is terminated by the successor company or us without cause within 12 months after the corporate transaction. With respect to </w:t>
      </w:r>
      <w:r>
        <w:rPr>
          <w:rFonts w:ascii="Times New Roman;Times;serif" w:hAnsi="Times New Roman;Times;serif"/>
          <w:color w:val="231F20"/>
          <w:spacing w:val="-5"/>
          <w:sz w:val="20"/>
        </w:rPr>
        <w:t xml:space="preserve">the </w:t>
      </w:r>
      <w:r>
        <w:rPr>
          <w:rFonts w:ascii="Times New Roman;Times;serif" w:hAnsi="Times New Roman;Times;serif"/>
          <w:color w:val="231F20"/>
          <w:sz w:val="20"/>
        </w:rPr>
        <w:t xml:space="preserve">portion of each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that is not assumed or replaced, such portion of the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will automatically become fully vested and exercisable immediately prior to the effective date of the corporate transaction so long as the participant’s service has not been terminated prior to such</w:t>
      </w:r>
      <w:r>
        <w:rPr>
          <w:rFonts w:ascii="Times New Roman;Times;serif" w:hAnsi="Times New Roman;Times;serif"/>
          <w:color w:val="231F20"/>
          <w:spacing w:val="-28"/>
          <w:sz w:val="20"/>
        </w:rPr>
        <w:t xml:space="preserve"> </w:t>
      </w:r>
      <w:r>
        <w:rPr>
          <w:rFonts w:ascii="Times New Roman;Times;serif" w:hAnsi="Times New Roman;Times;serif"/>
          <w:color w:val="231F20"/>
          <w:spacing w:val="-4"/>
          <w:sz w:val="20"/>
        </w:rPr>
        <w:t>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00"/>
        <w:ind w:left="0" w:right="0" w:firstLine="399"/>
        <w:jc w:val="left"/>
        <w:rPr>
          <w:rFonts w:ascii="Times New Roman;Times;serif" w:hAnsi="Times New Roman;Times;serif"/>
          <w:color w:val="231F20"/>
          <w:sz w:val="20"/>
        </w:rPr>
      </w:pPr>
      <w:r>
        <w:rPr>
          <w:rFonts w:ascii="Times New Roman;Times;serif" w:hAnsi="Times New Roman;Times;serif"/>
          <w:color w:val="231F20"/>
          <w:sz w:val="20"/>
        </w:rPr>
        <w:t>In the event of a change in control, except as otherwise provided in a participant’s award agreement, following a change in control (other than a change in control that also is a corporate transaction) and upon the termination of a participant’s service without cause within 12 months after a change in control, each award of such participant that is outstanding at such time will automatically become fully vested and exercisable immediately upon the participant’s termination.</w:t>
      </w:r>
    </w:p>
    <w:p>
      <w:pPr>
        <w:pStyle w:val="TextBody"/>
        <w:bidi w:val="0"/>
        <w:spacing w:before="0" w:after="200"/>
        <w:ind w:left="0" w:right="0" w:firstLine="403"/>
        <w:jc w:val="left"/>
        <w:rPr>
          <w:rFonts w:ascii="Times New Roman;Times;serif" w:hAnsi="Times New Roman;Times;serif"/>
          <w:color w:val="231F20"/>
          <w:sz w:val="20"/>
        </w:rPr>
      </w:pPr>
      <w:r>
        <w:rPr>
          <w:rFonts w:ascii="Times New Roman;Times;serif" w:hAnsi="Times New Roman;Times;serif"/>
          <w:color w:val="231F20"/>
          <w:sz w:val="20"/>
        </w:rPr>
        <w:t>Under the Plan, a corporate transaction is generally defined as:</w:t>
      </w:r>
    </w:p>
    <w:p>
      <w:pPr>
        <w:pStyle w:val="TextBody"/>
        <w:bidi w:val="0"/>
        <w:spacing w:before="0" w:after="200"/>
        <w:ind w:left="720" w:right="0" w:hanging="0"/>
        <w:jc w:val="left"/>
        <w:rPr/>
      </w:pPr>
      <w:r>
        <w:rPr>
          <w:color w:val="231F20"/>
        </w:rPr>
        <w:t>•</w:t>
      </w:r>
      <w:r>
        <w:rPr>
          <w:rFonts w:ascii="Times New Roman;Times;serif" w:hAnsi="Times New Roman;Times;serif"/>
          <w:color w:val="231F20"/>
          <w:sz w:val="20"/>
        </w:rPr>
        <w:t>a merger or consolidation in which we are not the surviving entity, except for the principal purpose of changing our Company’s state of incorporation;</w:t>
      </w:r>
    </w:p>
    <w:p>
      <w:pPr>
        <w:pStyle w:val="TextBody"/>
        <w:bidi w:val="0"/>
        <w:spacing w:before="0" w:after="200"/>
        <w:ind w:left="720" w:right="0" w:hanging="0"/>
        <w:jc w:val="left"/>
        <w:rPr/>
      </w:pPr>
      <w:r>
        <w:rPr>
          <w:color w:val="231F20"/>
        </w:rPr>
        <w:t>•</w:t>
      </w:r>
      <w:r>
        <w:rPr>
          <w:rFonts w:ascii="Times New Roman;Times;serif" w:hAnsi="Times New Roman;Times;serif"/>
          <w:color w:val="231F20"/>
          <w:sz w:val="20"/>
        </w:rPr>
        <w:t>the sale, transfer, or other disposition of all or substantially all of our assets;</w:t>
      </w:r>
    </w:p>
    <w:p>
      <w:pPr>
        <w:pStyle w:val="TextBody"/>
        <w:bidi w:val="0"/>
        <w:spacing w:before="0" w:after="200"/>
        <w:ind w:left="720" w:right="0" w:hanging="0"/>
        <w:jc w:val="left"/>
        <w:rPr/>
      </w:pPr>
      <w:r>
        <w:rPr>
          <w:color w:val="231F20"/>
        </w:rPr>
        <w:t>•</w:t>
      </w:r>
      <w:r>
        <w:rPr>
          <w:rFonts w:ascii="Times New Roman;Times;serif" w:hAnsi="Times New Roman;Times;serif"/>
          <w:color w:val="231F20"/>
          <w:sz w:val="20"/>
        </w:rPr>
        <w:t>the complete liquidation or dissolution of our Company;</w:t>
      </w:r>
    </w:p>
    <w:p>
      <w:pPr>
        <w:pStyle w:val="TextBody"/>
        <w:bidi w:val="0"/>
        <w:spacing w:before="0" w:after="200"/>
        <w:ind w:left="720" w:right="0" w:hanging="0"/>
        <w:jc w:val="left"/>
        <w:rPr/>
      </w:pPr>
      <w:r>
        <w:rPr>
          <w:color w:val="231F20"/>
        </w:rPr>
        <w:t>•</w:t>
      </w:r>
      <w:r>
        <w:rPr>
          <w:rFonts w:ascii="Times New Roman;Times;serif" w:hAnsi="Times New Roman;Times;serif"/>
          <w:color w:val="231F20"/>
          <w:sz w:val="20"/>
        </w:rPr>
        <w:t>any reverse merger in which we are the surviving entity but our shares of common stock outstanding immediately prior to such merger are converted or exchanged by virtue of the merger into other property, whether in the form of securities, cash or otherwise, or in which securities possessing more than forty percent (40%) of the total combined voting power of our outstanding securities are transferred to a person or persons different from those who held such securities immediately prior to such merger; or</w:t>
      </w:r>
    </w:p>
    <w:p>
      <w:pPr>
        <w:pStyle w:val="TextBody"/>
        <w:bidi w:val="0"/>
        <w:ind w:left="720" w:right="0" w:hanging="0"/>
        <w:jc w:val="left"/>
        <w:rPr/>
      </w:pPr>
      <w:r>
        <w:rPr>
          <w:color w:val="231F20"/>
        </w:rPr>
        <w:t>•</w:t>
      </w:r>
      <w:r>
        <w:rPr>
          <w:rFonts w:ascii="Times New Roman;Times;serif" w:hAnsi="Times New Roman;Times;serif"/>
          <w:color w:val="231F20"/>
          <w:sz w:val="20"/>
        </w:rPr>
        <w:t>acquisition in a single or series of related transactions by any person or related group of persons (other than by the Company or by a Company-sponsored employee benefit plan) of beneficial ownership of securities possessing more than fifty percent (50%) of the total combined voting power of our outstanding securities but excluding any such transaction or series of related transactions that the plan administrator determines not to be a corporate transaction (provided however that the plan administrator shall have no discretion in connection with a corporate transaction for the purchase of all or substantially all of our shares unless the principal purpose of such transaction is changing our Company’s state of incorporation).</w:t>
      </w:r>
    </w:p>
    <w:p>
      <w:pPr>
        <w:pStyle w:val="TextBody"/>
        <w:bidi w:val="0"/>
        <w:spacing w:before="0" w:after="200"/>
        <w:ind w:left="0" w:right="0" w:firstLine="403"/>
        <w:jc w:val="left"/>
        <w:rPr>
          <w:rFonts w:ascii="Times New Roman;Times;serif" w:hAnsi="Times New Roman;Times;serif"/>
          <w:color w:val="231F20"/>
          <w:sz w:val="20"/>
        </w:rPr>
      </w:pPr>
      <w:r>
        <w:rPr>
          <w:rFonts w:ascii="Times New Roman;Times;serif" w:hAnsi="Times New Roman;Times;serif"/>
          <w:color w:val="231F20"/>
          <w:sz w:val="20"/>
        </w:rPr>
        <w:t>Under the Plan, a change of control is defined as:</w:t>
      </w:r>
    </w:p>
    <w:p>
      <w:pPr>
        <w:pStyle w:val="TextBody"/>
        <w:bidi w:val="0"/>
        <w:spacing w:before="0" w:after="200"/>
        <w:ind w:left="720" w:right="0" w:hanging="0"/>
        <w:jc w:val="left"/>
        <w:rPr/>
      </w:pPr>
      <w:r>
        <w:rPr>
          <w:color w:val="231F20"/>
        </w:rPr>
        <w:t>•</w:t>
      </w:r>
      <w:r>
        <w:rPr>
          <w:rFonts w:ascii="Times New Roman;Times;serif" w:hAnsi="Times New Roman;Times;serif"/>
          <w:color w:val="231F20"/>
          <w:sz w:val="20"/>
        </w:rPr>
        <w:t xml:space="preserve">the direct or indirect acquisition by any person or related group of persons of beneficial ownership of securities possessing more than fifty percent (50%) of the total combined voting power of our outstanding securities pursuant to a tender or exchange offer made directly to our stockholders and which a majority of the members of our Board of Directors </w:t>
      </w:r>
      <w:r>
        <w:rPr>
          <w:rFonts w:ascii="Times New Roman;Times;serif" w:hAnsi="Times New Roman;Times;serif"/>
          <w:sz w:val="20"/>
        </w:rPr>
        <w:t>(who have generally been on our Board of Directors for at least 12 months or who have been on our Board of Directors for less than 12 months but who were elected or nominated for election to our Board of Directors by a majority of the members who have been on our Board of Directors for more than 12 months</w:t>
      </w:r>
      <w:r>
        <w:rPr>
          <w:rFonts w:ascii="Times New Roman;Times;serif" w:hAnsi="Times New Roman;Times;serif"/>
          <w:color w:val="231F20"/>
          <w:sz w:val="20"/>
        </w:rPr>
        <w:t>) who are not affiliates or associates of the offeror do not recommend stockholders accept the offer; or</w:t>
      </w:r>
    </w:p>
    <w:p>
      <w:pPr>
        <w:pStyle w:val="TextBody"/>
        <w:bidi w:val="0"/>
        <w:ind w:left="720" w:right="0" w:hanging="0"/>
        <w:jc w:val="left"/>
        <w:rPr/>
      </w:pPr>
      <w:r>
        <w:rPr>
          <w:color w:val="231F20"/>
        </w:rPr>
        <w:t>•</w:t>
      </w:r>
      <w:r>
        <w:rPr>
          <w:rFonts w:ascii="Times New Roman;Times;serif" w:hAnsi="Times New Roman;Times;serif"/>
          <w:color w:val="231F20"/>
          <w:sz w:val="20"/>
        </w:rPr>
        <w:t>a change in the composition of our Board of Directors over a period of 12 months or less, such that a majority of the members of our Board of Directors ceases, by reason of one or more contested elections for board membership, to be comprised of individuals who were previously directors of our Company.</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b/>
          <w:i/>
          <w:color w:val="231F20"/>
          <w:sz w:val="20"/>
        </w:rPr>
        <w:t>Amendment,</w:t>
      </w:r>
      <w:r>
        <w:rPr>
          <w:rFonts w:ascii="Times New Roman;Times;serif" w:hAnsi="Times New Roman;Times;serif"/>
          <w:color w:val="231F20"/>
          <w:spacing w:val="-33"/>
          <w:sz w:val="20"/>
        </w:rPr>
        <w:t xml:space="preserve"> </w:t>
      </w:r>
      <w:r>
        <w:rPr>
          <w:rFonts w:ascii="Times New Roman;Times;serif" w:hAnsi="Times New Roman;Times;serif"/>
          <w:b/>
          <w:i/>
          <w:color w:val="231F20"/>
          <w:sz w:val="20"/>
        </w:rPr>
        <w:t>Suspension,</w:t>
      </w:r>
      <w:r>
        <w:rPr>
          <w:rFonts w:ascii="Times New Roman;Times;serif" w:hAnsi="Times New Roman;Times;serif"/>
          <w:color w:val="231F20"/>
          <w:spacing w:val="-32"/>
          <w:sz w:val="20"/>
        </w:rPr>
        <w:t xml:space="preserve"> </w:t>
      </w:r>
      <w:r>
        <w:rPr>
          <w:rFonts w:ascii="Times New Roman;Times;serif" w:hAnsi="Times New Roman;Times;serif"/>
          <w:b/>
          <w:i/>
          <w:color w:val="231F20"/>
          <w:sz w:val="20"/>
        </w:rPr>
        <w:t>and</w:t>
      </w:r>
      <w:r>
        <w:rPr>
          <w:rFonts w:ascii="Times New Roman;Times;serif" w:hAnsi="Times New Roman;Times;serif"/>
          <w:color w:val="231F20"/>
          <w:spacing w:val="-32"/>
          <w:sz w:val="20"/>
        </w:rPr>
        <w:t xml:space="preserve"> </w:t>
      </w:r>
      <w:r>
        <w:rPr>
          <w:rFonts w:ascii="Times New Roman;Times;serif" w:hAnsi="Times New Roman;Times;serif"/>
          <w:b/>
          <w:i/>
          <w:color w:val="231F20"/>
          <w:sz w:val="20"/>
        </w:rPr>
        <w:t>Termination.</w:t>
      </w:r>
      <w:r>
        <w:rPr>
          <w:rFonts w:ascii="Times New Roman;Times;serif" w:hAnsi="Times New Roman;Times;serif"/>
          <w:color w:val="231F20"/>
          <w:spacing w:val="38"/>
          <w:sz w:val="20"/>
        </w:rPr>
        <w:t xml:space="preserve"> </w:t>
      </w:r>
      <w:r>
        <w:rPr>
          <w:rFonts w:ascii="Times New Roman;Times;serif" w:hAnsi="Times New Roman;Times;serif"/>
          <w:color w:val="231F20"/>
          <w:sz w:val="20"/>
        </w:rPr>
        <w:t xml:space="preserve">Our Board of Directors </w:t>
      </w:r>
      <w:r>
        <w:rPr>
          <w:rFonts w:ascii="Times New Roman;Times;serif" w:hAnsi="Times New Roman;Times;serif"/>
          <w:color w:val="231F20"/>
          <w:spacing w:val="-3"/>
          <w:sz w:val="20"/>
        </w:rPr>
        <w:t>may</w:t>
      </w:r>
      <w:r>
        <w:rPr>
          <w:rFonts w:ascii="Times New Roman;Times;serif" w:hAnsi="Times New Roman;Times;serif"/>
          <w:color w:val="231F20"/>
          <w:spacing w:val="-32"/>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33"/>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32"/>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32"/>
          <w:sz w:val="20"/>
        </w:rPr>
        <w:t xml:space="preserve"> </w:t>
      </w:r>
      <w:r>
        <w:rPr>
          <w:rFonts w:ascii="Times New Roman;Times;serif" w:hAnsi="Times New Roman;Times;serif"/>
          <w:color w:val="231F20"/>
          <w:sz w:val="20"/>
        </w:rPr>
        <w:t>amend,</w:t>
      </w:r>
      <w:r>
        <w:rPr>
          <w:rFonts w:ascii="Times New Roman;Times;serif" w:hAnsi="Times New Roman;Times;serif"/>
          <w:color w:val="231F20"/>
          <w:spacing w:val="-32"/>
          <w:sz w:val="20"/>
        </w:rPr>
        <w:t xml:space="preserve"> </w:t>
      </w:r>
      <w:r>
        <w:rPr>
          <w:rFonts w:ascii="Times New Roman;Times;serif" w:hAnsi="Times New Roman;Times;serif"/>
          <w:color w:val="231F20"/>
          <w:sz w:val="20"/>
        </w:rPr>
        <w:t>suspend,</w:t>
      </w:r>
      <w:r>
        <w:rPr>
          <w:rFonts w:ascii="Times New Roman;Times;serif" w:hAnsi="Times New Roman;Times;serif"/>
          <w:color w:val="231F20"/>
          <w:spacing w:val="-32"/>
          <w:sz w:val="20"/>
        </w:rPr>
        <w:t xml:space="preserve"> </w:t>
      </w:r>
      <w:r>
        <w:rPr>
          <w:rFonts w:ascii="Times New Roman;Times;serif" w:hAnsi="Times New Roman;Times;serif"/>
          <w:color w:val="231F20"/>
          <w:sz w:val="20"/>
        </w:rPr>
        <w:t>or</w:t>
      </w:r>
      <w:r>
        <w:rPr>
          <w:rFonts w:ascii="Times New Roman;Times;serif" w:hAnsi="Times New Roman;Times;serif"/>
          <w:color w:val="231F20"/>
          <w:spacing w:val="-32"/>
          <w:sz w:val="20"/>
        </w:rPr>
        <w:t xml:space="preserve"> </w:t>
      </w:r>
      <w:r>
        <w:rPr>
          <w:rFonts w:ascii="Times New Roman;Times;serif" w:hAnsi="Times New Roman;Times;serif"/>
          <w:color w:val="231F20"/>
          <w:sz w:val="20"/>
        </w:rPr>
        <w:t>terminate the</w:t>
      </w:r>
      <w:r>
        <w:rPr>
          <w:rFonts w:ascii="Times New Roman;Times;serif" w:hAnsi="Times New Roman;Times;serif"/>
          <w:color w:val="231F20"/>
          <w:spacing w:val="-22"/>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provided,</w:t>
      </w:r>
      <w:r>
        <w:rPr>
          <w:rFonts w:ascii="Times New Roman;Times;serif" w:hAnsi="Times New Roman;Times;serif"/>
          <w:color w:val="231F20"/>
          <w:spacing w:val="-22"/>
          <w:sz w:val="20"/>
        </w:rPr>
        <w:t xml:space="preserve"> </w:t>
      </w:r>
      <w:r>
        <w:rPr>
          <w:rFonts w:ascii="Times New Roman;Times;serif" w:hAnsi="Times New Roman;Times;serif"/>
          <w:color w:val="231F20"/>
          <w:spacing w:val="-5"/>
          <w:sz w:val="20"/>
        </w:rPr>
        <w:t>however,</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2"/>
          <w:sz w:val="20"/>
        </w:rPr>
        <w:t xml:space="preserve"> </w:t>
      </w:r>
      <w:r>
        <w:rPr>
          <w:rFonts w:ascii="Times New Roman;Times;serif" w:hAnsi="Times New Roman;Times;serif"/>
          <w:color w:val="231F20"/>
          <w:sz w:val="20"/>
        </w:rPr>
        <w:t>no</w:t>
      </w:r>
      <w:r>
        <w:rPr>
          <w:rFonts w:ascii="Times New Roman;Times;serif" w:hAnsi="Times New Roman;Times;serif"/>
          <w:color w:val="231F20"/>
          <w:spacing w:val="-21"/>
          <w:sz w:val="20"/>
        </w:rPr>
        <w:t xml:space="preserve"> </w:t>
      </w:r>
      <w:r>
        <w:rPr>
          <w:rFonts w:ascii="Times New Roman;Times;serif" w:hAnsi="Times New Roman;Times;serif"/>
          <w:color w:val="231F20"/>
          <w:sz w:val="20"/>
        </w:rPr>
        <w:t>amendment</w:t>
      </w:r>
      <w:r>
        <w:rPr>
          <w:rFonts w:ascii="Times New Roman;Times;serif" w:hAnsi="Times New Roman;Times;serif"/>
          <w:color w:val="231F20"/>
          <w:spacing w:val="-21"/>
          <w:sz w:val="20"/>
        </w:rPr>
        <w:t xml:space="preserve"> </w:t>
      </w:r>
      <w:r>
        <w:rPr>
          <w:rFonts w:ascii="Times New Roman;Times;serif" w:hAnsi="Times New Roman;Times;serif"/>
          <w:color w:val="231F20"/>
          <w:sz w:val="20"/>
        </w:rPr>
        <w:t>shall</w:t>
      </w:r>
      <w:r>
        <w:rPr>
          <w:rFonts w:ascii="Times New Roman;Times;serif" w:hAnsi="Times New Roman;Times;serif"/>
          <w:color w:val="231F20"/>
          <w:spacing w:val="-22"/>
          <w:sz w:val="20"/>
        </w:rPr>
        <w:t xml:space="preserve"> </w:t>
      </w:r>
      <w:r>
        <w:rPr>
          <w:rFonts w:ascii="Times New Roman;Times;serif" w:hAnsi="Times New Roman;Times;serif"/>
          <w:color w:val="231F20"/>
          <w:sz w:val="20"/>
        </w:rPr>
        <w:t>be</w:t>
      </w:r>
      <w:r>
        <w:rPr>
          <w:rFonts w:ascii="Times New Roman;Times;serif" w:hAnsi="Times New Roman;Times;serif"/>
          <w:color w:val="231F20"/>
          <w:spacing w:val="-21"/>
          <w:sz w:val="20"/>
        </w:rPr>
        <w:t xml:space="preserve"> </w:t>
      </w:r>
      <w:r>
        <w:rPr>
          <w:rFonts w:ascii="Times New Roman;Times;serif" w:hAnsi="Times New Roman;Times;serif"/>
          <w:color w:val="231F20"/>
          <w:sz w:val="20"/>
        </w:rPr>
        <w:t>made</w:t>
      </w:r>
      <w:r>
        <w:rPr>
          <w:rFonts w:ascii="Times New Roman;Times;serif" w:hAnsi="Times New Roman;Times;serif"/>
          <w:color w:val="231F20"/>
          <w:spacing w:val="-22"/>
          <w:sz w:val="20"/>
        </w:rPr>
        <w:t xml:space="preserve"> </w:t>
      </w:r>
      <w:r>
        <w:rPr>
          <w:rFonts w:ascii="Times New Roman;Times;serif" w:hAnsi="Times New Roman;Times;serif"/>
          <w:color w:val="231F20"/>
          <w:sz w:val="20"/>
        </w:rPr>
        <w:t>without</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2"/>
          <w:sz w:val="20"/>
        </w:rPr>
        <w:t xml:space="preserve"> </w:t>
      </w:r>
      <w:r>
        <w:rPr>
          <w:rFonts w:ascii="Times New Roman;Times;serif" w:hAnsi="Times New Roman;Times;serif"/>
          <w:color w:val="231F20"/>
          <w:spacing w:val="-4"/>
          <w:sz w:val="20"/>
        </w:rPr>
        <w:t>approval</w:t>
      </w:r>
      <w:r>
        <w:rPr>
          <w:rFonts w:ascii="Times New Roman;Times;serif" w:hAnsi="Times New Roman;Times;serif"/>
          <w:color w:val="231F20"/>
          <w:spacing w:val="-21"/>
          <w:sz w:val="20"/>
        </w:rPr>
        <w:t xml:space="preserve"> </w:t>
      </w:r>
      <w:r>
        <w:rPr>
          <w:rFonts w:ascii="Times New Roman;Times;serif" w:hAnsi="Times New Roman;Times;serif"/>
          <w:color w:val="231F20"/>
          <w:sz w:val="20"/>
        </w:rPr>
        <w:t>of</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 xml:space="preserve">Company’s </w:t>
      </w:r>
      <w:r>
        <w:rPr>
          <w:rFonts w:ascii="Times New Roman;Times;serif" w:hAnsi="Times New Roman;Times;serif"/>
          <w:color w:val="231F20"/>
          <w:sz w:val="20"/>
        </w:rPr>
        <w:t xml:space="preserve">stockholders if such amendment would require stockholder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under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other applicable </w:t>
      </w:r>
      <w:r>
        <w:rPr>
          <w:rFonts w:ascii="Times New Roman;Times;serif" w:hAnsi="Times New Roman;Times;serif"/>
          <w:color w:val="231F20"/>
          <w:spacing w:val="-5"/>
          <w:sz w:val="20"/>
        </w:rPr>
        <w:t xml:space="preserve">law </w:t>
      </w:r>
      <w:r>
        <w:rPr>
          <w:rFonts w:ascii="Times New Roman;Times;serif" w:hAnsi="Times New Roman;Times;serif"/>
          <w:color w:val="231F20"/>
          <w:sz w:val="20"/>
        </w:rPr>
        <w:t>or regulation.</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9"/>
          <w:sz w:val="20"/>
        </w:rPr>
        <w:t xml:space="preserve"> </w:t>
      </w:r>
      <w:r>
        <w:rPr>
          <w:rFonts w:ascii="Times New Roman;Times;serif" w:hAnsi="Times New Roman;Times;serif"/>
          <w:color w:val="231F20"/>
          <w:sz w:val="20"/>
        </w:rPr>
        <w:t>amendment,</w:t>
      </w:r>
      <w:r>
        <w:rPr>
          <w:rFonts w:ascii="Times New Roman;Times;serif" w:hAnsi="Times New Roman;Times;serif"/>
          <w:color w:val="231F20"/>
          <w:spacing w:val="-20"/>
          <w:sz w:val="20"/>
        </w:rPr>
        <w:t xml:space="preserve"> </w:t>
      </w:r>
      <w:r>
        <w:rPr>
          <w:rFonts w:ascii="Times New Roman;Times;serif" w:hAnsi="Times New Roman;Times;serif"/>
          <w:color w:val="231F20"/>
          <w:sz w:val="20"/>
        </w:rPr>
        <w:t>suspension,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or</w:t>
      </w:r>
      <w:r>
        <w:rPr>
          <w:rFonts w:ascii="Times New Roman;Times;serif" w:hAnsi="Times New Roman;Times;serif"/>
          <w:color w:val="231F20"/>
          <w:spacing w:val="-20"/>
          <w:sz w:val="20"/>
        </w:rPr>
        <w:t xml:space="preserve"> </w:t>
      </w:r>
      <w:r>
        <w:rPr>
          <w:rFonts w:ascii="Times New Roman;Times;serif" w:hAnsi="Times New Roman;Times;serif"/>
          <w:color w:val="231F20"/>
          <w:sz w:val="20"/>
        </w:rPr>
        <w:t>termination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9"/>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9"/>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9"/>
          <w:sz w:val="20"/>
        </w:rPr>
        <w:t xml:space="preserve"> </w:t>
      </w:r>
      <w:r>
        <w:rPr>
          <w:rFonts w:ascii="Times New Roman;Times;serif" w:hAnsi="Times New Roman;Times;serif"/>
          <w:color w:val="231F20"/>
          <w:sz w:val="20"/>
        </w:rPr>
        <w:t>adversely</w:t>
      </w:r>
      <w:r>
        <w:rPr>
          <w:rFonts w:ascii="Times New Roman;Times;serif" w:hAnsi="Times New Roman;Times;serif"/>
          <w:color w:val="231F20"/>
          <w:spacing w:val="-20"/>
          <w:sz w:val="20"/>
        </w:rPr>
        <w:t xml:space="preserve"> </w:t>
      </w:r>
      <w:r>
        <w:rPr>
          <w:rFonts w:ascii="Times New Roman;Times;serif" w:hAnsi="Times New Roman;Times;serif"/>
          <w:color w:val="231F20"/>
          <w:sz w:val="20"/>
        </w:rPr>
        <w:t>affect</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rights</w:t>
      </w:r>
      <w:r>
        <w:rPr>
          <w:rFonts w:ascii="Times New Roman;Times;serif" w:hAnsi="Times New Roman;Times;serif"/>
          <w:color w:val="231F20"/>
          <w:spacing w:val="-19"/>
          <w:sz w:val="20"/>
        </w:rPr>
        <w:t xml:space="preserve"> </w:t>
      </w:r>
      <w:r>
        <w:rPr>
          <w:rFonts w:ascii="Times New Roman;Times;serif" w:hAnsi="Times New Roman;Times;serif"/>
          <w:color w:val="231F20"/>
          <w:sz w:val="20"/>
        </w:rPr>
        <w:t xml:space="preserve">of </w:t>
      </w:r>
      <w:r>
        <w:rPr>
          <w:rFonts w:ascii="Times New Roman;Times;serif" w:hAnsi="Times New Roman;Times;serif"/>
          <w:color w:val="231F20"/>
          <w:spacing w:val="-3"/>
          <w:sz w:val="20"/>
        </w:rPr>
        <w:t>any</w:t>
      </w:r>
      <w:r>
        <w:rPr>
          <w:rFonts w:ascii="Times New Roman;Times;serif" w:hAnsi="Times New Roman;Times;serif"/>
          <w:color w:val="231F20"/>
          <w:spacing w:val="-31"/>
          <w:sz w:val="20"/>
        </w:rPr>
        <w:t xml:space="preserve"> </w:t>
      </w:r>
      <w:r>
        <w:rPr>
          <w:rFonts w:ascii="Times New Roman;Times;serif" w:hAnsi="Times New Roman;Times;serif"/>
          <w:color w:val="231F20"/>
          <w:sz w:val="20"/>
        </w:rPr>
        <w:t>participant</w:t>
      </w:r>
      <w:r>
        <w:rPr>
          <w:rFonts w:ascii="Times New Roman;Times;serif" w:hAnsi="Times New Roman;Times;serif"/>
          <w:color w:val="231F20"/>
          <w:spacing w:val="-30"/>
          <w:sz w:val="20"/>
        </w:rPr>
        <w:t xml:space="preserve"> </w:t>
      </w:r>
      <w:r>
        <w:rPr>
          <w:rFonts w:ascii="Times New Roman;Times;serif" w:hAnsi="Times New Roman;Times;serif"/>
          <w:color w:val="231F20"/>
          <w:sz w:val="20"/>
        </w:rPr>
        <w:t>under</w:t>
      </w:r>
      <w:r>
        <w:rPr>
          <w:rFonts w:ascii="Times New Roman;Times;serif" w:hAnsi="Times New Roman;Times;serif"/>
          <w:color w:val="231F20"/>
          <w:spacing w:val="-31"/>
          <w:sz w:val="20"/>
        </w:rPr>
        <w:t xml:space="preserve"> </w:t>
      </w:r>
      <w:r>
        <w:rPr>
          <w:rFonts w:ascii="Times New Roman;Times;serif" w:hAnsi="Times New Roman;Times;serif"/>
          <w:color w:val="231F20"/>
          <w:sz w:val="20"/>
        </w:rPr>
        <w:t>an</w:t>
      </w:r>
      <w:r>
        <w:rPr>
          <w:rFonts w:ascii="Times New Roman;Times;serif" w:hAnsi="Times New Roman;Times;serif"/>
          <w:color w:val="231F20"/>
          <w:spacing w:val="-30"/>
          <w:sz w:val="20"/>
        </w:rPr>
        <w:t xml:space="preserve"> </w:t>
      </w:r>
      <w:r>
        <w:rPr>
          <w:rFonts w:ascii="Times New Roman;Times;serif" w:hAnsi="Times New Roman;Times;serif"/>
          <w:color w:val="231F20"/>
          <w:sz w:val="20"/>
        </w:rPr>
        <w:t>outstanding</w:t>
      </w:r>
      <w:r>
        <w:rPr>
          <w:rFonts w:ascii="Times New Roman;Times;serif" w:hAnsi="Times New Roman;Times;serif"/>
          <w:color w:val="231F20"/>
          <w:spacing w:val="-30"/>
          <w:sz w:val="20"/>
        </w:rPr>
        <w:t xml:space="preserve"> </w:t>
      </w:r>
      <w:r>
        <w:rPr>
          <w:rFonts w:ascii="Times New Roman;Times;serif" w:hAnsi="Times New Roman;Times;serif"/>
          <w:color w:val="231F20"/>
          <w:spacing w:val="-4"/>
          <w:sz w:val="20"/>
        </w:rPr>
        <w:t>award</w:t>
      </w:r>
      <w:r>
        <w:rPr>
          <w:rFonts w:ascii="Times New Roman;Times;serif" w:hAnsi="Times New Roman;Times;serif"/>
          <w:color w:val="231F20"/>
          <w:spacing w:val="-31"/>
          <w:sz w:val="20"/>
        </w:rPr>
        <w:t xml:space="preserve"> </w:t>
      </w:r>
      <w:r>
        <w:rPr>
          <w:rFonts w:ascii="Times New Roman;Times;serif" w:hAnsi="Times New Roman;Times;serif"/>
          <w:color w:val="231F20"/>
          <w:sz w:val="20"/>
        </w:rPr>
        <w:t>(unless</w:t>
      </w:r>
      <w:r>
        <w:rPr>
          <w:rFonts w:ascii="Times New Roman;Times;serif" w:hAnsi="Times New Roman;Times;serif"/>
          <w:color w:val="231F20"/>
          <w:spacing w:val="-30"/>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30"/>
          <w:sz w:val="20"/>
        </w:rPr>
        <w:t xml:space="preserve"> </w:t>
      </w:r>
      <w:r>
        <w:rPr>
          <w:rFonts w:ascii="Times New Roman;Times;serif" w:hAnsi="Times New Roman;Times;serif"/>
          <w:color w:val="231F20"/>
          <w:sz w:val="20"/>
        </w:rPr>
        <w:t>participant’s</w:t>
      </w:r>
      <w:r>
        <w:rPr>
          <w:rFonts w:ascii="Times New Roman;Times;serif" w:hAnsi="Times New Roman;Times;serif"/>
          <w:color w:val="231F20"/>
          <w:spacing w:val="-31"/>
          <w:sz w:val="20"/>
        </w:rPr>
        <w:t xml:space="preserve"> </w:t>
      </w:r>
      <w:r>
        <w:rPr>
          <w:rFonts w:ascii="Times New Roman;Times;serif" w:hAnsi="Times New Roman;Times;serif"/>
          <w:color w:val="231F20"/>
          <w:sz w:val="20"/>
        </w:rPr>
        <w:t>consent</w:t>
      </w:r>
      <w:r>
        <w:rPr>
          <w:rFonts w:ascii="Times New Roman;Times;serif" w:hAnsi="Times New Roman;Times;serif"/>
          <w:color w:val="231F20"/>
          <w:spacing w:val="-30"/>
          <w:sz w:val="20"/>
        </w:rPr>
        <w:t xml:space="preserve"> </w:t>
      </w:r>
      <w:r>
        <w:rPr>
          <w:rFonts w:ascii="Times New Roman;Times;serif" w:hAnsi="Times New Roman;Times;serif"/>
          <w:color w:val="231F20"/>
          <w:sz w:val="20"/>
        </w:rPr>
        <w:t>is</w:t>
      </w:r>
      <w:r>
        <w:rPr>
          <w:rFonts w:ascii="Times New Roman;Times;serif" w:hAnsi="Times New Roman;Times;serif"/>
          <w:color w:val="231F20"/>
          <w:spacing w:val="-30"/>
          <w:sz w:val="20"/>
        </w:rPr>
        <w:t xml:space="preserve"> </w:t>
      </w:r>
      <w:r>
        <w:rPr>
          <w:rFonts w:ascii="Times New Roman;Times;serif" w:hAnsi="Times New Roman;Times;serif"/>
          <w:color w:val="231F20"/>
          <w:sz w:val="20"/>
        </w:rPr>
        <w:t>obtained).</w:t>
      </w:r>
      <w:r>
        <w:rPr>
          <w:rFonts w:ascii="Times New Roman;Times;serif" w:hAnsi="Times New Roman;Times;serif"/>
          <w:color w:val="231F20"/>
          <w:spacing w:val="-31"/>
          <w:sz w:val="20"/>
        </w:rPr>
        <w:t xml:space="preserve"> </w:t>
      </w:r>
      <w:r>
        <w:rPr>
          <w:rFonts w:ascii="Times New Roman;Times;serif" w:hAnsi="Times New Roman;Times;serif"/>
          <w:color w:val="231F20"/>
          <w:sz w:val="20"/>
        </w:rPr>
        <w:t>Notwithstanding the</w:t>
      </w:r>
      <w:r>
        <w:rPr>
          <w:rFonts w:ascii="Times New Roman;Times;serif" w:hAnsi="Times New Roman;Times;serif"/>
          <w:color w:val="231F20"/>
          <w:spacing w:val="-19"/>
          <w:sz w:val="20"/>
        </w:rPr>
        <w:t xml:space="preserve"> </w:t>
      </w:r>
      <w:r>
        <w:rPr>
          <w:rFonts w:ascii="Times New Roman;Times;serif" w:hAnsi="Times New Roman;Times;serif"/>
          <w:color w:val="231F20"/>
          <w:sz w:val="20"/>
        </w:rPr>
        <w:t>foregoing,</w:t>
      </w:r>
      <w:r>
        <w:rPr>
          <w:rFonts w:ascii="Times New Roman;Times;serif" w:hAnsi="Times New Roman;Times;serif"/>
          <w:color w:val="231F20"/>
          <w:spacing w:val="-2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9"/>
          <w:sz w:val="20"/>
        </w:rPr>
        <w:t xml:space="preserve"> </w:t>
      </w:r>
      <w:r>
        <w:rPr>
          <w:rFonts w:ascii="Times New Roman;Times;serif" w:hAnsi="Times New Roman;Times;serif"/>
          <w:color w:val="231F20"/>
          <w:sz w:val="20"/>
        </w:rPr>
        <w:t>reduction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increase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9"/>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19"/>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5"/>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9"/>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9"/>
          <w:sz w:val="20"/>
        </w:rPr>
        <w:t xml:space="preserve"> </w:t>
      </w:r>
      <w:r>
        <w:rPr>
          <w:rFonts w:ascii="Times New Roman;Times;serif" w:hAnsi="Times New Roman;Times;serif"/>
          <w:color w:val="231F20"/>
          <w:sz w:val="20"/>
        </w:rPr>
        <w:t>option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9"/>
          <w:sz w:val="20"/>
        </w:rPr>
        <w:t xml:space="preserve"> </w:t>
      </w:r>
      <w:r>
        <w:rPr>
          <w:rFonts w:ascii="Times New Roman;Times;serif" w:hAnsi="Times New Roman;Times;serif"/>
          <w:color w:val="231F20"/>
          <w:sz w:val="20"/>
        </w:rPr>
        <w:t>base</w:t>
      </w:r>
      <w:r>
        <w:rPr>
          <w:rFonts w:ascii="Times New Roman;Times;serif" w:hAnsi="Times New Roman;Times;serif"/>
          <w:color w:val="231F20"/>
          <w:spacing w:val="-19"/>
          <w:sz w:val="20"/>
        </w:rPr>
        <w:t xml:space="preserve"> </w:t>
      </w:r>
      <w:r>
        <w:rPr>
          <w:rFonts w:ascii="Times New Roman;Times;serif" w:hAnsi="Times New Roman;Times;serif"/>
          <w:color w:val="231F20"/>
          <w:sz w:val="20"/>
        </w:rPr>
        <w:t>appreciation amount</w:t>
      </w:r>
      <w:r>
        <w:rPr>
          <w:rFonts w:ascii="Times New Roman;Times;serif" w:hAnsi="Times New Roman;Times;serif"/>
          <w:color w:val="231F20"/>
          <w:spacing w:val="-11"/>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an</w:t>
      </w:r>
      <w:r>
        <w:rPr>
          <w:rFonts w:ascii="Times New Roman;Times;serif" w:hAnsi="Times New Roman;Times;serif"/>
          <w:color w:val="231F20"/>
          <w:spacing w:val="-11"/>
          <w:sz w:val="20"/>
        </w:rPr>
        <w:t xml:space="preserve"> </w:t>
      </w:r>
      <w:r>
        <w:rPr>
          <w:rFonts w:ascii="Times New Roman;Times;serif" w:hAnsi="Times New Roman;Times;serif"/>
          <w:color w:val="231F20"/>
          <w:sz w:val="20"/>
        </w:rPr>
        <w:t>SAR</w:t>
      </w:r>
      <w:r>
        <w:rPr>
          <w:rFonts w:ascii="Times New Roman;Times;serif" w:hAnsi="Times New Roman;Times;serif"/>
          <w:color w:val="231F20"/>
          <w:spacing w:val="-1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0"/>
          <w:sz w:val="20"/>
        </w:rPr>
        <w:t xml:space="preserve"> </w:t>
      </w:r>
      <w:r>
        <w:rPr>
          <w:rFonts w:ascii="Times New Roman;Times;serif" w:hAnsi="Times New Roman;Times;serif"/>
          <w:color w:val="231F20"/>
          <w:sz w:val="20"/>
        </w:rPr>
        <w:t>canceling</w:t>
      </w:r>
      <w:r>
        <w:rPr>
          <w:rFonts w:ascii="Times New Roman;Times;serif" w:hAnsi="Times New Roman;Times;serif"/>
          <w:color w:val="231F20"/>
          <w:spacing w:val="-11"/>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0"/>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1"/>
          <w:sz w:val="20"/>
        </w:rPr>
        <w:t xml:space="preserve"> </w:t>
      </w:r>
      <w:r>
        <w:rPr>
          <w:rFonts w:ascii="Times New Roman;Times;serif" w:hAnsi="Times New Roman;Times;serif"/>
          <w:color w:val="231F20"/>
          <w:sz w:val="20"/>
        </w:rPr>
        <w:t>option</w:t>
      </w:r>
      <w:r>
        <w:rPr>
          <w:rFonts w:ascii="Times New Roman;Times;serif" w:hAnsi="Times New Roman;Times;serif"/>
          <w:color w:val="231F20"/>
          <w:spacing w:val="-11"/>
          <w:sz w:val="20"/>
        </w:rPr>
        <w:t xml:space="preserve"> </w:t>
      </w:r>
      <w:r>
        <w:rPr>
          <w:rFonts w:ascii="Times New Roman;Times;serif" w:hAnsi="Times New Roman;Times;serif"/>
          <w:color w:val="231F20"/>
          <w:sz w:val="20"/>
        </w:rPr>
        <w:t>or</w:t>
      </w:r>
      <w:r>
        <w:rPr>
          <w:rFonts w:ascii="Times New Roman;Times;serif" w:hAnsi="Times New Roman;Times;serif"/>
          <w:color w:val="231F20"/>
          <w:spacing w:val="-10"/>
          <w:sz w:val="20"/>
        </w:rPr>
        <w:t xml:space="preserve"> </w:t>
      </w:r>
      <w:r>
        <w:rPr>
          <w:rFonts w:ascii="Times New Roman;Times;serif" w:hAnsi="Times New Roman;Times;serif"/>
          <w:color w:val="231F20"/>
          <w:sz w:val="20"/>
        </w:rPr>
        <w:t>SAR</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10"/>
          <w:sz w:val="20"/>
        </w:rPr>
        <w:t xml:space="preserve"> </w:t>
      </w:r>
      <w:r>
        <w:rPr>
          <w:rFonts w:ascii="Times New Roman;Times;serif" w:hAnsi="Times New Roman;Times;serif"/>
          <w:color w:val="231F20"/>
          <w:sz w:val="20"/>
        </w:rPr>
        <w:t>a</w:t>
      </w:r>
      <w:r>
        <w:rPr>
          <w:rFonts w:ascii="Times New Roman;Times;serif" w:hAnsi="Times New Roman;Times;serif"/>
          <w:color w:val="231F20"/>
          <w:spacing w:val="-11"/>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10"/>
          <w:sz w:val="20"/>
        </w:rPr>
        <w:t xml:space="preserve"> </w:t>
      </w:r>
      <w:r>
        <w:rPr>
          <w:rFonts w:ascii="Times New Roman;Times;serif" w:hAnsi="Times New Roman;Times;serif"/>
          <w:color w:val="231F20"/>
          <w:sz w:val="20"/>
        </w:rPr>
        <w:t>when</w:t>
      </w:r>
      <w:r>
        <w:rPr>
          <w:rFonts w:ascii="Times New Roman;Times;serif" w:hAnsi="Times New Roman;Times;serif"/>
          <w:color w:val="231F20"/>
          <w:spacing w:val="-11"/>
          <w:sz w:val="20"/>
        </w:rPr>
        <w:t xml:space="preserve"> </w:t>
      </w:r>
      <w:r>
        <w:rPr>
          <w:rFonts w:ascii="Times New Roman;Times;serif" w:hAnsi="Times New Roman;Times;serif"/>
          <w:color w:val="231F20"/>
          <w:sz w:val="20"/>
        </w:rPr>
        <w:t>its</w:t>
      </w:r>
      <w:r>
        <w:rPr>
          <w:rFonts w:ascii="Times New Roman;Times;serif" w:hAnsi="Times New Roman;Times;serif"/>
          <w:color w:val="231F20"/>
          <w:spacing w:val="-10"/>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11"/>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11"/>
          <w:sz w:val="20"/>
        </w:rPr>
        <w:t xml:space="preserve"> </w:t>
      </w:r>
      <w:r>
        <w:rPr>
          <w:rFonts w:ascii="Times New Roman;Times;serif" w:hAnsi="Times New Roman;Times;serif"/>
          <w:color w:val="231F20"/>
          <w:sz w:val="20"/>
        </w:rPr>
        <w:t>or</w:t>
      </w:r>
      <w:r>
        <w:rPr>
          <w:rFonts w:ascii="Times New Roman;Times;serif" w:hAnsi="Times New Roman;Times;serif"/>
          <w:color w:val="231F20"/>
          <w:spacing w:val="-10"/>
          <w:sz w:val="20"/>
        </w:rPr>
        <w:t xml:space="preserve"> </w:t>
      </w:r>
      <w:r>
        <w:rPr>
          <w:rFonts w:ascii="Times New Roman;Times;serif" w:hAnsi="Times New Roman;Times;serif"/>
          <w:color w:val="231F20"/>
          <w:sz w:val="20"/>
        </w:rPr>
        <w:t>base appreciation</w:t>
      </w:r>
      <w:r>
        <w:rPr>
          <w:rFonts w:ascii="Times New Roman;Times;serif" w:hAnsi="Times New Roman;Times;serif"/>
          <w:color w:val="231F20"/>
          <w:spacing w:val="-18"/>
          <w:sz w:val="20"/>
        </w:rPr>
        <w:t xml:space="preserve"> </w:t>
      </w:r>
      <w:r>
        <w:rPr>
          <w:rFonts w:ascii="Times New Roman;Times;serif" w:hAnsi="Times New Roman;Times;serif"/>
          <w:color w:val="231F20"/>
          <w:sz w:val="20"/>
        </w:rPr>
        <w:t>amount</w:t>
      </w:r>
      <w:r>
        <w:rPr>
          <w:rFonts w:ascii="Times New Roman;Times;serif" w:hAnsi="Times New Roman;Times;serif"/>
          <w:color w:val="231F20"/>
          <w:spacing w:val="-18"/>
          <w:sz w:val="20"/>
        </w:rPr>
        <w:t xml:space="preserve"> </w:t>
      </w:r>
      <w:r>
        <w:rPr>
          <w:rFonts w:ascii="Times New Roman;Times;serif" w:hAnsi="Times New Roman;Times;serif"/>
          <w:color w:val="231F20"/>
          <w:sz w:val="20"/>
        </w:rPr>
        <w:t>exceeds</w:t>
      </w:r>
      <w:r>
        <w:rPr>
          <w:rFonts w:ascii="Times New Roman;Times;serif" w:hAnsi="Times New Roman;Times;serif"/>
          <w:color w:val="231F20"/>
          <w:spacing w:val="-1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fair</w:t>
      </w:r>
      <w:r>
        <w:rPr>
          <w:rFonts w:ascii="Times New Roman;Times;serif" w:hAnsi="Times New Roman;Times;serif"/>
          <w:color w:val="231F20"/>
          <w:spacing w:val="-18"/>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value</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underlying</w:t>
      </w:r>
      <w:r>
        <w:rPr>
          <w:rFonts w:ascii="Times New Roman;Times;serif" w:hAnsi="Times New Roman;Times;serif"/>
          <w:color w:val="231F20"/>
          <w:spacing w:val="-18"/>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w:t>
      </w:r>
      <w:r>
        <w:rPr>
          <w:rFonts w:ascii="Times New Roman;Times;serif" w:hAnsi="Times New Roman;Times;serif"/>
          <w:color w:val="231F20"/>
          <w:spacing w:val="-18"/>
          <w:sz w:val="20"/>
        </w:rPr>
        <w:t xml:space="preserve"> </w:t>
      </w:r>
      <w:r>
        <w:rPr>
          <w:rFonts w:ascii="Times New Roman;Times;serif" w:hAnsi="Times New Roman;Times;serif"/>
          <w:color w:val="231F20"/>
          <w:sz w:val="20"/>
        </w:rPr>
        <w:t>exchange</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another</w:t>
      </w:r>
      <w:r>
        <w:rPr>
          <w:rFonts w:ascii="Times New Roman;Times;serif" w:hAnsi="Times New Roman;Times;serif"/>
          <w:color w:val="231F20"/>
          <w:spacing w:val="-18"/>
          <w:sz w:val="20"/>
        </w:rPr>
        <w:t xml:space="preserve"> </w:t>
      </w:r>
      <w:r>
        <w:rPr>
          <w:rFonts w:ascii="Times New Roman;Times;serif" w:hAnsi="Times New Roman;Times;serif"/>
          <w:color w:val="231F20"/>
          <w:spacing w:val="-4"/>
          <w:sz w:val="20"/>
        </w:rPr>
        <w:t xml:space="preserve">award </w:t>
      </w:r>
      <w:r>
        <w:rPr>
          <w:rFonts w:ascii="Times New Roman;Times;serif" w:hAnsi="Times New Roman;Times;serif"/>
          <w:color w:val="231F20"/>
          <w:sz w:val="20"/>
        </w:rPr>
        <w:t xml:space="preserve">shall be subject to stockholder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unless such exchange occurs in connection with a corporate transaction. </w:t>
      </w:r>
      <w:r>
        <w:rPr>
          <w:rFonts w:ascii="Times New Roman;Times;serif" w:hAnsi="Times New Roman;Times;serif"/>
          <w:color w:val="231F20"/>
          <w:spacing w:val="-11"/>
          <w:sz w:val="20"/>
        </w:rPr>
        <w:t xml:space="preserve">To </w:t>
      </w:r>
      <w:r>
        <w:rPr>
          <w:rFonts w:ascii="Times New Roman;Times;serif" w:hAnsi="Times New Roman;Times;serif"/>
          <w:color w:val="231F20"/>
          <w:sz w:val="20"/>
        </w:rPr>
        <w:t xml:space="preserve">the extent necessary to comply with applicable provisions of federal securities </w:t>
      </w:r>
      <w:r>
        <w:rPr>
          <w:rFonts w:ascii="Times New Roman;Times;serif" w:hAnsi="Times New Roman;Times;serif"/>
          <w:color w:val="231F20"/>
          <w:spacing w:val="-5"/>
          <w:sz w:val="20"/>
        </w:rPr>
        <w:t xml:space="preserve">laws, </w:t>
      </w:r>
      <w:r>
        <w:rPr>
          <w:rFonts w:ascii="Times New Roman;Times;serif" w:hAnsi="Times New Roman;Times;serif"/>
          <w:color w:val="231F20"/>
          <w:sz w:val="20"/>
        </w:rPr>
        <w:t xml:space="preserve">state corporate and securities </w:t>
      </w:r>
      <w:r>
        <w:rPr>
          <w:rFonts w:ascii="Times New Roman;Times;serif" w:hAnsi="Times New Roman;Times;serif"/>
          <w:color w:val="231F20"/>
          <w:spacing w:val="-5"/>
          <w:sz w:val="20"/>
        </w:rPr>
        <w:t xml:space="preserve">laws, </w:t>
      </w:r>
      <w:r>
        <w:rPr>
          <w:rFonts w:ascii="Times New Roman;Times;serif" w:hAnsi="Times New Roman;Times;serif"/>
          <w:color w:val="231F20"/>
          <w:sz w:val="20"/>
        </w:rPr>
        <w:t xml:space="preserve">the Internal </w:t>
      </w:r>
      <w:r>
        <w:rPr>
          <w:rFonts w:ascii="Times New Roman;Times;serif" w:hAnsi="Times New Roman;Times;serif"/>
          <w:color w:val="231F20"/>
          <w:spacing w:val="-4"/>
          <w:sz w:val="20"/>
        </w:rPr>
        <w:t xml:space="preserve">Revenue </w:t>
      </w:r>
      <w:r>
        <w:rPr>
          <w:rFonts w:ascii="Times New Roman;Times;serif" w:hAnsi="Times New Roman;Times;serif"/>
          <w:color w:val="231F20"/>
          <w:sz w:val="20"/>
        </w:rPr>
        <w:t xml:space="preserve">Code, the rules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applicable stock exchange or national market system, and the rules of </w:t>
      </w:r>
      <w:r>
        <w:rPr>
          <w:rFonts w:ascii="Times New Roman;Times;serif" w:hAnsi="Times New Roman;Times;serif"/>
          <w:color w:val="231F20"/>
          <w:spacing w:val="-3"/>
          <w:sz w:val="20"/>
        </w:rPr>
        <w:t xml:space="preserve">any </w:t>
      </w:r>
      <w:r>
        <w:rPr>
          <w:rFonts w:ascii="Times New Roman;Times;serif" w:hAnsi="Times New Roman;Times;serif"/>
          <w:color w:val="231F20"/>
          <w:spacing w:val="-4"/>
          <w:sz w:val="20"/>
        </w:rPr>
        <w:t xml:space="preserve">non-U.S. </w:t>
      </w:r>
      <w:r>
        <w:rPr>
          <w:rFonts w:ascii="Times New Roman;Times;serif" w:hAnsi="Times New Roman;Times;serif"/>
          <w:color w:val="231F20"/>
          <w:sz w:val="20"/>
        </w:rPr>
        <w:t xml:space="preserve">jurisdiction applicable to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 xml:space="preserve">granted to residents therein (including the tax ordinance), we shall obtain stockholder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such amendment to the Plan in such a manner and to such a degree as</w:t>
      </w:r>
      <w:r>
        <w:rPr>
          <w:rFonts w:ascii="Times New Roman;Times;serif" w:hAnsi="Times New Roman;Times;serif"/>
          <w:color w:val="231F20"/>
          <w:spacing w:val="-21"/>
          <w:sz w:val="20"/>
        </w:rPr>
        <w:t xml:space="preserve"> </w:t>
      </w:r>
      <w:r>
        <w:rPr>
          <w:rFonts w:ascii="Times New Roman;Times;serif" w:hAnsi="Times New Roman;Times;serif"/>
          <w:color w:val="231F20"/>
          <w:sz w:val="20"/>
        </w:rPr>
        <w:t>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0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Certain Federal Tax Consequences</w:t>
      </w:r>
    </w:p>
    <w:p>
      <w:pPr>
        <w:pStyle w:val="TextBody"/>
        <w:bidi w:val="0"/>
        <w:spacing w:before="0" w:after="20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following summary of the U.S. federal income tax consequences of Plan transactions is based upon federal income tax laws in effect on the date of this proxy statement. This summary does not purport to be complete, and does not discuss state, local, or non-U.S. tax consequences.</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i/>
          <w:color w:val="231F20"/>
          <w:sz w:val="20"/>
        </w:rPr>
        <w:t>Nonqualified Stock Options</w:t>
      </w:r>
      <w:r>
        <w:rPr>
          <w:rFonts w:ascii="Times New Roman;Times;serif" w:hAnsi="Times New Roman;Times;serif"/>
          <w:color w:val="231F20"/>
          <w:sz w:val="20"/>
        </w:rPr>
        <w:t xml:space="preserve">. The grant of a nonqualified stock option under the Plan will not result in </w:t>
      </w:r>
      <w:r>
        <w:rPr>
          <w:rFonts w:ascii="Times New Roman;Times;serif" w:hAnsi="Times New Roman;Times;serif"/>
          <w:color w:val="231F20"/>
          <w:spacing w:val="-3"/>
          <w:sz w:val="20"/>
        </w:rPr>
        <w:t xml:space="preserve">any </w:t>
      </w:r>
      <w:r>
        <w:rPr>
          <w:rFonts w:ascii="Times New Roman;Times;serif" w:hAnsi="Times New Roman;Times;serif"/>
          <w:color w:val="231F20"/>
          <w:spacing w:val="-7"/>
          <w:sz w:val="20"/>
        </w:rPr>
        <w:t xml:space="preserve">U.S. </w:t>
      </w:r>
      <w:r>
        <w:rPr>
          <w:rFonts w:ascii="Times New Roman;Times;serif" w:hAnsi="Times New Roman;Times;serif"/>
          <w:color w:val="231F20"/>
          <w:sz w:val="20"/>
        </w:rPr>
        <w:t xml:space="preserve">federal income tax consequences to us or the participant, if a </w:t>
      </w:r>
      <w:r>
        <w:rPr>
          <w:rFonts w:ascii="Times New Roman;Times;serif" w:hAnsi="Times New Roman;Times;serif"/>
          <w:color w:val="231F20"/>
          <w:spacing w:val="-7"/>
          <w:sz w:val="20"/>
        </w:rPr>
        <w:t xml:space="preserve">U.S. </w:t>
      </w:r>
      <w:r>
        <w:rPr>
          <w:rFonts w:ascii="Times New Roman;Times;serif" w:hAnsi="Times New Roman;Times;serif"/>
          <w:color w:val="231F20"/>
          <w:spacing w:val="-3"/>
          <w:sz w:val="20"/>
        </w:rPr>
        <w:t xml:space="preserve">taxpayer. </w:t>
      </w:r>
      <w:r>
        <w:rPr>
          <w:rFonts w:ascii="Times New Roman;Times;serif" w:hAnsi="Times New Roman;Times;serif"/>
          <w:color w:val="231F20"/>
          <w:sz w:val="20"/>
        </w:rPr>
        <w:t xml:space="preserve">Upon exercise of a nonqualified stock option, the participant is subject to income taxes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the rate applicable to ordinary compensation income on the difference between the option exercise price and the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 xml:space="preserve">of the shares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the time of </w:t>
      </w:r>
      <w:r>
        <w:rPr>
          <w:rFonts w:ascii="Times New Roman;Times;serif" w:hAnsi="Times New Roman;Times;serif"/>
          <w:color w:val="231F20"/>
          <w:spacing w:val="-3"/>
          <w:sz w:val="20"/>
        </w:rPr>
        <w:t xml:space="preserve">exercise. </w:t>
      </w:r>
      <w:r>
        <w:rPr>
          <w:rFonts w:ascii="Times New Roman;Times;serif" w:hAnsi="Times New Roman;Times;serif"/>
          <w:color w:val="231F20"/>
          <w:sz w:val="20"/>
        </w:rPr>
        <w:t xml:space="preserve">This income is subject to withholding </w:t>
      </w:r>
      <w:r>
        <w:rPr>
          <w:rFonts w:ascii="Times New Roman;Times;serif" w:hAnsi="Times New Roman;Times;serif"/>
          <w:color w:val="231F20"/>
          <w:spacing w:val="-3"/>
          <w:sz w:val="20"/>
        </w:rPr>
        <w:t xml:space="preserve">for </w:t>
      </w:r>
      <w:r>
        <w:rPr>
          <w:rFonts w:ascii="Times New Roman;Times;serif" w:hAnsi="Times New Roman;Times;serif"/>
          <w:color w:val="231F20"/>
          <w:spacing w:val="-7"/>
          <w:sz w:val="20"/>
        </w:rPr>
        <w:t xml:space="preserve">U.S. </w:t>
      </w:r>
      <w:r>
        <w:rPr>
          <w:rFonts w:ascii="Times New Roman;Times;serif" w:hAnsi="Times New Roman;Times;serif"/>
          <w:color w:val="231F20"/>
          <w:sz w:val="20"/>
        </w:rPr>
        <w:t>federal income 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 xml:space="preserve">employment tax purposes.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are entitled to an income tax deduction in the amount of the income recognized by the participant,</w:t>
      </w:r>
      <w:r>
        <w:rPr>
          <w:rFonts w:ascii="Times New Roman;Times;serif" w:hAnsi="Times New Roman;Times;serif"/>
          <w:color w:val="231F20"/>
          <w:spacing w:val="-12"/>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12"/>
          <w:sz w:val="20"/>
        </w:rPr>
        <w:t xml:space="preserve"> </w:t>
      </w:r>
      <w:r>
        <w:rPr>
          <w:rFonts w:ascii="Times New Roman;Times;serif" w:hAnsi="Times New Roman;Times;serif"/>
          <w:color w:val="231F20"/>
          <w:sz w:val="20"/>
        </w:rPr>
        <w:t>to</w:t>
      </w:r>
      <w:r>
        <w:rPr>
          <w:rFonts w:ascii="Times New Roman;Times;serif" w:hAnsi="Times New Roman;Times;serif"/>
          <w:color w:val="231F20"/>
          <w:spacing w:val="-11"/>
          <w:sz w:val="20"/>
        </w:rPr>
        <w:t xml:space="preserve"> </w:t>
      </w:r>
      <w:r>
        <w:rPr>
          <w:rFonts w:ascii="Times New Roman;Times;serif" w:hAnsi="Times New Roman;Times;serif"/>
          <w:color w:val="231F20"/>
          <w:sz w:val="20"/>
        </w:rPr>
        <w:t>possible</w:t>
      </w:r>
      <w:r>
        <w:rPr>
          <w:rFonts w:ascii="Times New Roman;Times;serif" w:hAnsi="Times New Roman;Times;serif"/>
          <w:color w:val="231F20"/>
          <w:spacing w:val="-12"/>
          <w:sz w:val="20"/>
        </w:rPr>
        <w:t xml:space="preserve"> </w:t>
      </w:r>
      <w:r>
        <w:rPr>
          <w:rFonts w:ascii="Times New Roman;Times;serif" w:hAnsi="Times New Roman;Times;serif"/>
          <w:color w:val="231F20"/>
          <w:sz w:val="20"/>
        </w:rPr>
        <w:t>limitations</w:t>
      </w:r>
      <w:r>
        <w:rPr>
          <w:rFonts w:ascii="Times New Roman;Times;serif" w:hAnsi="Times New Roman;Times;serif"/>
          <w:color w:val="231F20"/>
          <w:spacing w:val="-11"/>
          <w:sz w:val="20"/>
        </w:rPr>
        <w:t xml:space="preserve"> </w:t>
      </w:r>
      <w:r>
        <w:rPr>
          <w:rFonts w:ascii="Times New Roman;Times;serif" w:hAnsi="Times New Roman;Times;serif"/>
          <w:color w:val="231F20"/>
          <w:sz w:val="20"/>
        </w:rPr>
        <w:t>imposed</w:t>
      </w:r>
      <w:r>
        <w:rPr>
          <w:rFonts w:ascii="Times New Roman;Times;serif" w:hAnsi="Times New Roman;Times;serif"/>
          <w:color w:val="231F20"/>
          <w:spacing w:val="-12"/>
          <w:sz w:val="20"/>
        </w:rPr>
        <w:t xml:space="preserve"> </w:t>
      </w:r>
      <w:r>
        <w:rPr>
          <w:rFonts w:ascii="Times New Roman;Times;serif" w:hAnsi="Times New Roman;Times;serif"/>
          <w:color w:val="231F20"/>
          <w:sz w:val="20"/>
        </w:rPr>
        <w:t>by</w:t>
      </w:r>
      <w:r>
        <w:rPr>
          <w:rFonts w:ascii="Times New Roman;Times;serif" w:hAnsi="Times New Roman;Times;serif"/>
          <w:color w:val="231F20"/>
          <w:spacing w:val="-12"/>
          <w:sz w:val="20"/>
        </w:rPr>
        <w:t xml:space="preserve"> </w:t>
      </w:r>
      <w:r>
        <w:rPr>
          <w:rFonts w:ascii="Times New Roman;Times;serif" w:hAnsi="Times New Roman;Times;serif"/>
          <w:color w:val="231F20"/>
          <w:sz w:val="20"/>
        </w:rPr>
        <w:t>Section</w:t>
      </w:r>
      <w:r>
        <w:rPr>
          <w:rFonts w:ascii="Times New Roman;Times;serif" w:hAnsi="Times New Roman;Times;serif"/>
          <w:color w:val="231F20"/>
          <w:spacing w:val="-11"/>
          <w:sz w:val="20"/>
        </w:rPr>
        <w:t xml:space="preserve"> </w:t>
      </w:r>
      <w:r>
        <w:rPr>
          <w:rFonts w:ascii="Times New Roman;Times;serif" w:hAnsi="Times New Roman;Times;serif"/>
          <w:color w:val="231F20"/>
          <w:sz w:val="20"/>
        </w:rPr>
        <w:t>162(m)</w:t>
      </w:r>
      <w:r>
        <w:rPr>
          <w:rFonts w:ascii="Times New Roman;Times;serif" w:hAnsi="Times New Roman;Times;serif"/>
          <w:color w:val="231F20"/>
          <w:spacing w:val="-12"/>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2"/>
          <w:sz w:val="20"/>
        </w:rPr>
        <w:t xml:space="preserve"> </w:t>
      </w:r>
      <w:r>
        <w:rPr>
          <w:rFonts w:ascii="Times New Roman;Times;serif" w:hAnsi="Times New Roman;Times;serif"/>
          <w:color w:val="231F20"/>
          <w:sz w:val="20"/>
        </w:rPr>
        <w:t>Code</w:t>
      </w:r>
      <w:r>
        <w:rPr>
          <w:rFonts w:ascii="Times New Roman;Times;serif" w:hAnsi="Times New Roman;Times;serif"/>
          <w:color w:val="231F20"/>
          <w:spacing w:val="-1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1"/>
          <w:sz w:val="20"/>
        </w:rPr>
        <w:t xml:space="preserve"> </w:t>
      </w:r>
      <w:r>
        <w:rPr>
          <w:rFonts w:ascii="Times New Roman;Times;serif" w:hAnsi="Times New Roman;Times;serif"/>
          <w:color w:val="231F20"/>
          <w:sz w:val="20"/>
        </w:rPr>
        <w:t>so</w:t>
      </w:r>
      <w:r>
        <w:rPr>
          <w:rFonts w:ascii="Times New Roman;Times;serif" w:hAnsi="Times New Roman;Times;serif"/>
          <w:color w:val="231F20"/>
          <w:spacing w:val="-12"/>
          <w:sz w:val="20"/>
        </w:rPr>
        <w:t xml:space="preserve"> </w:t>
      </w:r>
      <w:r>
        <w:rPr>
          <w:rFonts w:ascii="Times New Roman;Times;serif" w:hAnsi="Times New Roman;Times;serif"/>
          <w:color w:val="231F20"/>
          <w:sz w:val="20"/>
        </w:rPr>
        <w:t>long</w:t>
      </w:r>
      <w:r>
        <w:rPr>
          <w:rFonts w:ascii="Times New Roman;Times;serif" w:hAnsi="Times New Roman;Times;serif"/>
          <w:color w:val="231F20"/>
          <w:spacing w:val="-11"/>
          <w:sz w:val="20"/>
        </w:rPr>
        <w:t xml:space="preserve"> </w:t>
      </w:r>
      <w:r>
        <w:rPr>
          <w:rFonts w:ascii="Times New Roman;Times;serif" w:hAnsi="Times New Roman;Times;serif"/>
          <w:color w:val="231F20"/>
          <w:sz w:val="20"/>
        </w:rPr>
        <w:t>as</w:t>
      </w:r>
      <w:r>
        <w:rPr>
          <w:rFonts w:ascii="Times New Roman;Times;serif" w:hAnsi="Times New Roman;Times;serif"/>
          <w:color w:val="231F20"/>
          <w:spacing w:val="-12"/>
          <w:sz w:val="20"/>
        </w:rPr>
        <w:t xml:space="preserve"> </w:t>
      </w:r>
      <w:r>
        <w:rPr>
          <w:rFonts w:ascii="Times New Roman;Times;serif" w:hAnsi="Times New Roman;Times;serif"/>
          <w:color w:val="231F20"/>
          <w:sz w:val="20"/>
        </w:rPr>
        <w:t>we</w:t>
      </w:r>
      <w:r>
        <w:rPr>
          <w:rFonts w:ascii="Times New Roman;Times;serif" w:hAnsi="Times New Roman;Times;serif"/>
          <w:color w:val="231F20"/>
          <w:spacing w:val="-12"/>
          <w:sz w:val="20"/>
        </w:rPr>
        <w:t xml:space="preserve"> </w:t>
      </w:r>
      <w:r>
        <w:rPr>
          <w:rFonts w:ascii="Times New Roman;Times;serif" w:hAnsi="Times New Roman;Times;serif"/>
          <w:color w:val="231F20"/>
          <w:sz w:val="20"/>
        </w:rPr>
        <w:t xml:space="preserve">withhold the appropriate taxes with respect to such income (if required) and the participant’s total compensation is deemed reasonable in amount.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gain or loss on the participant’s subsequent disposition of the shares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will receive long or short-term capital gain or loss treatment, depending on whether the shares are held</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more than one year following exercise. We do not receive a tax deduction for any such gain.</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z w:val="20"/>
        </w:rPr>
        <w:t xml:space="preserve">A nonqualified stock option can be considered deferred compensation and be subject to Section 409A of the </w:t>
      </w:r>
      <w:r>
        <w:rPr>
          <w:rFonts w:ascii="Times New Roman;Times;serif" w:hAnsi="Times New Roman;Times;serif"/>
          <w:color w:val="231F20"/>
          <w:spacing w:val="-3"/>
          <w:sz w:val="20"/>
        </w:rPr>
        <w:t xml:space="preserve">Code. </w:t>
      </w:r>
      <w:r>
        <w:rPr>
          <w:rFonts w:ascii="Times New Roman;Times;serif" w:hAnsi="Times New Roman;Times;serif"/>
          <w:color w:val="231F20"/>
          <w:sz w:val="20"/>
        </w:rPr>
        <w:t>A nonqualified stock option that does not meet the requirements of Code Section 409A can result</w:t>
      </w:r>
      <w:r>
        <w:rPr>
          <w:rFonts w:ascii="Times New Roman;Times;serif" w:hAnsi="Times New Roman;Times;serif"/>
          <w:color w:val="231F20"/>
          <w:spacing w:val="-6"/>
          <w:sz w:val="20"/>
        </w:rPr>
        <w:t xml:space="preserve"> </w:t>
      </w:r>
      <w:r>
        <w:rPr>
          <w:rFonts w:ascii="Times New Roman;Times;serif" w:hAnsi="Times New Roman;Times;serif"/>
          <w:color w:val="231F20"/>
          <w:sz w:val="20"/>
        </w:rPr>
        <w:t>in</w:t>
      </w:r>
      <w:r>
        <w:rPr>
          <w:rFonts w:ascii="Times New Roman;Times;serif" w:hAnsi="Times New Roman;Times;serif"/>
          <w:color w:val="231F20"/>
          <w:spacing w:val="-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5"/>
          <w:sz w:val="20"/>
        </w:rPr>
        <w:t xml:space="preserve"> </w:t>
      </w:r>
      <w:r>
        <w:rPr>
          <w:rFonts w:ascii="Times New Roman;Times;serif" w:hAnsi="Times New Roman;Times;serif"/>
          <w:color w:val="231F20"/>
          <w:sz w:val="20"/>
        </w:rPr>
        <w:t>acceleration</w:t>
      </w:r>
      <w:r>
        <w:rPr>
          <w:rFonts w:ascii="Times New Roman;Times;serif" w:hAnsi="Times New Roman;Times;serif"/>
          <w:color w:val="231F20"/>
          <w:spacing w:val="-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income</w:t>
      </w:r>
      <w:r>
        <w:rPr>
          <w:rFonts w:ascii="Times New Roman;Times;serif" w:hAnsi="Times New Roman;Times;serif"/>
          <w:color w:val="231F20"/>
          <w:spacing w:val="-5"/>
          <w:sz w:val="20"/>
        </w:rPr>
        <w:t xml:space="preserve"> </w:t>
      </w:r>
      <w:r>
        <w:rPr>
          <w:rFonts w:ascii="Times New Roman;Times;serif" w:hAnsi="Times New Roman;Times;serif"/>
          <w:color w:val="231F20"/>
          <w:sz w:val="20"/>
        </w:rPr>
        <w:t>recognition,</w:t>
      </w:r>
      <w:r>
        <w:rPr>
          <w:rFonts w:ascii="Times New Roman;Times;serif" w:hAnsi="Times New Roman;Times;serif"/>
          <w:color w:val="231F20"/>
          <w:spacing w:val="-5"/>
          <w:sz w:val="20"/>
        </w:rPr>
        <w:t xml:space="preserve"> </w:t>
      </w:r>
      <w:r>
        <w:rPr>
          <w:rFonts w:ascii="Times New Roman;Times;serif" w:hAnsi="Times New Roman;Times;serif"/>
          <w:color w:val="231F20"/>
          <w:sz w:val="20"/>
        </w:rPr>
        <w:t>an</w:t>
      </w:r>
      <w:r>
        <w:rPr>
          <w:rFonts w:ascii="Times New Roman;Times;serif" w:hAnsi="Times New Roman;Times;serif"/>
          <w:color w:val="231F20"/>
          <w:spacing w:val="-6"/>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5"/>
          <w:sz w:val="20"/>
        </w:rPr>
        <w:t xml:space="preserve"> </w:t>
      </w:r>
      <w:r>
        <w:rPr>
          <w:rFonts w:ascii="Times New Roman;Times;serif" w:hAnsi="Times New Roman;Times;serif"/>
          <w:color w:val="231F20"/>
          <w:sz w:val="20"/>
        </w:rPr>
        <w:t>20%</w:t>
      </w:r>
      <w:r>
        <w:rPr>
          <w:rFonts w:ascii="Times New Roman;Times;serif" w:hAnsi="Times New Roman;Times;serif"/>
          <w:color w:val="231F20"/>
          <w:spacing w:val="-5"/>
          <w:sz w:val="20"/>
        </w:rPr>
        <w:t xml:space="preserve"> </w:t>
      </w:r>
      <w:r>
        <w:rPr>
          <w:rFonts w:ascii="Times New Roman;Times;serif" w:hAnsi="Times New Roman;Times;serif"/>
          <w:color w:val="231F20"/>
          <w:sz w:val="20"/>
        </w:rPr>
        <w:t>tax</w:t>
      </w:r>
      <w:r>
        <w:rPr>
          <w:rFonts w:ascii="Times New Roman;Times;serif" w:hAnsi="Times New Roman;Times;serif"/>
          <w:color w:val="231F20"/>
          <w:spacing w:val="-6"/>
          <w:sz w:val="20"/>
        </w:rPr>
        <w:t xml:space="preserve"> </w:t>
      </w:r>
      <w:r>
        <w:rPr>
          <w:rFonts w:ascii="Times New Roman;Times;serif" w:hAnsi="Times New Roman;Times;serif"/>
          <w:color w:val="231F20"/>
          <w:sz w:val="20"/>
        </w:rPr>
        <w:t>obligation,</w:t>
      </w:r>
      <w:r>
        <w:rPr>
          <w:rFonts w:ascii="Times New Roman;Times;serif" w:hAnsi="Times New Roman;Times;serif"/>
          <w:color w:val="231F20"/>
          <w:spacing w:val="-5"/>
          <w:sz w:val="20"/>
        </w:rPr>
        <w:t xml:space="preserve"> </w:t>
      </w:r>
      <w:r>
        <w:rPr>
          <w:rFonts w:ascii="Times New Roman;Times;serif" w:hAnsi="Times New Roman;Times;serif"/>
          <w:color w:val="231F20"/>
          <w:sz w:val="20"/>
        </w:rPr>
        <w:t>plus</w:t>
      </w:r>
      <w:r>
        <w:rPr>
          <w:rFonts w:ascii="Times New Roman;Times;serif" w:hAnsi="Times New Roman;Times;serif"/>
          <w:color w:val="231F20"/>
          <w:spacing w:val="-5"/>
          <w:sz w:val="20"/>
        </w:rPr>
        <w:t xml:space="preserve"> </w:t>
      </w:r>
      <w:r>
        <w:rPr>
          <w:rFonts w:ascii="Times New Roman;Times;serif" w:hAnsi="Times New Roman;Times;serif"/>
          <w:color w:val="231F20"/>
          <w:sz w:val="20"/>
        </w:rPr>
        <w:t>penalties</w:t>
      </w:r>
      <w:r>
        <w:rPr>
          <w:rFonts w:ascii="Times New Roman;Times;serif" w:hAnsi="Times New Roman;Times;serif"/>
          <w:color w:val="231F20"/>
          <w:spacing w:val="-6"/>
          <w:sz w:val="20"/>
        </w:rPr>
        <w:t xml:space="preserve"> </w:t>
      </w:r>
      <w:r>
        <w:rPr>
          <w:rFonts w:ascii="Times New Roman;Times;serif" w:hAnsi="Times New Roman;Times;serif"/>
          <w:color w:val="231F20"/>
          <w:sz w:val="20"/>
        </w:rPr>
        <w:t>and</w:t>
      </w:r>
      <w:r>
        <w:rPr>
          <w:rFonts w:ascii="Times New Roman;Times;serif" w:hAnsi="Times New Roman;Times;serif"/>
          <w:color w:val="231F20"/>
          <w:spacing w:val="-5"/>
          <w:sz w:val="20"/>
        </w:rPr>
        <w:t xml:space="preserve"> </w:t>
      </w:r>
      <w:r>
        <w:rPr>
          <w:rFonts w:ascii="Times New Roman;Times;serif" w:hAnsi="Times New Roman;Times;serif"/>
          <w:color w:val="231F20"/>
          <w:sz w:val="20"/>
        </w:rPr>
        <w:t>interest.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color w:val="231F20"/>
          <w:sz w:val="20"/>
        </w:rPr>
        <w:t>Incentive Stock Options</w:t>
      </w:r>
      <w:r>
        <w:rPr>
          <w:rFonts w:ascii="Times New Roman;Times;serif" w:hAnsi="Times New Roman;Times;serif"/>
          <w:color w:val="231F20"/>
          <w:sz w:val="20"/>
        </w:rPr>
        <w:t xml:space="preserve">. The grant of an incentive stock option under the Plan will not result in any </w:t>
      </w:r>
      <w:r>
        <w:rPr>
          <w:rFonts w:ascii="Times New Roman;Times;serif" w:hAnsi="Times New Roman;Times;serif"/>
          <w:color w:val="231F20"/>
          <w:spacing w:val="-7"/>
          <w:sz w:val="20"/>
        </w:rPr>
        <w:t xml:space="preserve">U.S. </w:t>
      </w:r>
      <w:r>
        <w:rPr>
          <w:rFonts w:ascii="Times New Roman;Times;serif" w:hAnsi="Times New Roman;Times;serif"/>
          <w:color w:val="231F20"/>
          <w:sz w:val="20"/>
        </w:rPr>
        <w:t xml:space="preserve">federal income tax consequences to us or the participant, if a </w:t>
      </w:r>
      <w:r>
        <w:rPr>
          <w:rFonts w:ascii="Times New Roman;Times;serif" w:hAnsi="Times New Roman;Times;serif"/>
          <w:color w:val="231F20"/>
          <w:spacing w:val="-7"/>
          <w:sz w:val="20"/>
        </w:rPr>
        <w:t xml:space="preserve">U.S. </w:t>
      </w:r>
      <w:r>
        <w:rPr>
          <w:rFonts w:ascii="Times New Roman;Times;serif" w:hAnsi="Times New Roman;Times;serif"/>
          <w:color w:val="231F20"/>
          <w:spacing w:val="-3"/>
          <w:sz w:val="20"/>
        </w:rPr>
        <w:t xml:space="preserve">taxpayer. </w:t>
      </w:r>
      <w:r>
        <w:rPr>
          <w:rFonts w:ascii="Times New Roman;Times;serif" w:hAnsi="Times New Roman;Times;serif"/>
          <w:color w:val="231F20"/>
          <w:sz w:val="20"/>
        </w:rPr>
        <w:t>A participant recognizes no federal taxable income upon exercising an incentive stock option (subject to the alternative minimum</w:t>
      </w:r>
      <w:r>
        <w:rPr>
          <w:rFonts w:ascii="Times New Roman;Times;serif" w:hAnsi="Times New Roman;Times;serif"/>
          <w:color w:val="231F20"/>
          <w:spacing w:val="-34"/>
          <w:sz w:val="20"/>
        </w:rPr>
        <w:t xml:space="preserve"> </w:t>
      </w:r>
      <w:r>
        <w:rPr>
          <w:rFonts w:ascii="Times New Roman;Times;serif" w:hAnsi="Times New Roman;Times;serif"/>
          <w:color w:val="231F20"/>
          <w:sz w:val="20"/>
        </w:rPr>
        <w:t xml:space="preserve">tax rules discussed below), and we receive no deduction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the time of </w:t>
      </w:r>
      <w:r>
        <w:rPr>
          <w:rFonts w:ascii="Times New Roman;Times;serif" w:hAnsi="Times New Roman;Times;serif"/>
          <w:color w:val="231F20"/>
          <w:spacing w:val="-3"/>
          <w:sz w:val="20"/>
        </w:rPr>
        <w:t xml:space="preserve">exercise. </w:t>
      </w:r>
      <w:r>
        <w:rPr>
          <w:rFonts w:ascii="Times New Roman;Times;serif" w:hAnsi="Times New Roman;Times;serif"/>
          <w:color w:val="231F20"/>
          <w:sz w:val="20"/>
        </w:rPr>
        <w:t xml:space="preserve">In the event of a disposition of stock acquired upon exercise of an incentive stock option, the tax consequences depend upon how long the participant has held the </w:t>
      </w:r>
      <w:r>
        <w:rPr>
          <w:rFonts w:ascii="Times New Roman;Times;serif" w:hAnsi="Times New Roman;Times;serif"/>
          <w:color w:val="231F20"/>
          <w:spacing w:val="-3"/>
          <w:sz w:val="20"/>
        </w:rPr>
        <w:t xml:space="preserve">shares. </w:t>
      </w:r>
      <w:r>
        <w:rPr>
          <w:rFonts w:ascii="Times New Roman;Times;serif" w:hAnsi="Times New Roman;Times;serif"/>
          <w:color w:val="231F20"/>
          <w:sz w:val="20"/>
        </w:rPr>
        <w:t xml:space="preserve">If the participant does not dispose of the shares within </w:t>
      </w:r>
      <w:r>
        <w:rPr>
          <w:rFonts w:ascii="Times New Roman;Times;serif" w:hAnsi="Times New Roman;Times;serif"/>
          <w:color w:val="231F20"/>
          <w:spacing w:val="-3"/>
          <w:sz w:val="20"/>
        </w:rPr>
        <w:t xml:space="preserve">two </w:t>
      </w:r>
      <w:r>
        <w:rPr>
          <w:rFonts w:ascii="Times New Roman;Times;serif" w:hAnsi="Times New Roman;Times;serif"/>
          <w:color w:val="231F20"/>
          <w:sz w:val="20"/>
        </w:rPr>
        <w:t>years after the incentive</w:t>
      </w:r>
      <w:r>
        <w:rPr>
          <w:rFonts w:ascii="Times New Roman;Times;serif" w:hAnsi="Times New Roman;Times;serif"/>
          <w:color w:val="231F20"/>
          <w:spacing w:val="6"/>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6"/>
          <w:sz w:val="20"/>
        </w:rPr>
        <w:t xml:space="preserve"> </w:t>
      </w:r>
      <w:r>
        <w:rPr>
          <w:rFonts w:ascii="Times New Roman;Times;serif" w:hAnsi="Times New Roman;Times;serif"/>
          <w:color w:val="231F20"/>
          <w:sz w:val="20"/>
        </w:rPr>
        <w:t>option</w:t>
      </w:r>
      <w:r>
        <w:rPr>
          <w:rFonts w:ascii="Times New Roman;Times;serif" w:hAnsi="Times New Roman;Times;serif"/>
          <w:color w:val="231F20"/>
          <w:spacing w:val="6"/>
          <w:sz w:val="20"/>
        </w:rPr>
        <w:t xml:space="preserve"> </w:t>
      </w:r>
      <w:r>
        <w:rPr>
          <w:rFonts w:ascii="Times New Roman;Times;serif" w:hAnsi="Times New Roman;Times;serif"/>
          <w:color w:val="231F20"/>
          <w:sz w:val="20"/>
        </w:rPr>
        <w:t>was</w:t>
      </w:r>
      <w:r>
        <w:rPr>
          <w:rFonts w:ascii="Times New Roman;Times;serif" w:hAnsi="Times New Roman;Times;serif"/>
          <w:color w:val="231F20"/>
          <w:spacing w:val="6"/>
          <w:sz w:val="20"/>
        </w:rPr>
        <w:t xml:space="preserve"> </w:t>
      </w:r>
      <w:r>
        <w:rPr>
          <w:rFonts w:ascii="Times New Roman;Times;serif" w:hAnsi="Times New Roman;Times;serif"/>
          <w:color w:val="231F20"/>
          <w:sz w:val="20"/>
        </w:rPr>
        <w:t>granted,</w:t>
      </w:r>
      <w:r>
        <w:rPr>
          <w:rFonts w:ascii="Times New Roman;Times;serif" w:hAnsi="Times New Roman;Times;serif"/>
          <w:color w:val="231F20"/>
          <w:spacing w:val="6"/>
          <w:sz w:val="20"/>
        </w:rPr>
        <w:t xml:space="preserve"> </w:t>
      </w:r>
      <w:r>
        <w:rPr>
          <w:rFonts w:ascii="Times New Roman;Times;serif" w:hAnsi="Times New Roman;Times;serif"/>
          <w:color w:val="231F20"/>
          <w:sz w:val="20"/>
        </w:rPr>
        <w:t>nor</w:t>
      </w:r>
      <w:r>
        <w:rPr>
          <w:rFonts w:ascii="Times New Roman;Times;serif" w:hAnsi="Times New Roman;Times;serif"/>
          <w:color w:val="231F20"/>
          <w:spacing w:val="6"/>
          <w:sz w:val="20"/>
        </w:rPr>
        <w:t xml:space="preserve"> </w:t>
      </w:r>
      <w:r>
        <w:rPr>
          <w:rFonts w:ascii="Times New Roman;Times;serif" w:hAnsi="Times New Roman;Times;serif"/>
          <w:color w:val="231F20"/>
          <w:sz w:val="20"/>
        </w:rPr>
        <w:t>within</w:t>
      </w:r>
      <w:r>
        <w:rPr>
          <w:rFonts w:ascii="Times New Roman;Times;serif" w:hAnsi="Times New Roman;Times;serif"/>
          <w:color w:val="231F20"/>
          <w:spacing w:val="6"/>
          <w:sz w:val="20"/>
        </w:rPr>
        <w:t xml:space="preserve"> </w:t>
      </w:r>
      <w:r>
        <w:rPr>
          <w:rFonts w:ascii="Times New Roman;Times;serif" w:hAnsi="Times New Roman;Times;serif"/>
          <w:color w:val="231F20"/>
          <w:sz w:val="20"/>
        </w:rPr>
        <w:t>one</w:t>
      </w:r>
      <w:r>
        <w:rPr>
          <w:rFonts w:ascii="Times New Roman;Times;serif" w:hAnsi="Times New Roman;Times;serif"/>
          <w:color w:val="231F20"/>
          <w:spacing w:val="6"/>
          <w:sz w:val="20"/>
        </w:rPr>
        <w:t xml:space="preserve"> </w:t>
      </w:r>
      <w:r>
        <w:rPr>
          <w:rFonts w:ascii="Times New Roman;Times;serif" w:hAnsi="Times New Roman;Times;serif"/>
          <w:color w:val="231F20"/>
          <w:sz w:val="20"/>
        </w:rPr>
        <w:t>year</w:t>
      </w:r>
      <w:r>
        <w:rPr>
          <w:rFonts w:ascii="Times New Roman;Times;serif" w:hAnsi="Times New Roman;Times;serif"/>
          <w:color w:val="231F20"/>
          <w:spacing w:val="6"/>
          <w:sz w:val="20"/>
        </w:rPr>
        <w:t xml:space="preserve"> </w:t>
      </w:r>
      <w:r>
        <w:rPr>
          <w:rFonts w:ascii="Times New Roman;Times;serif" w:hAnsi="Times New Roman;Times;serif"/>
          <w:color w:val="231F20"/>
          <w:sz w:val="20"/>
        </w:rPr>
        <w:t>after</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6"/>
          <w:sz w:val="20"/>
        </w:rPr>
        <w:t xml:space="preserve"> </w:t>
      </w:r>
      <w:r>
        <w:rPr>
          <w:rFonts w:ascii="Times New Roman;Times;serif" w:hAnsi="Times New Roman;Times;serif"/>
          <w:color w:val="231F20"/>
          <w:sz w:val="20"/>
        </w:rPr>
        <w:t>incentive</w:t>
      </w:r>
      <w:r>
        <w:rPr>
          <w:rFonts w:ascii="Times New Roman;Times;serif" w:hAnsi="Times New Roman;Times;serif"/>
          <w:color w:val="231F20"/>
          <w:spacing w:val="7"/>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6"/>
          <w:sz w:val="20"/>
        </w:rPr>
        <w:t xml:space="preserve"> </w:t>
      </w:r>
      <w:r>
        <w:rPr>
          <w:rFonts w:ascii="Times New Roman;Times;serif" w:hAnsi="Times New Roman;Times;serif"/>
          <w:color w:val="231F20"/>
          <w:sz w:val="20"/>
        </w:rPr>
        <w:t>option</w:t>
      </w:r>
      <w:r>
        <w:rPr>
          <w:rFonts w:ascii="Times New Roman;Times;serif" w:hAnsi="Times New Roman;Times;serif"/>
          <w:color w:val="231F20"/>
          <w:spacing w:val="6"/>
          <w:sz w:val="20"/>
        </w:rPr>
        <w:t xml:space="preserve"> </w:t>
      </w:r>
      <w:r>
        <w:rPr>
          <w:rFonts w:ascii="Times New Roman;Times;serif" w:hAnsi="Times New Roman;Times;serif"/>
          <w:color w:val="231F20"/>
          <w:sz w:val="20"/>
        </w:rPr>
        <w:t>was</w:t>
      </w:r>
      <w:r>
        <w:rPr>
          <w:rFonts w:ascii="Times New Roman;Times;serif" w:hAnsi="Times New Roman;Times;serif"/>
          <w:color w:val="231F20"/>
          <w:spacing w:val="6"/>
          <w:sz w:val="20"/>
        </w:rPr>
        <w:t xml:space="preserve"> </w:t>
      </w:r>
      <w:r>
        <w:rPr>
          <w:rFonts w:ascii="Times New Roman;Times;serif" w:hAnsi="Times New Roman;Times;serif"/>
          <w:color w:val="231F20"/>
          <w:sz w:val="20"/>
        </w:rPr>
        <w:t>exercised,</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 participant will recognize a long-term capital gain (or loss) equal to the difference between the sale price of the shares and the exercise price. We are not entitled to any deduction under these circumstances.</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z w:val="20"/>
        </w:rPr>
        <w:t xml:space="preserve">If the participant is a </w:t>
      </w:r>
      <w:r>
        <w:rPr>
          <w:rFonts w:ascii="Times New Roman;Times;serif" w:hAnsi="Times New Roman;Times;serif"/>
          <w:color w:val="231F20"/>
          <w:spacing w:val="-7"/>
          <w:sz w:val="20"/>
        </w:rPr>
        <w:t xml:space="preserve">U.S. </w:t>
      </w:r>
      <w:r>
        <w:rPr>
          <w:rFonts w:ascii="Times New Roman;Times;serif" w:hAnsi="Times New Roman;Times;serif"/>
          <w:color w:val="231F20"/>
          <w:sz w:val="20"/>
        </w:rPr>
        <w:t xml:space="preserve">taxpayer and fails to satisfy either of the foregoing holding periods (referred to as a “disqualifying disposition”), he or she must recognize ordinary income in the year of the disposition. The amount of ordinary income generally is the lesser of (i) the difference between the amount realized on the disposition and the exercise price or (ii) the difference between the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 xml:space="preserve">of the stock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the time of exercise and the exercise price.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gain in excess of the amount taxed as ordinary income will be treated as a long- or short-term capital gain, depending on whether the stock was held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more than one</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 xml:space="preserve">year.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are entitled, in the year of the disqualifying disposition, to a deduction equal to the amount of ordinary income recognized by the participant, subject to possible limitations imposed by Section 162(m) of the Code and so long as the participant’s total compensation is deemed reasonable in</w:t>
      </w:r>
      <w:r>
        <w:rPr>
          <w:rFonts w:ascii="Times New Roman;Times;serif" w:hAnsi="Times New Roman;Times;serif"/>
          <w:color w:val="231F20"/>
          <w:spacing w:val="-22"/>
          <w:sz w:val="20"/>
        </w:rPr>
        <w:t xml:space="preserve"> </w:t>
      </w:r>
      <w:r>
        <w:rPr>
          <w:rFonts w:ascii="Times New Roman;Times;serif" w:hAnsi="Times New Roman;Times;serif"/>
          <w:color w:val="231F20"/>
          <w:sz w:val="20"/>
        </w:rPr>
        <w:t>amount.</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z w:val="20"/>
        </w:rPr>
        <w:t xml:space="preserve">The “spread” under an incentive stock option — </w:t>
      </w:r>
      <w:r>
        <w:rPr>
          <w:rFonts w:ascii="Times New Roman;Times;serif" w:hAnsi="Times New Roman;Times;serif"/>
          <w:color w:val="231F20"/>
          <w:spacing w:val="-3"/>
          <w:sz w:val="20"/>
        </w:rPr>
        <w:t xml:space="preserve">i.e., </w:t>
      </w:r>
      <w:r>
        <w:rPr>
          <w:rFonts w:ascii="Times New Roman;Times;serif" w:hAnsi="Times New Roman;Times;serif"/>
          <w:color w:val="231F20"/>
          <w:sz w:val="20"/>
        </w:rPr>
        <w:t xml:space="preserve">the difference between the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 xml:space="preserve">of the shares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exercise and the exercise price — is classified as an item of adjustment in the year of exercise </w:t>
      </w:r>
      <w:r>
        <w:rPr>
          <w:rFonts w:ascii="Times New Roman;Times;serif" w:hAnsi="Times New Roman;Times;serif"/>
          <w:color w:val="231F20"/>
          <w:spacing w:val="-3"/>
          <w:sz w:val="20"/>
        </w:rPr>
        <w:t>for</w:t>
      </w:r>
      <w:r>
        <w:rPr>
          <w:rFonts w:ascii="Times New Roman;Times;serif" w:hAnsi="Times New Roman;Times;serif"/>
          <w:color w:val="231F20"/>
          <w:spacing w:val="-8"/>
          <w:sz w:val="20"/>
        </w:rPr>
        <w:t xml:space="preserve"> </w:t>
      </w:r>
      <w:r>
        <w:rPr>
          <w:rFonts w:ascii="Times New Roman;Times;serif" w:hAnsi="Times New Roman;Times;serif"/>
          <w:color w:val="231F20"/>
          <w:sz w:val="20"/>
        </w:rPr>
        <w:t>purposes</w:t>
      </w:r>
      <w:r>
        <w:rPr>
          <w:rFonts w:ascii="Times New Roman;Times;serif" w:hAnsi="Times New Roman;Times;serif"/>
          <w:color w:val="231F20"/>
          <w:spacing w:val="-8"/>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alternative</w:t>
      </w:r>
      <w:r>
        <w:rPr>
          <w:rFonts w:ascii="Times New Roman;Times;serif" w:hAnsi="Times New Roman;Times;serif"/>
          <w:color w:val="231F20"/>
          <w:spacing w:val="-7"/>
          <w:sz w:val="20"/>
        </w:rPr>
        <w:t xml:space="preserve"> </w:t>
      </w:r>
      <w:r>
        <w:rPr>
          <w:rFonts w:ascii="Times New Roman;Times;serif" w:hAnsi="Times New Roman;Times;serif"/>
          <w:color w:val="231F20"/>
          <w:sz w:val="20"/>
        </w:rPr>
        <w:t>minimum</w:t>
      </w:r>
      <w:r>
        <w:rPr>
          <w:rFonts w:ascii="Times New Roman;Times;serif" w:hAnsi="Times New Roman;Times;serif"/>
          <w:color w:val="231F20"/>
          <w:spacing w:val="-8"/>
          <w:sz w:val="20"/>
        </w:rPr>
        <w:t xml:space="preserve"> </w:t>
      </w:r>
      <w:r>
        <w:rPr>
          <w:rFonts w:ascii="Times New Roman;Times;serif" w:hAnsi="Times New Roman;Times;serif"/>
          <w:color w:val="231F20"/>
          <w:sz w:val="20"/>
        </w:rPr>
        <w:t>tax.</w:t>
      </w:r>
      <w:r>
        <w:rPr>
          <w:rFonts w:ascii="Times New Roman;Times;serif" w:hAnsi="Times New Roman;Times;serif"/>
          <w:color w:val="231F20"/>
          <w:spacing w:val="-8"/>
          <w:sz w:val="20"/>
        </w:rPr>
        <w:t xml:space="preserve"> </w:t>
      </w:r>
      <w:r>
        <w:rPr>
          <w:rFonts w:ascii="Times New Roman;Times;serif" w:hAnsi="Times New Roman;Times;serif"/>
          <w:color w:val="231F20"/>
          <w:sz w:val="20"/>
        </w:rPr>
        <w:t>If</w:t>
      </w:r>
      <w:r>
        <w:rPr>
          <w:rFonts w:ascii="Times New Roman;Times;serif" w:hAnsi="Times New Roman;Times;serif"/>
          <w:color w:val="231F20"/>
          <w:spacing w:val="12"/>
          <w:sz w:val="20"/>
        </w:rPr>
        <w:t xml:space="preserve"> </w:t>
      </w:r>
      <w:r>
        <w:rPr>
          <w:rFonts w:ascii="Times New Roman;Times;serif" w:hAnsi="Times New Roman;Times;serif"/>
          <w:color w:val="231F20"/>
          <w:sz w:val="20"/>
        </w:rPr>
        <w:t>a</w:t>
      </w:r>
      <w:r>
        <w:rPr>
          <w:rFonts w:ascii="Times New Roman;Times;serif" w:hAnsi="Times New Roman;Times;serif"/>
          <w:color w:val="231F20"/>
          <w:spacing w:val="-8"/>
          <w:sz w:val="20"/>
        </w:rPr>
        <w:t xml:space="preserve"> </w:t>
      </w:r>
      <w:r>
        <w:rPr>
          <w:rFonts w:ascii="Times New Roman;Times;serif" w:hAnsi="Times New Roman;Times;serif"/>
          <w:color w:val="231F20"/>
          <w:sz w:val="20"/>
        </w:rPr>
        <w:t>participant’s</w:t>
      </w:r>
      <w:r>
        <w:rPr>
          <w:rFonts w:ascii="Times New Roman;Times;serif" w:hAnsi="Times New Roman;Times;serif"/>
          <w:color w:val="231F20"/>
          <w:spacing w:val="-7"/>
          <w:sz w:val="20"/>
        </w:rPr>
        <w:t xml:space="preserve"> </w:t>
      </w:r>
      <w:r>
        <w:rPr>
          <w:rFonts w:ascii="Times New Roman;Times;serif" w:hAnsi="Times New Roman;Times;serif"/>
          <w:color w:val="231F20"/>
          <w:sz w:val="20"/>
        </w:rPr>
        <w:t>alternative</w:t>
      </w:r>
      <w:r>
        <w:rPr>
          <w:rFonts w:ascii="Times New Roman;Times;serif" w:hAnsi="Times New Roman;Times;serif"/>
          <w:color w:val="231F20"/>
          <w:spacing w:val="-8"/>
          <w:sz w:val="20"/>
        </w:rPr>
        <w:t xml:space="preserve"> </w:t>
      </w:r>
      <w:r>
        <w:rPr>
          <w:rFonts w:ascii="Times New Roman;Times;serif" w:hAnsi="Times New Roman;Times;serif"/>
          <w:color w:val="231F20"/>
          <w:sz w:val="20"/>
        </w:rPr>
        <w:t>minimum</w:t>
      </w:r>
      <w:r>
        <w:rPr>
          <w:rFonts w:ascii="Times New Roman;Times;serif" w:hAnsi="Times New Roman;Times;serif"/>
          <w:color w:val="231F20"/>
          <w:spacing w:val="-8"/>
          <w:sz w:val="20"/>
        </w:rPr>
        <w:t xml:space="preserve"> </w:t>
      </w:r>
      <w:r>
        <w:rPr>
          <w:rFonts w:ascii="Times New Roman;Times;serif" w:hAnsi="Times New Roman;Times;serif"/>
          <w:color w:val="231F20"/>
          <w:sz w:val="20"/>
        </w:rPr>
        <w:t>tax</w:t>
      </w:r>
      <w:r>
        <w:rPr>
          <w:rFonts w:ascii="Times New Roman;Times;serif" w:hAnsi="Times New Roman;Times;serif"/>
          <w:color w:val="231F20"/>
          <w:spacing w:val="-7"/>
          <w:sz w:val="20"/>
        </w:rPr>
        <w:t xml:space="preserve"> </w:t>
      </w:r>
      <w:r>
        <w:rPr>
          <w:rFonts w:ascii="Times New Roman;Times;serif" w:hAnsi="Times New Roman;Times;serif"/>
          <w:color w:val="231F20"/>
          <w:sz w:val="20"/>
        </w:rPr>
        <w:t>liability</w:t>
      </w:r>
      <w:r>
        <w:rPr>
          <w:rFonts w:ascii="Times New Roman;Times;serif" w:hAnsi="Times New Roman;Times;serif"/>
          <w:color w:val="231F20"/>
          <w:spacing w:val="-8"/>
          <w:sz w:val="20"/>
        </w:rPr>
        <w:t xml:space="preserve"> </w:t>
      </w:r>
      <w:r>
        <w:rPr>
          <w:rFonts w:ascii="Times New Roman;Times;serif" w:hAnsi="Times New Roman;Times;serif"/>
          <w:color w:val="231F20"/>
          <w:sz w:val="20"/>
        </w:rPr>
        <w:t>exceeds</w:t>
      </w:r>
      <w:r>
        <w:rPr>
          <w:rFonts w:ascii="Times New Roman;Times;serif" w:hAnsi="Times New Roman;Times;serif"/>
          <w:color w:val="231F20"/>
          <w:spacing w:val="-7"/>
          <w:sz w:val="20"/>
        </w:rPr>
        <w:t xml:space="preserve"> </w:t>
      </w:r>
      <w:r>
        <w:rPr>
          <w:rFonts w:ascii="Times New Roman;Times;serif" w:hAnsi="Times New Roman;Times;serif"/>
          <w:color w:val="231F20"/>
          <w:sz w:val="20"/>
        </w:rPr>
        <w:t xml:space="preserve">such participant’s regular income tax </w:t>
      </w:r>
      <w:r>
        <w:rPr>
          <w:rFonts w:ascii="Times New Roman;Times;serif" w:hAnsi="Times New Roman;Times;serif"/>
          <w:color w:val="231F20"/>
          <w:spacing w:val="-3"/>
          <w:sz w:val="20"/>
        </w:rPr>
        <w:t xml:space="preserve">liability, </w:t>
      </w:r>
      <w:r>
        <w:rPr>
          <w:rFonts w:ascii="Times New Roman;Times;serif" w:hAnsi="Times New Roman;Times;serif"/>
          <w:color w:val="231F20"/>
          <w:sz w:val="20"/>
        </w:rPr>
        <w:t xml:space="preserve">the participant will </w:t>
      </w:r>
      <w:r>
        <w:rPr>
          <w:rFonts w:ascii="Times New Roman;Times;serif" w:hAnsi="Times New Roman;Times;serif"/>
          <w:color w:val="231F20"/>
          <w:spacing w:val="-3"/>
          <w:sz w:val="20"/>
        </w:rPr>
        <w:t xml:space="preserve">owe </w:t>
      </w:r>
      <w:r>
        <w:rPr>
          <w:rFonts w:ascii="Times New Roman;Times;serif" w:hAnsi="Times New Roman;Times;serif"/>
          <w:color w:val="231F20"/>
          <w:sz w:val="20"/>
        </w:rPr>
        <w:t xml:space="preserve">the larger amount of </w:t>
      </w:r>
      <w:r>
        <w:rPr>
          <w:rFonts w:ascii="Times New Roman;Times;serif" w:hAnsi="Times New Roman;Times;serif"/>
          <w:color w:val="231F20"/>
          <w:spacing w:val="-3"/>
          <w:sz w:val="20"/>
        </w:rPr>
        <w:t xml:space="preserve">taxes. </w:t>
      </w:r>
      <w:r>
        <w:rPr>
          <w:rFonts w:ascii="Times New Roman;Times;serif" w:hAnsi="Times New Roman;Times;serif"/>
          <w:color w:val="231F20"/>
          <w:sz w:val="20"/>
        </w:rPr>
        <w:t xml:space="preserve">In order to </w:t>
      </w:r>
      <w:r>
        <w:rPr>
          <w:rFonts w:ascii="Times New Roman;Times;serif" w:hAnsi="Times New Roman;Times;serif"/>
          <w:color w:val="231F20"/>
          <w:spacing w:val="-5"/>
          <w:sz w:val="20"/>
        </w:rPr>
        <w:t xml:space="preserve">avoid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application</w:t>
      </w:r>
      <w:r>
        <w:rPr>
          <w:rFonts w:ascii="Times New Roman;Times;serif" w:hAnsi="Times New Roman;Times;serif"/>
          <w:color w:val="231F20"/>
          <w:spacing w:val="-5"/>
          <w:sz w:val="20"/>
        </w:rPr>
        <w:t xml:space="preserve"> </w:t>
      </w:r>
      <w:r>
        <w:rPr>
          <w:rFonts w:ascii="Times New Roman;Times;serif" w:hAnsi="Times New Roman;Times;serif"/>
          <w:color w:val="231F20"/>
          <w:sz w:val="20"/>
        </w:rPr>
        <w:t>of</w:t>
      </w:r>
      <w:r>
        <w:rPr>
          <w:rFonts w:ascii="Times New Roman;Times;serif" w:hAnsi="Times New Roman;Times;serif"/>
          <w:color w:val="231F20"/>
          <w:spacing w:val="17"/>
          <w:sz w:val="20"/>
        </w:rPr>
        <w:t xml:space="preserve"> </w:t>
      </w:r>
      <w:r>
        <w:rPr>
          <w:rFonts w:ascii="Times New Roman;Times;serif" w:hAnsi="Times New Roman;Times;serif"/>
          <w:color w:val="231F20"/>
          <w:sz w:val="20"/>
        </w:rPr>
        <w:t>alternative</w:t>
      </w:r>
      <w:r>
        <w:rPr>
          <w:rFonts w:ascii="Times New Roman;Times;serif" w:hAnsi="Times New Roman;Times;serif"/>
          <w:color w:val="231F20"/>
          <w:spacing w:val="-4"/>
          <w:sz w:val="20"/>
        </w:rPr>
        <w:t xml:space="preserve"> </w:t>
      </w:r>
      <w:r>
        <w:rPr>
          <w:rFonts w:ascii="Times New Roman;Times;serif" w:hAnsi="Times New Roman;Times;serif"/>
          <w:color w:val="231F20"/>
          <w:sz w:val="20"/>
        </w:rPr>
        <w:t>minimum</w:t>
      </w:r>
      <w:r>
        <w:rPr>
          <w:rFonts w:ascii="Times New Roman;Times;serif" w:hAnsi="Times New Roman;Times;serif"/>
          <w:color w:val="231F20"/>
          <w:spacing w:val="-5"/>
          <w:sz w:val="20"/>
        </w:rPr>
        <w:t xml:space="preserve"> </w:t>
      </w:r>
      <w:r>
        <w:rPr>
          <w:rFonts w:ascii="Times New Roman;Times;serif" w:hAnsi="Times New Roman;Times;serif"/>
          <w:color w:val="231F20"/>
          <w:sz w:val="20"/>
        </w:rPr>
        <w:t>tax</w:t>
      </w:r>
      <w:r>
        <w:rPr>
          <w:rFonts w:ascii="Times New Roman;Times;serif" w:hAnsi="Times New Roman;Times;serif"/>
          <w:color w:val="231F20"/>
          <w:spacing w:val="-4"/>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5"/>
          <w:sz w:val="20"/>
        </w:rPr>
        <w:t xml:space="preserve"> </w:t>
      </w:r>
      <w:r>
        <w:rPr>
          <w:rFonts w:ascii="Times New Roman;Times;serif" w:hAnsi="Times New Roman;Times;serif"/>
          <w:color w:val="231F20"/>
          <w:sz w:val="20"/>
        </w:rPr>
        <w:t>respect</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incentive</w:t>
      </w:r>
      <w:r>
        <w:rPr>
          <w:rFonts w:ascii="Times New Roman;Times;serif" w:hAnsi="Times New Roman;Times;serif"/>
          <w:color w:val="231F20"/>
          <w:spacing w:val="-4"/>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5"/>
          <w:sz w:val="20"/>
        </w:rPr>
        <w:t xml:space="preserve"> </w:t>
      </w:r>
      <w:r>
        <w:rPr>
          <w:rFonts w:ascii="Times New Roman;Times;serif" w:hAnsi="Times New Roman;Times;serif"/>
          <w:color w:val="231F20"/>
          <w:sz w:val="20"/>
        </w:rPr>
        <w:t>options,</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5"/>
          <w:sz w:val="20"/>
        </w:rPr>
        <w:t xml:space="preserve"> </w:t>
      </w:r>
      <w:r>
        <w:rPr>
          <w:rFonts w:ascii="Times New Roman;Times;serif" w:hAnsi="Times New Roman;Times;serif"/>
          <w:color w:val="231F20"/>
          <w:sz w:val="20"/>
        </w:rPr>
        <w:t>participant</w:t>
      </w:r>
      <w:r>
        <w:rPr>
          <w:rFonts w:ascii="Times New Roman;Times;serif" w:hAnsi="Times New Roman;Times;serif"/>
          <w:color w:val="231F20"/>
          <w:spacing w:val="-4"/>
          <w:sz w:val="20"/>
        </w:rPr>
        <w:t xml:space="preserve"> </w:t>
      </w:r>
      <w:r>
        <w:rPr>
          <w:rFonts w:ascii="Times New Roman;Times;serif" w:hAnsi="Times New Roman;Times;serif"/>
          <w:color w:val="231F20"/>
          <w:sz w:val="20"/>
        </w:rPr>
        <w:t xml:space="preserve">must sell the shares within the calendar year in which the incentive stock options are exercised.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such a </w:t>
      </w:r>
      <w:r>
        <w:rPr>
          <w:rFonts w:ascii="Times New Roman;Times;serif" w:hAnsi="Times New Roman;Times;serif"/>
          <w:color w:val="231F20"/>
          <w:spacing w:val="-3"/>
          <w:sz w:val="20"/>
        </w:rPr>
        <w:t xml:space="preserve">sale </w:t>
      </w:r>
      <w:r>
        <w:rPr>
          <w:rFonts w:ascii="Times New Roman;Times;serif" w:hAnsi="Times New Roman;Times;serif"/>
          <w:color w:val="231F20"/>
          <w:sz w:val="20"/>
        </w:rPr>
        <w:t>of shares within the year of exercise will constitute a disqualifying disposition, as described</w:t>
      </w:r>
      <w:r>
        <w:rPr>
          <w:rFonts w:ascii="Times New Roman;Times;serif" w:hAnsi="Times New Roman;Times;serif"/>
          <w:color w:val="231F20"/>
          <w:spacing w:val="-25"/>
          <w:sz w:val="20"/>
        </w:rPr>
        <w:t xml:space="preserve"> </w:t>
      </w:r>
      <w:r>
        <w:rPr>
          <w:rFonts w:ascii="Times New Roman;Times;serif" w:hAnsi="Times New Roman;Times;serif"/>
          <w:color w:val="231F20"/>
          <w:spacing w:val="-6"/>
          <w:sz w:val="20"/>
        </w:rPr>
        <w:t>above.</w:t>
      </w:r>
    </w:p>
    <w:p>
      <w:pPr>
        <w:pStyle w:val="TextBody"/>
        <w:bidi w:val="0"/>
        <w:spacing w:before="0" w:after="0"/>
        <w:ind w:left="0" w:right="0" w:firstLine="399"/>
        <w:jc w:val="left"/>
        <w:rPr>
          <w:rFonts w:ascii="Times New Roman;Times;serif" w:hAnsi="Times New Roman;Times;serif"/>
          <w:sz w:val="20"/>
        </w:rPr>
      </w:pPr>
      <w:r>
        <w:rPr>
          <w:rFonts w:ascii="Times New Roman;Times;serif" w:hAnsi="Times New Roman;Times;serif"/>
          <w:i/>
          <w:color w:val="231F20"/>
          <w:sz w:val="20"/>
        </w:rPr>
        <w:t>Stock Appreciation Rights</w:t>
      </w:r>
      <w:r>
        <w:rPr>
          <w:rFonts w:ascii="Times New Roman;Times;serif" w:hAnsi="Times New Roman;Times;serif"/>
          <w:color w:val="231F20"/>
          <w:sz w:val="20"/>
        </w:rPr>
        <w:t>. Recipients of stock appreciation rights, or SARs, if U.S. taxpayers, generally should not recognize income until the SAR is exercised (assuming there is no ceiling on the value of the right). Upon exercise, the recipient will normally recognize taxable ordinary income for U.S. federal income tax purposes equal to the amount of cash and fair market value of the shares, if any, received</w:t>
      </w:r>
      <w:r>
        <w:rPr>
          <w:rFonts w:ascii="Times New Roman;Times;serif" w:hAnsi="Times New Roman;Times;serif"/>
          <w:sz w:val="20"/>
        </w:rPr>
        <w:t xml:space="preserve"> </w:t>
      </w:r>
      <w:r>
        <w:rPr>
          <w:rFonts w:ascii="Times New Roman;Times;serif" w:hAnsi="Times New Roman;Times;serif"/>
          <w:color w:val="231F20"/>
          <w:sz w:val="20"/>
        </w:rPr>
        <w:t xml:space="preserve">upon such </w:t>
      </w:r>
      <w:r>
        <w:rPr>
          <w:rFonts w:ascii="Times New Roman;Times;serif" w:hAnsi="Times New Roman;Times;serif"/>
          <w:color w:val="231F20"/>
          <w:spacing w:val="-3"/>
          <w:sz w:val="20"/>
        </w:rPr>
        <w:t xml:space="preserve">exercise. </w:t>
      </w:r>
      <w:r>
        <w:rPr>
          <w:rFonts w:ascii="Times New Roman;Times;serif" w:hAnsi="Times New Roman;Times;serif"/>
          <w:color w:val="231F20"/>
          <w:sz w:val="20"/>
        </w:rPr>
        <w:t xml:space="preserve">Recipients who are employees will be subject to withholding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federal income and employment tax purposes with respect to income recognized upon exercise of an SAR. Recipients will recognize</w:t>
      </w:r>
      <w:r>
        <w:rPr>
          <w:rFonts w:ascii="Times New Roman;Times;serif" w:hAnsi="Times New Roman;Times;serif"/>
          <w:color w:val="231F20"/>
          <w:spacing w:val="-7"/>
          <w:sz w:val="20"/>
        </w:rPr>
        <w:t xml:space="preserve"> </w:t>
      </w:r>
      <w:r>
        <w:rPr>
          <w:rFonts w:ascii="Times New Roman;Times;serif" w:hAnsi="Times New Roman;Times;serif"/>
          <w:color w:val="231F20"/>
          <w:sz w:val="20"/>
        </w:rPr>
        <w:t>gain</w:t>
      </w:r>
      <w:r>
        <w:rPr>
          <w:rFonts w:ascii="Times New Roman;Times;serif" w:hAnsi="Times New Roman;Times;serif"/>
          <w:color w:val="231F20"/>
          <w:spacing w:val="-6"/>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6"/>
          <w:sz w:val="20"/>
        </w:rPr>
        <w:t xml:space="preserve"> </w:t>
      </w:r>
      <w:r>
        <w:rPr>
          <w:rFonts w:ascii="Times New Roman;Times;serif" w:hAnsi="Times New Roman;Times;serif"/>
          <w:color w:val="231F20"/>
          <w:sz w:val="20"/>
        </w:rPr>
        <w:t>disposition</w:t>
      </w:r>
      <w:r>
        <w:rPr>
          <w:rFonts w:ascii="Times New Roman;Times;serif" w:hAnsi="Times New Roman;Times;serif"/>
          <w:color w:val="231F20"/>
          <w:spacing w:val="-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6"/>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6"/>
          <w:sz w:val="20"/>
        </w:rPr>
        <w:t xml:space="preserve"> </w:t>
      </w:r>
      <w:r>
        <w:rPr>
          <w:rFonts w:ascii="Times New Roman;Times;serif" w:hAnsi="Times New Roman;Times;serif"/>
          <w:color w:val="231F20"/>
          <w:sz w:val="20"/>
        </w:rPr>
        <w:t>received</w:t>
      </w:r>
      <w:r>
        <w:rPr>
          <w:rFonts w:ascii="Times New Roman;Times;serif" w:hAnsi="Times New Roman;Times;serif"/>
          <w:color w:val="231F20"/>
          <w:spacing w:val="-6"/>
          <w:sz w:val="20"/>
        </w:rPr>
        <w:t xml:space="preserve"> </w:t>
      </w:r>
      <w:r>
        <w:rPr>
          <w:rFonts w:ascii="Times New Roman;Times;serif" w:hAnsi="Times New Roman;Times;serif"/>
          <w:color w:val="231F20"/>
          <w:sz w:val="20"/>
        </w:rPr>
        <w:t>on</w:t>
      </w:r>
      <w:r>
        <w:rPr>
          <w:rFonts w:ascii="Times New Roman;Times;serif" w:hAnsi="Times New Roman;Times;serif"/>
          <w:color w:val="231F20"/>
          <w:spacing w:val="-6"/>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an</w:t>
      </w:r>
      <w:r>
        <w:rPr>
          <w:rFonts w:ascii="Times New Roman;Times;serif" w:hAnsi="Times New Roman;Times;serif"/>
          <w:color w:val="231F20"/>
          <w:spacing w:val="-6"/>
          <w:sz w:val="20"/>
        </w:rPr>
        <w:t xml:space="preserve"> </w:t>
      </w:r>
      <w:r>
        <w:rPr>
          <w:rFonts w:ascii="Times New Roman;Times;serif" w:hAnsi="Times New Roman;Times;serif"/>
          <w:color w:val="231F20"/>
          <w:sz w:val="20"/>
        </w:rPr>
        <w:t>SAR</w:t>
      </w:r>
      <w:r>
        <w:rPr>
          <w:rFonts w:ascii="Times New Roman;Times;serif" w:hAnsi="Times New Roman;Times;serif"/>
          <w:color w:val="231F20"/>
          <w:spacing w:val="-6"/>
          <w:sz w:val="20"/>
        </w:rPr>
        <w:t xml:space="preserve"> </w:t>
      </w:r>
      <w:r>
        <w:rPr>
          <w:rFonts w:ascii="Times New Roman;Times;serif" w:hAnsi="Times New Roman;Times;serif"/>
          <w:color w:val="231F20"/>
          <w:sz w:val="20"/>
        </w:rPr>
        <w:t>equal</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6"/>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color w:val="231F20"/>
          <w:sz w:val="20"/>
        </w:rPr>
        <w:t>excess</w:t>
      </w:r>
      <w:r>
        <w:rPr>
          <w:rFonts w:ascii="Times New Roman;Times;serif" w:hAnsi="Times New Roman;Times;serif"/>
          <w:color w:val="231F20"/>
          <w:spacing w:val="-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(i)</w:t>
      </w:r>
      <w:r>
        <w:rPr>
          <w:rFonts w:ascii="Times New Roman;Times;serif" w:hAnsi="Times New Roman;Times;serif"/>
          <w:color w:val="231F20"/>
          <w:spacing w:val="-6"/>
          <w:sz w:val="20"/>
        </w:rPr>
        <w:t> </w:t>
      </w:r>
      <w:r>
        <w:rPr>
          <w:rFonts w:ascii="Times New Roman;Times;serif" w:hAnsi="Times New Roman;Times;serif"/>
          <w:color w:val="231F20"/>
          <w:sz w:val="20"/>
        </w:rPr>
        <w:t xml:space="preserve">the amount realized on such disposition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 xml:space="preserve">(ii) the ordinary income recognized with respect to such shares under the principles set forth </w:t>
      </w:r>
      <w:r>
        <w:rPr>
          <w:rFonts w:ascii="Times New Roman;Times;serif" w:hAnsi="Times New Roman;Times;serif"/>
          <w:color w:val="231F20"/>
          <w:spacing w:val="-6"/>
          <w:sz w:val="20"/>
        </w:rPr>
        <w:t xml:space="preserve">above. </w:t>
      </w:r>
      <w:r>
        <w:rPr>
          <w:rFonts w:ascii="Times New Roman;Times;serif" w:hAnsi="Times New Roman;Times;serif"/>
          <w:color w:val="231F20"/>
          <w:sz w:val="20"/>
        </w:rPr>
        <w:t xml:space="preserve">That gain will be taxable as long or short-term capital gain depending on whether the shares were held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more than one </w:t>
      </w:r>
      <w:r>
        <w:rPr>
          <w:rFonts w:ascii="Times New Roman;Times;serif" w:hAnsi="Times New Roman;Times;serif"/>
          <w:color w:val="231F20"/>
          <w:spacing w:val="-3"/>
          <w:sz w:val="20"/>
        </w:rPr>
        <w:t xml:space="preserve">year.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will be entitled to a tax deduction to the extent and in the year that ordinary income is recognized by the recipient, subject to possible limitations imposed by</w:t>
      </w:r>
      <w:r>
        <w:rPr>
          <w:rFonts w:ascii="Times New Roman;Times;serif" w:hAnsi="Times New Roman;Times;serif"/>
          <w:color w:val="231F20"/>
          <w:spacing w:val="-4"/>
          <w:sz w:val="20"/>
        </w:rPr>
        <w:t xml:space="preserve"> </w:t>
      </w:r>
      <w:r>
        <w:rPr>
          <w:rFonts w:ascii="Times New Roman;Times;serif" w:hAnsi="Times New Roman;Times;serif"/>
          <w:color w:val="231F20"/>
          <w:sz w:val="20"/>
        </w:rPr>
        <w:t>Section</w:t>
      </w:r>
      <w:r>
        <w:rPr>
          <w:rFonts w:ascii="Times New Roman;Times;serif" w:hAnsi="Times New Roman;Times;serif"/>
          <w:color w:val="231F20"/>
          <w:spacing w:val="-4"/>
          <w:sz w:val="20"/>
        </w:rPr>
        <w:t xml:space="preserve"> </w:t>
      </w:r>
      <w:r>
        <w:rPr>
          <w:rFonts w:ascii="Times New Roman;Times;serif" w:hAnsi="Times New Roman;Times;serif"/>
          <w:color w:val="231F20"/>
          <w:sz w:val="20"/>
        </w:rPr>
        <w:t>162(m)</w:t>
      </w:r>
      <w:r>
        <w:rPr>
          <w:rFonts w:ascii="Times New Roman;Times;serif" w:hAnsi="Times New Roman;Times;serif"/>
          <w:color w:val="231F20"/>
          <w:spacing w:val="-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Code</w:t>
      </w:r>
      <w:r>
        <w:rPr>
          <w:rFonts w:ascii="Times New Roman;Times;serif" w:hAnsi="Times New Roman;Times;serif"/>
          <w:color w:val="231F20"/>
          <w:spacing w:val="-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
          <w:sz w:val="20"/>
        </w:rPr>
        <w:t xml:space="preserve"> </w:t>
      </w:r>
      <w:r>
        <w:rPr>
          <w:rFonts w:ascii="Times New Roman;Times;serif" w:hAnsi="Times New Roman;Times;serif"/>
          <w:color w:val="231F20"/>
          <w:sz w:val="20"/>
        </w:rPr>
        <w:t>so</w:t>
      </w:r>
      <w:r>
        <w:rPr>
          <w:rFonts w:ascii="Times New Roman;Times;serif" w:hAnsi="Times New Roman;Times;serif"/>
          <w:color w:val="231F20"/>
          <w:spacing w:val="-4"/>
          <w:sz w:val="20"/>
        </w:rPr>
        <w:t xml:space="preserve"> </w:t>
      </w:r>
      <w:r>
        <w:rPr>
          <w:rFonts w:ascii="Times New Roman;Times;serif" w:hAnsi="Times New Roman;Times;serif"/>
          <w:color w:val="231F20"/>
          <w:sz w:val="20"/>
        </w:rPr>
        <w:t>long</w:t>
      </w:r>
      <w:r>
        <w:rPr>
          <w:rFonts w:ascii="Times New Roman;Times;serif" w:hAnsi="Times New Roman;Times;serif"/>
          <w:color w:val="231F20"/>
          <w:spacing w:val="-3"/>
          <w:sz w:val="20"/>
        </w:rPr>
        <w:t xml:space="preserve"> </w:t>
      </w:r>
      <w:r>
        <w:rPr>
          <w:rFonts w:ascii="Times New Roman;Times;serif" w:hAnsi="Times New Roman;Times;serif"/>
          <w:color w:val="231F20"/>
          <w:sz w:val="20"/>
        </w:rPr>
        <w:t>as</w:t>
      </w:r>
      <w:r>
        <w:rPr>
          <w:rFonts w:ascii="Times New Roman;Times;serif" w:hAnsi="Times New Roman;Times;serif"/>
          <w:color w:val="231F20"/>
          <w:spacing w:val="-4"/>
          <w:sz w:val="20"/>
        </w:rPr>
        <w:t xml:space="preserve"> </w:t>
      </w:r>
      <w:r>
        <w:rPr>
          <w:rFonts w:ascii="Times New Roman;Times;serif" w:hAnsi="Times New Roman;Times;serif"/>
          <w:color w:val="231F20"/>
          <w:sz w:val="20"/>
        </w:rPr>
        <w:t>we</w:t>
      </w:r>
      <w:r>
        <w:rPr>
          <w:rFonts w:ascii="Times New Roman;Times;serif" w:hAnsi="Times New Roman;Times;serif"/>
          <w:color w:val="231F20"/>
          <w:spacing w:val="-4"/>
          <w:sz w:val="20"/>
        </w:rPr>
        <w:t xml:space="preserve"> </w:t>
      </w:r>
      <w:r>
        <w:rPr>
          <w:rFonts w:ascii="Times New Roman;Times;serif" w:hAnsi="Times New Roman;Times;serif"/>
          <w:color w:val="231F20"/>
          <w:sz w:val="20"/>
        </w:rPr>
        <w:t>withhold</w:t>
      </w:r>
      <w:r>
        <w:rPr>
          <w:rFonts w:ascii="Times New Roman;Times;serif" w:hAnsi="Times New Roman;Times;serif"/>
          <w:color w:val="231F20"/>
          <w:spacing w:val="-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appropriate</w:t>
      </w:r>
      <w:r>
        <w:rPr>
          <w:rFonts w:ascii="Times New Roman;Times;serif" w:hAnsi="Times New Roman;Times;serif"/>
          <w:color w:val="231F20"/>
          <w:spacing w:val="-4"/>
          <w:sz w:val="20"/>
        </w:rPr>
        <w:t xml:space="preserve"> </w:t>
      </w:r>
      <w:r>
        <w:rPr>
          <w:rFonts w:ascii="Times New Roman;Times;serif" w:hAnsi="Times New Roman;Times;serif"/>
          <w:color w:val="231F20"/>
          <w:sz w:val="20"/>
        </w:rPr>
        <w:t>taxes</w:t>
      </w:r>
      <w:r>
        <w:rPr>
          <w:rFonts w:ascii="Times New Roman;Times;serif" w:hAnsi="Times New Roman;Times;serif"/>
          <w:color w:val="231F20"/>
          <w:spacing w:val="-3"/>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4"/>
          <w:sz w:val="20"/>
        </w:rPr>
        <w:t xml:space="preserve"> </w:t>
      </w:r>
      <w:r>
        <w:rPr>
          <w:rFonts w:ascii="Times New Roman;Times;serif" w:hAnsi="Times New Roman;Times;serif"/>
          <w:color w:val="231F20"/>
          <w:sz w:val="20"/>
        </w:rPr>
        <w:t>respect</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3"/>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4"/>
          <w:sz w:val="20"/>
        </w:rPr>
        <w:t xml:space="preserve"> </w:t>
      </w:r>
      <w:r>
        <w:rPr>
          <w:rFonts w:ascii="Times New Roman;Times;serif" w:hAnsi="Times New Roman;Times;serif"/>
          <w:color w:val="231F20"/>
          <w:sz w:val="20"/>
        </w:rPr>
        <w:t>income (if required) and the recipient’s total compensation is deemed reasonable in</w:t>
      </w:r>
      <w:r>
        <w:rPr>
          <w:rFonts w:ascii="Times New Roman;Times;serif" w:hAnsi="Times New Roman;Times;serif"/>
          <w:color w:val="231F20"/>
          <w:spacing w:val="-15"/>
          <w:sz w:val="20"/>
        </w:rPr>
        <w:t xml:space="preserve"> </w:t>
      </w:r>
      <w:r>
        <w:rPr>
          <w:rFonts w:ascii="Times New Roman;Times;serif" w:hAnsi="Times New Roman;Times;serif"/>
          <w:color w:val="231F20"/>
          <w:sz w:val="20"/>
        </w:rPr>
        <w:t>amount.</w:t>
      </w:r>
    </w:p>
    <w:p>
      <w:pPr>
        <w:pStyle w:val="TextBody"/>
        <w:bidi w:val="0"/>
        <w:spacing w:before="0" w:after="200"/>
        <w:ind w:left="0" w:right="0" w:firstLine="399"/>
        <w:jc w:val="left"/>
        <w:rPr>
          <w:rFonts w:ascii="Times New Roman;Times;serif" w:hAnsi="Times New Roman;Times;serif"/>
          <w:color w:val="231F20"/>
          <w:sz w:val="20"/>
        </w:rPr>
      </w:pPr>
      <w:r>
        <w:rPr>
          <w:rFonts w:ascii="Times New Roman;Times;serif" w:hAnsi="Times New Roman;Times;serif"/>
          <w:color w:val="231F20"/>
          <w:sz w:val="20"/>
        </w:rPr>
        <w:t>An SAR can be considered non-qualified deferred compensation and be subject to Section 409A of the Code. An SAR that does not meet the requirements of Code Section 409A can result in the acceleration of income recognition, an additional 20% tax obligation, plus penalties and interest.</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i/>
          <w:color w:val="231F20"/>
          <w:sz w:val="20"/>
        </w:rPr>
        <w:t>Restricted Stock</w:t>
      </w:r>
      <w:r>
        <w:rPr>
          <w:rFonts w:ascii="Times New Roman;Times;serif" w:hAnsi="Times New Roman;Times;serif"/>
          <w:color w:val="231F20"/>
          <w:sz w:val="20"/>
        </w:rPr>
        <w:t xml:space="preserve">. The grant of restricted stock will subject the recipient to ordinary compensation income on the difference between the amount paid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such stock and the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of the shares on the</w:t>
      </w:r>
      <w:r>
        <w:rPr>
          <w:rFonts w:ascii="Times New Roman;Times;serif" w:hAnsi="Times New Roman;Times;serif"/>
          <w:color w:val="231F20"/>
          <w:spacing w:val="-12"/>
          <w:sz w:val="20"/>
        </w:rPr>
        <w:t xml:space="preserve"> </w:t>
      </w:r>
      <w:r>
        <w:rPr>
          <w:rFonts w:ascii="Times New Roman;Times;serif" w:hAnsi="Times New Roman;Times;serif"/>
          <w:color w:val="231F20"/>
          <w:sz w:val="20"/>
        </w:rPr>
        <w:t>date</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1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1"/>
          <w:sz w:val="20"/>
        </w:rPr>
        <w:t xml:space="preserve"> </w:t>
      </w:r>
      <w:r>
        <w:rPr>
          <w:rFonts w:ascii="Times New Roman;Times;serif" w:hAnsi="Times New Roman;Times;serif"/>
          <w:color w:val="231F20"/>
          <w:sz w:val="20"/>
        </w:rPr>
        <w:t>restrictions</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lapse.</w:t>
      </w:r>
      <w:r>
        <w:rPr>
          <w:rFonts w:ascii="Times New Roman;Times;serif" w:hAnsi="Times New Roman;Times;serif"/>
          <w:color w:val="231F20"/>
          <w:spacing w:val="-12"/>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11"/>
          <w:sz w:val="20"/>
        </w:rPr>
        <w:t xml:space="preserve"> </w:t>
      </w:r>
      <w:r>
        <w:rPr>
          <w:rFonts w:ascii="Times New Roman;Times;serif" w:hAnsi="Times New Roman;Times;serif"/>
          <w:color w:val="231F20"/>
          <w:sz w:val="20"/>
        </w:rPr>
        <w:t>income</w:t>
      </w:r>
      <w:r>
        <w:rPr>
          <w:rFonts w:ascii="Times New Roman;Times;serif" w:hAnsi="Times New Roman;Times;serif"/>
          <w:color w:val="231F20"/>
          <w:spacing w:val="-11"/>
          <w:sz w:val="20"/>
        </w:rPr>
        <w:t xml:space="preserve"> </w:t>
      </w:r>
      <w:r>
        <w:rPr>
          <w:rFonts w:ascii="Times New Roman;Times;serif" w:hAnsi="Times New Roman;Times;serif"/>
          <w:color w:val="231F20"/>
          <w:sz w:val="20"/>
        </w:rPr>
        <w:t>is</w:t>
      </w:r>
      <w:r>
        <w:rPr>
          <w:rFonts w:ascii="Times New Roman;Times;serif" w:hAnsi="Times New Roman;Times;serif"/>
          <w:color w:val="231F20"/>
          <w:spacing w:val="-12"/>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11"/>
          <w:sz w:val="20"/>
        </w:rPr>
        <w:t xml:space="preserve"> </w:t>
      </w:r>
      <w:r>
        <w:rPr>
          <w:rFonts w:ascii="Times New Roman;Times;serif" w:hAnsi="Times New Roman;Times;serif"/>
          <w:color w:val="231F20"/>
          <w:sz w:val="20"/>
        </w:rPr>
        <w:t>to</w:t>
      </w:r>
      <w:r>
        <w:rPr>
          <w:rFonts w:ascii="Times New Roman;Times;serif" w:hAnsi="Times New Roman;Times;serif"/>
          <w:color w:val="231F20"/>
          <w:spacing w:val="-11"/>
          <w:sz w:val="20"/>
        </w:rPr>
        <w:t xml:space="preserve"> </w:t>
      </w:r>
      <w:r>
        <w:rPr>
          <w:rFonts w:ascii="Times New Roman;Times;serif" w:hAnsi="Times New Roman;Times;serif"/>
          <w:color w:val="231F20"/>
          <w:sz w:val="20"/>
        </w:rPr>
        <w:t>withholding</w:t>
      </w:r>
      <w:r>
        <w:rPr>
          <w:rFonts w:ascii="Times New Roman;Times;serif" w:hAnsi="Times New Roman;Times;serif"/>
          <w:color w:val="231F20"/>
          <w:spacing w:val="-12"/>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1"/>
          <w:sz w:val="20"/>
        </w:rPr>
        <w:t xml:space="preserve"> </w:t>
      </w:r>
      <w:r>
        <w:rPr>
          <w:rFonts w:ascii="Times New Roman;Times;serif" w:hAnsi="Times New Roman;Times;serif"/>
          <w:color w:val="231F20"/>
          <w:sz w:val="20"/>
        </w:rPr>
        <w:t>federal</w:t>
      </w:r>
      <w:r>
        <w:rPr>
          <w:rFonts w:ascii="Times New Roman;Times;serif" w:hAnsi="Times New Roman;Times;serif"/>
          <w:color w:val="231F20"/>
          <w:spacing w:val="-11"/>
          <w:sz w:val="20"/>
        </w:rPr>
        <w:t xml:space="preserve"> </w:t>
      </w:r>
      <w:r>
        <w:rPr>
          <w:rFonts w:ascii="Times New Roman;Times;serif" w:hAnsi="Times New Roman;Times;serif"/>
          <w:color w:val="231F20"/>
          <w:sz w:val="20"/>
        </w:rPr>
        <w:t>income</w:t>
      </w:r>
      <w:r>
        <w:rPr>
          <w:rFonts w:ascii="Times New Roman;Times;serif" w:hAnsi="Times New Roman;Times;serif"/>
          <w:color w:val="231F20"/>
          <w:spacing w:val="-1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1"/>
          <w:sz w:val="20"/>
        </w:rPr>
        <w:t xml:space="preserve"> </w:t>
      </w:r>
      <w:r>
        <w:rPr>
          <w:rFonts w:ascii="Times New Roman;Times;serif" w:hAnsi="Times New Roman;Times;serif"/>
          <w:color w:val="231F20"/>
          <w:sz w:val="20"/>
        </w:rPr>
        <w:t>employment tax</w:t>
      </w:r>
      <w:r>
        <w:rPr>
          <w:rFonts w:ascii="Times New Roman;Times;serif" w:hAnsi="Times New Roman;Times;serif"/>
          <w:color w:val="231F20"/>
          <w:spacing w:val="-6"/>
          <w:sz w:val="20"/>
        </w:rPr>
        <w:t xml:space="preserve"> </w:t>
      </w:r>
      <w:r>
        <w:rPr>
          <w:rFonts w:ascii="Times New Roman;Times;serif" w:hAnsi="Times New Roman;Times;serif"/>
          <w:color w:val="231F20"/>
          <w:sz w:val="20"/>
        </w:rPr>
        <w:t>purposes.</w:t>
      </w:r>
      <w:r>
        <w:rPr>
          <w:rFonts w:ascii="Times New Roman;Times;serif" w:hAnsi="Times New Roman;Times;serif"/>
          <w:color w:val="231F20"/>
          <w:spacing w:val="-6"/>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6"/>
          <w:sz w:val="20"/>
        </w:rPr>
        <w:t xml:space="preserve"> </w:t>
      </w:r>
      <w:r>
        <w:rPr>
          <w:rFonts w:ascii="Times New Roman;Times;serif" w:hAnsi="Times New Roman;Times;serif"/>
          <w:color w:val="231F20"/>
          <w:sz w:val="20"/>
        </w:rPr>
        <w:t>are</w:t>
      </w:r>
      <w:r>
        <w:rPr>
          <w:rFonts w:ascii="Times New Roman;Times;serif" w:hAnsi="Times New Roman;Times;serif"/>
          <w:color w:val="231F20"/>
          <w:spacing w:val="-5"/>
          <w:sz w:val="20"/>
        </w:rPr>
        <w:t xml:space="preserve"> </w:t>
      </w:r>
      <w:r>
        <w:rPr>
          <w:rFonts w:ascii="Times New Roman;Times;serif" w:hAnsi="Times New Roman;Times;serif"/>
          <w:color w:val="231F20"/>
          <w:sz w:val="20"/>
        </w:rPr>
        <w:t>entitled</w:t>
      </w:r>
      <w:r>
        <w:rPr>
          <w:rFonts w:ascii="Times New Roman;Times;serif" w:hAnsi="Times New Roman;Times;serif"/>
          <w:color w:val="231F20"/>
          <w:spacing w:val="-6"/>
          <w:sz w:val="20"/>
        </w:rPr>
        <w:t xml:space="preserve"> </w:t>
      </w:r>
      <w:r>
        <w:rPr>
          <w:rFonts w:ascii="Times New Roman;Times;serif" w:hAnsi="Times New Roman;Times;serif"/>
          <w:color w:val="231F20"/>
          <w:sz w:val="20"/>
        </w:rPr>
        <w:t>to</w:t>
      </w:r>
      <w:r>
        <w:rPr>
          <w:rFonts w:ascii="Times New Roman;Times;serif" w:hAnsi="Times New Roman;Times;serif"/>
          <w:color w:val="231F20"/>
          <w:spacing w:val="-6"/>
          <w:sz w:val="20"/>
        </w:rPr>
        <w:t xml:space="preserve"> </w:t>
      </w:r>
      <w:r>
        <w:rPr>
          <w:rFonts w:ascii="Times New Roman;Times;serif" w:hAnsi="Times New Roman;Times;serif"/>
          <w:color w:val="231F20"/>
          <w:sz w:val="20"/>
        </w:rPr>
        <w:t>an</w:t>
      </w:r>
      <w:r>
        <w:rPr>
          <w:rFonts w:ascii="Times New Roman;Times;serif" w:hAnsi="Times New Roman;Times;serif"/>
          <w:color w:val="231F20"/>
          <w:spacing w:val="-6"/>
          <w:sz w:val="20"/>
        </w:rPr>
        <w:t xml:space="preserve"> </w:t>
      </w:r>
      <w:r>
        <w:rPr>
          <w:rFonts w:ascii="Times New Roman;Times;serif" w:hAnsi="Times New Roman;Times;serif"/>
          <w:color w:val="231F20"/>
          <w:sz w:val="20"/>
        </w:rPr>
        <w:t>income</w:t>
      </w:r>
      <w:r>
        <w:rPr>
          <w:rFonts w:ascii="Times New Roman;Times;serif" w:hAnsi="Times New Roman;Times;serif"/>
          <w:color w:val="231F20"/>
          <w:spacing w:val="-5"/>
          <w:sz w:val="20"/>
        </w:rPr>
        <w:t xml:space="preserve"> </w:t>
      </w:r>
      <w:r>
        <w:rPr>
          <w:rFonts w:ascii="Times New Roman;Times;serif" w:hAnsi="Times New Roman;Times;serif"/>
          <w:color w:val="231F20"/>
          <w:sz w:val="20"/>
        </w:rPr>
        <w:t>tax</w:t>
      </w:r>
      <w:r>
        <w:rPr>
          <w:rFonts w:ascii="Times New Roman;Times;serif" w:hAnsi="Times New Roman;Times;serif"/>
          <w:color w:val="231F20"/>
          <w:spacing w:val="-6"/>
          <w:sz w:val="20"/>
        </w:rPr>
        <w:t xml:space="preserve"> </w:t>
      </w:r>
      <w:r>
        <w:rPr>
          <w:rFonts w:ascii="Times New Roman;Times;serif" w:hAnsi="Times New Roman;Times;serif"/>
          <w:color w:val="231F20"/>
          <w:sz w:val="20"/>
        </w:rPr>
        <w:t>deduction</w:t>
      </w:r>
      <w:r>
        <w:rPr>
          <w:rFonts w:ascii="Times New Roman;Times;serif" w:hAnsi="Times New Roman;Times;serif"/>
          <w:color w:val="231F20"/>
          <w:spacing w:val="-6"/>
          <w:sz w:val="20"/>
        </w:rPr>
        <w:t xml:space="preserve"> </w:t>
      </w:r>
      <w:r>
        <w:rPr>
          <w:rFonts w:ascii="Times New Roman;Times;serif" w:hAnsi="Times New Roman;Times;serif"/>
          <w:color w:val="231F20"/>
          <w:sz w:val="20"/>
        </w:rPr>
        <w:t>in</w:t>
      </w:r>
      <w:r>
        <w:rPr>
          <w:rFonts w:ascii="Times New Roman;Times;serif" w:hAnsi="Times New Roman;Times;serif"/>
          <w:color w:val="231F20"/>
          <w:spacing w:val="-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6"/>
          <w:sz w:val="20"/>
        </w:rPr>
        <w:t xml:space="preserve"> </w:t>
      </w:r>
      <w:r>
        <w:rPr>
          <w:rFonts w:ascii="Times New Roman;Times;serif" w:hAnsi="Times New Roman;Times;serif"/>
          <w:color w:val="231F20"/>
          <w:sz w:val="20"/>
        </w:rPr>
        <w:t>amount</w:t>
      </w:r>
      <w:r>
        <w:rPr>
          <w:rFonts w:ascii="Times New Roman;Times;serif" w:hAnsi="Times New Roman;Times;serif"/>
          <w:color w:val="231F20"/>
          <w:spacing w:val="-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6"/>
          <w:sz w:val="20"/>
        </w:rPr>
        <w:t xml:space="preserve"> </w:t>
      </w:r>
      <w:r>
        <w:rPr>
          <w:rFonts w:ascii="Times New Roman;Times;serif" w:hAnsi="Times New Roman;Times;serif"/>
          <w:color w:val="231F20"/>
          <w:sz w:val="20"/>
        </w:rPr>
        <w:t>ordinary</w:t>
      </w:r>
      <w:r>
        <w:rPr>
          <w:rFonts w:ascii="Times New Roman;Times;serif" w:hAnsi="Times New Roman;Times;serif"/>
          <w:color w:val="231F20"/>
          <w:spacing w:val="-5"/>
          <w:sz w:val="20"/>
        </w:rPr>
        <w:t xml:space="preserve"> </w:t>
      </w:r>
      <w:r>
        <w:rPr>
          <w:rFonts w:ascii="Times New Roman;Times;serif" w:hAnsi="Times New Roman;Times;serif"/>
          <w:color w:val="231F20"/>
          <w:sz w:val="20"/>
        </w:rPr>
        <w:t>income</w:t>
      </w:r>
      <w:r>
        <w:rPr>
          <w:rFonts w:ascii="Times New Roman;Times;serif" w:hAnsi="Times New Roman;Times;serif"/>
          <w:color w:val="231F20"/>
          <w:spacing w:val="-6"/>
          <w:sz w:val="20"/>
        </w:rPr>
        <w:t xml:space="preserve"> </w:t>
      </w:r>
      <w:r>
        <w:rPr>
          <w:rFonts w:ascii="Times New Roman;Times;serif" w:hAnsi="Times New Roman;Times;serif"/>
          <w:color w:val="231F20"/>
          <w:sz w:val="20"/>
        </w:rPr>
        <w:t>recognized</w:t>
      </w:r>
      <w:r>
        <w:rPr>
          <w:rFonts w:ascii="Times New Roman;Times;serif" w:hAnsi="Times New Roman;Times;serif"/>
          <w:color w:val="231F20"/>
          <w:spacing w:val="-6"/>
          <w:sz w:val="20"/>
        </w:rPr>
        <w:t xml:space="preserve"> </w:t>
      </w:r>
      <w:r>
        <w:rPr>
          <w:rFonts w:ascii="Times New Roman;Times;serif" w:hAnsi="Times New Roman;Times;serif"/>
          <w:color w:val="231F20"/>
          <w:sz w:val="20"/>
        </w:rPr>
        <w:t xml:space="preserve">by the recipient, subject to possible limitations imposed by Section 162(m) of the Code and so long as we withhold the appropriate taxes with respect to such income (if required) and the participant’s total compensation is deemed reasonable in amount.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gain or loss on the recipient’s subsequent disposition of the shares will receive long or short-term capital gain or loss treatment depending on how long the stock has been held since the restrictions lapsed.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do not receive a tax deduction </w:t>
      </w:r>
      <w:r>
        <w:rPr>
          <w:rFonts w:ascii="Times New Roman;Times;serif" w:hAnsi="Times New Roman;Times;serif"/>
          <w:color w:val="231F20"/>
          <w:spacing w:val="-3"/>
          <w:sz w:val="20"/>
        </w:rPr>
        <w:t xml:space="preserve">for any </w:t>
      </w:r>
      <w:r>
        <w:rPr>
          <w:rFonts w:ascii="Times New Roman;Times;serif" w:hAnsi="Times New Roman;Times;serif"/>
          <w:color w:val="231F20"/>
          <w:sz w:val="20"/>
        </w:rPr>
        <w:t>such</w:t>
      </w:r>
      <w:r>
        <w:rPr>
          <w:rFonts w:ascii="Times New Roman;Times;serif" w:hAnsi="Times New Roman;Times;serif"/>
          <w:color w:val="231F20"/>
          <w:spacing w:val="-26"/>
          <w:sz w:val="20"/>
        </w:rPr>
        <w:t xml:space="preserve"> </w:t>
      </w:r>
      <w:r>
        <w:rPr>
          <w:rFonts w:ascii="Times New Roman;Times;serif" w:hAnsi="Times New Roman;Times;serif"/>
          <w:color w:val="231F20"/>
          <w:sz w:val="20"/>
        </w:rPr>
        <w:t>gain.</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z w:val="20"/>
        </w:rPr>
        <w:t xml:space="preserve">Recipients of restricted stock </w:t>
      </w:r>
      <w:r>
        <w:rPr>
          <w:rFonts w:ascii="Times New Roman;Times;serif" w:hAnsi="Times New Roman;Times;serif"/>
          <w:color w:val="231F20"/>
          <w:spacing w:val="-3"/>
          <w:sz w:val="20"/>
        </w:rPr>
        <w:t xml:space="preserve">may </w:t>
      </w:r>
      <w:r>
        <w:rPr>
          <w:rFonts w:ascii="Times New Roman;Times;serif" w:hAnsi="Times New Roman;Times;serif"/>
          <w:color w:val="231F20"/>
          <w:spacing w:val="-4"/>
          <w:sz w:val="20"/>
        </w:rPr>
        <w:t xml:space="preserve">make </w:t>
      </w:r>
      <w:r>
        <w:rPr>
          <w:rFonts w:ascii="Times New Roman;Times;serif" w:hAnsi="Times New Roman;Times;serif"/>
          <w:color w:val="231F20"/>
          <w:sz w:val="20"/>
        </w:rPr>
        <w:t xml:space="preserve">an election under Section 83(b) of the Code, or a Section 83(b) Election, to recognize as ordinary compensation income in the year that such restricted stock is granted, the amount equal to the spread between the amount paid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such stock and the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on the date of the issuance of the stock. If such an election is made, the recipient recognizes no further amounts of compensation</w:t>
      </w:r>
      <w:r>
        <w:rPr>
          <w:rFonts w:ascii="Times New Roman;Times;serif" w:hAnsi="Times New Roman;Times;serif"/>
          <w:color w:val="231F20"/>
          <w:spacing w:val="-10"/>
          <w:sz w:val="20"/>
        </w:rPr>
        <w:t xml:space="preserve"> </w:t>
      </w:r>
      <w:r>
        <w:rPr>
          <w:rFonts w:ascii="Times New Roman;Times;serif" w:hAnsi="Times New Roman;Times;serif"/>
          <w:color w:val="231F20"/>
          <w:sz w:val="20"/>
        </w:rPr>
        <w:t>income</w:t>
      </w:r>
      <w:r>
        <w:rPr>
          <w:rFonts w:ascii="Times New Roman;Times;serif" w:hAnsi="Times New Roman;Times;serif"/>
          <w:color w:val="231F20"/>
          <w:spacing w:val="-9"/>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1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lapse</w:t>
      </w:r>
      <w:r>
        <w:rPr>
          <w:rFonts w:ascii="Times New Roman;Times;serif" w:hAnsi="Times New Roman;Times;serif"/>
          <w:color w:val="231F20"/>
          <w:spacing w:val="-10"/>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9"/>
          <w:sz w:val="20"/>
        </w:rPr>
        <w:t xml:space="preserve"> </w:t>
      </w:r>
      <w:r>
        <w:rPr>
          <w:rFonts w:ascii="Times New Roman;Times;serif" w:hAnsi="Times New Roman;Times;serif"/>
          <w:color w:val="231F20"/>
          <w:sz w:val="20"/>
        </w:rPr>
        <w:t>restrictions</w:t>
      </w:r>
      <w:r>
        <w:rPr>
          <w:rFonts w:ascii="Times New Roman;Times;serif" w:hAnsi="Times New Roman;Times;serif"/>
          <w:color w:val="231F20"/>
          <w:spacing w:val="-1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0"/>
          <w:sz w:val="20"/>
        </w:rPr>
        <w:t xml:space="preserve"> </w:t>
      </w:r>
      <w:r>
        <w:rPr>
          <w:rFonts w:ascii="Times New Roman;Times;serif" w:hAnsi="Times New Roman;Times;serif"/>
          <w:color w:val="231F20"/>
          <w:sz w:val="20"/>
        </w:rPr>
        <w:t>gain</w:t>
      </w:r>
      <w:r>
        <w:rPr>
          <w:rFonts w:ascii="Times New Roman;Times;serif" w:hAnsi="Times New Roman;Times;serif"/>
          <w:color w:val="231F20"/>
          <w:spacing w:val="-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0"/>
          <w:sz w:val="20"/>
        </w:rPr>
        <w:t xml:space="preserve"> </w:t>
      </w:r>
      <w:r>
        <w:rPr>
          <w:rFonts w:ascii="Times New Roman;Times;serif" w:hAnsi="Times New Roman;Times;serif"/>
          <w:color w:val="231F20"/>
          <w:sz w:val="20"/>
        </w:rPr>
        <w:t>loss</w:t>
      </w:r>
      <w:r>
        <w:rPr>
          <w:rFonts w:ascii="Times New Roman;Times;serif" w:hAnsi="Times New Roman;Times;serif"/>
          <w:color w:val="231F20"/>
          <w:spacing w:val="-9"/>
          <w:sz w:val="20"/>
        </w:rPr>
        <w:t xml:space="preserve"> </w:t>
      </w:r>
      <w:r>
        <w:rPr>
          <w:rFonts w:ascii="Times New Roman;Times;serif" w:hAnsi="Times New Roman;Times;serif"/>
          <w:color w:val="231F20"/>
          <w:sz w:val="20"/>
        </w:rPr>
        <w:t>on</w:t>
      </w:r>
      <w:r>
        <w:rPr>
          <w:rFonts w:ascii="Times New Roman;Times;serif" w:hAnsi="Times New Roman;Times;serif"/>
          <w:color w:val="231F20"/>
          <w:spacing w:val="-10"/>
          <w:sz w:val="20"/>
        </w:rPr>
        <w:t xml:space="preserve"> </w:t>
      </w:r>
      <w:r>
        <w:rPr>
          <w:rFonts w:ascii="Times New Roman;Times;serif" w:hAnsi="Times New Roman;Times;serif"/>
          <w:color w:val="231F20"/>
          <w:sz w:val="20"/>
        </w:rPr>
        <w:t>subsequent</w:t>
      </w:r>
      <w:r>
        <w:rPr>
          <w:rFonts w:ascii="Times New Roman;Times;serif" w:hAnsi="Times New Roman;Times;serif"/>
          <w:color w:val="231F20"/>
          <w:spacing w:val="-9"/>
          <w:sz w:val="20"/>
        </w:rPr>
        <w:t xml:space="preserve"> </w:t>
      </w:r>
      <w:r>
        <w:rPr>
          <w:rFonts w:ascii="Times New Roman;Times;serif" w:hAnsi="Times New Roman;Times;serif"/>
          <w:color w:val="231F20"/>
          <w:sz w:val="20"/>
        </w:rPr>
        <w:t>disposition</w:t>
      </w:r>
      <w:r>
        <w:rPr>
          <w:rFonts w:ascii="Times New Roman;Times;serif" w:hAnsi="Times New Roman;Times;serif"/>
          <w:color w:val="231F20"/>
          <w:spacing w:val="-10"/>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9"/>
          <w:sz w:val="20"/>
        </w:rPr>
        <w:t xml:space="preserve"> </w:t>
      </w:r>
      <w:r>
        <w:rPr>
          <w:rFonts w:ascii="Times New Roman;Times;serif" w:hAnsi="Times New Roman;Times;serif"/>
          <w:color w:val="231F20"/>
          <w:spacing w:val="-8"/>
          <w:sz w:val="20"/>
        </w:rPr>
        <w:t xml:space="preserve">be </w:t>
      </w:r>
      <w:r>
        <w:rPr>
          <w:rFonts w:ascii="Times New Roman;Times;serif" w:hAnsi="Times New Roman;Times;serif"/>
          <w:color w:val="231F20"/>
          <w:sz w:val="20"/>
        </w:rPr>
        <w:t>long or short-term capital gain to the recipient. The Section 83(b) Election must be made within 30 days from the time the restricted stock is</w:t>
      </w:r>
      <w:r>
        <w:rPr>
          <w:rFonts w:ascii="Times New Roman;Times;serif" w:hAnsi="Times New Roman;Times;serif"/>
          <w:color w:val="231F20"/>
          <w:spacing w:val="-24"/>
          <w:sz w:val="20"/>
        </w:rPr>
        <w:t xml:space="preserve"> </w:t>
      </w:r>
      <w:r>
        <w:rPr>
          <w:rFonts w:ascii="Times New Roman;Times;serif" w:hAnsi="Times New Roman;Times;serif"/>
          <w:color w:val="231F20"/>
          <w:sz w:val="20"/>
        </w:rPr>
        <w:t>issued.</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i/>
          <w:color w:val="231F20"/>
          <w:sz w:val="20"/>
        </w:rPr>
        <w:t>Restricted Stock Units</w:t>
      </w:r>
      <w:r>
        <w:rPr>
          <w:rFonts w:ascii="Times New Roman;Times;serif" w:hAnsi="Times New Roman;Times;serif"/>
          <w:color w:val="231F20"/>
          <w:sz w:val="20"/>
        </w:rPr>
        <w:t xml:space="preserve">. Recipients of restricted stock units generally should not recognize income until such units are converted into cash or shares. Upon conversion, the recipient will normally recognize taxable ordinary income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federal income tax purposes equal to the amount of cash and fair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 xml:space="preserve">of the shares, if </w:t>
      </w:r>
      <w:r>
        <w:rPr>
          <w:rFonts w:ascii="Times New Roman;Times;serif" w:hAnsi="Times New Roman;Times;serif"/>
          <w:color w:val="231F20"/>
          <w:spacing w:val="-7"/>
          <w:sz w:val="20"/>
        </w:rPr>
        <w:t xml:space="preserve">any, </w:t>
      </w:r>
      <w:r>
        <w:rPr>
          <w:rFonts w:ascii="Times New Roman;Times;serif" w:hAnsi="Times New Roman;Times;serif"/>
          <w:color w:val="231F20"/>
          <w:sz w:val="20"/>
        </w:rPr>
        <w:t xml:space="preserve">received upon such conversion. Recipients who are employees will be subject to withholding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federal income and employment tax purposes with respect to income recognized upon conversion of the restricted stock </w:t>
      </w:r>
      <w:r>
        <w:rPr>
          <w:rFonts w:ascii="Times New Roman;Times;serif" w:hAnsi="Times New Roman;Times;serif"/>
          <w:color w:val="231F20"/>
          <w:spacing w:val="-3"/>
          <w:sz w:val="20"/>
        </w:rPr>
        <w:t xml:space="preserve">units. </w:t>
      </w:r>
      <w:r>
        <w:rPr>
          <w:rFonts w:ascii="Times New Roman;Times;serif" w:hAnsi="Times New Roman;Times;serif"/>
          <w:color w:val="231F20"/>
          <w:sz w:val="20"/>
        </w:rPr>
        <w:t xml:space="preserve">Participants will recognize gain upon the disposition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shares received upon conversion of the restricted stock units equal to the excess of (i) the amount realized on such disposition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 xml:space="preserve">(ii) the ordinary income recognized with respect to such shares under the principles set forth </w:t>
      </w:r>
      <w:r>
        <w:rPr>
          <w:rFonts w:ascii="Times New Roman;Times;serif" w:hAnsi="Times New Roman;Times;serif"/>
          <w:color w:val="231F20"/>
          <w:spacing w:val="-6"/>
          <w:sz w:val="20"/>
        </w:rPr>
        <w:t xml:space="preserve">above. </w:t>
      </w:r>
      <w:r>
        <w:rPr>
          <w:rFonts w:ascii="Times New Roman;Times;serif" w:hAnsi="Times New Roman;Times;serif"/>
          <w:color w:val="231F20"/>
          <w:sz w:val="20"/>
        </w:rPr>
        <w:t xml:space="preserve">That gain will be taxable as long or short-term capital gain depending on whether the shares were held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more than one </w:t>
      </w:r>
      <w:r>
        <w:rPr>
          <w:rFonts w:ascii="Times New Roman;Times;serif" w:hAnsi="Times New Roman;Times;serif"/>
          <w:color w:val="231F20"/>
          <w:spacing w:val="-3"/>
          <w:sz w:val="20"/>
        </w:rPr>
        <w:t xml:space="preserve">year.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will be entitled to a tax deduction to the extent and in the year that ordinary</w:t>
      </w:r>
      <w:r>
        <w:rPr>
          <w:rFonts w:ascii="Times New Roman;Times;serif" w:hAnsi="Times New Roman;Times;serif"/>
          <w:color w:val="231F20"/>
          <w:spacing w:val="-6"/>
          <w:sz w:val="20"/>
        </w:rPr>
        <w:t xml:space="preserve"> </w:t>
      </w:r>
      <w:r>
        <w:rPr>
          <w:rFonts w:ascii="Times New Roman;Times;serif" w:hAnsi="Times New Roman;Times;serif"/>
          <w:color w:val="231F20"/>
          <w:sz w:val="20"/>
        </w:rPr>
        <w:t>income</w:t>
      </w:r>
      <w:r>
        <w:rPr>
          <w:rFonts w:ascii="Times New Roman;Times;serif" w:hAnsi="Times New Roman;Times;serif"/>
          <w:color w:val="231F20"/>
          <w:spacing w:val="-5"/>
          <w:sz w:val="20"/>
        </w:rPr>
        <w:t xml:space="preserve"> </w:t>
      </w:r>
      <w:r>
        <w:rPr>
          <w:rFonts w:ascii="Times New Roman;Times;serif" w:hAnsi="Times New Roman;Times;serif"/>
          <w:color w:val="231F20"/>
          <w:sz w:val="20"/>
        </w:rPr>
        <w:t>is</w:t>
      </w:r>
      <w:r>
        <w:rPr>
          <w:rFonts w:ascii="Times New Roman;Times;serif" w:hAnsi="Times New Roman;Times;serif"/>
          <w:color w:val="231F20"/>
          <w:spacing w:val="-5"/>
          <w:sz w:val="20"/>
        </w:rPr>
        <w:t xml:space="preserve"> </w:t>
      </w:r>
      <w:r>
        <w:rPr>
          <w:rFonts w:ascii="Times New Roman;Times;serif" w:hAnsi="Times New Roman;Times;serif"/>
          <w:color w:val="231F20"/>
          <w:sz w:val="20"/>
        </w:rPr>
        <w:t>recognized</w:t>
      </w:r>
      <w:r>
        <w:rPr>
          <w:rFonts w:ascii="Times New Roman;Times;serif" w:hAnsi="Times New Roman;Times;serif"/>
          <w:color w:val="231F20"/>
          <w:spacing w:val="-5"/>
          <w:sz w:val="20"/>
        </w:rPr>
        <w:t xml:space="preserve"> </w:t>
      </w:r>
      <w:r>
        <w:rPr>
          <w:rFonts w:ascii="Times New Roman;Times;serif" w:hAnsi="Times New Roman;Times;serif"/>
          <w:color w:val="231F20"/>
          <w:sz w:val="20"/>
        </w:rPr>
        <w:t>by</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5"/>
          <w:sz w:val="20"/>
        </w:rPr>
        <w:t xml:space="preserve"> </w:t>
      </w:r>
      <w:r>
        <w:rPr>
          <w:rFonts w:ascii="Times New Roman;Times;serif" w:hAnsi="Times New Roman;Times;serif"/>
          <w:color w:val="231F20"/>
          <w:sz w:val="20"/>
        </w:rPr>
        <w:t>recipient,</w:t>
      </w:r>
      <w:r>
        <w:rPr>
          <w:rFonts w:ascii="Times New Roman;Times;serif" w:hAnsi="Times New Roman;Times;serif"/>
          <w:color w:val="231F20"/>
          <w:spacing w:val="-5"/>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6"/>
          <w:sz w:val="20"/>
        </w:rPr>
        <w:t xml:space="preserve"> </w:t>
      </w:r>
      <w:r>
        <w:rPr>
          <w:rFonts w:ascii="Times New Roman;Times;serif" w:hAnsi="Times New Roman;Times;serif"/>
          <w:color w:val="231F20"/>
          <w:sz w:val="20"/>
        </w:rPr>
        <w:t>possible</w:t>
      </w:r>
      <w:r>
        <w:rPr>
          <w:rFonts w:ascii="Times New Roman;Times;serif" w:hAnsi="Times New Roman;Times;serif"/>
          <w:color w:val="231F20"/>
          <w:spacing w:val="-5"/>
          <w:sz w:val="20"/>
        </w:rPr>
        <w:t xml:space="preserve"> </w:t>
      </w:r>
      <w:r>
        <w:rPr>
          <w:rFonts w:ascii="Times New Roman;Times;serif" w:hAnsi="Times New Roman;Times;serif"/>
          <w:color w:val="231F20"/>
          <w:sz w:val="20"/>
        </w:rPr>
        <w:t>limitations</w:t>
      </w:r>
      <w:r>
        <w:rPr>
          <w:rFonts w:ascii="Times New Roman;Times;serif" w:hAnsi="Times New Roman;Times;serif"/>
          <w:color w:val="231F20"/>
          <w:spacing w:val="-5"/>
          <w:sz w:val="20"/>
        </w:rPr>
        <w:t xml:space="preserve"> </w:t>
      </w:r>
      <w:r>
        <w:rPr>
          <w:rFonts w:ascii="Times New Roman;Times;serif" w:hAnsi="Times New Roman;Times;serif"/>
          <w:color w:val="231F20"/>
          <w:sz w:val="20"/>
        </w:rPr>
        <w:t>imposed</w:t>
      </w:r>
      <w:r>
        <w:rPr>
          <w:rFonts w:ascii="Times New Roman;Times;serif" w:hAnsi="Times New Roman;Times;serif"/>
          <w:color w:val="231F20"/>
          <w:spacing w:val="-5"/>
          <w:sz w:val="20"/>
        </w:rPr>
        <w:t xml:space="preserve"> </w:t>
      </w:r>
      <w:r>
        <w:rPr>
          <w:rFonts w:ascii="Times New Roman;Times;serif" w:hAnsi="Times New Roman;Times;serif"/>
          <w:color w:val="231F20"/>
          <w:sz w:val="20"/>
        </w:rPr>
        <w:t>by</w:t>
      </w:r>
      <w:r>
        <w:rPr>
          <w:rFonts w:ascii="Times New Roman;Times;serif" w:hAnsi="Times New Roman;Times;serif"/>
          <w:color w:val="231F20"/>
          <w:spacing w:val="-6"/>
          <w:sz w:val="20"/>
        </w:rPr>
        <w:t xml:space="preserve"> </w:t>
      </w:r>
      <w:r>
        <w:rPr>
          <w:rFonts w:ascii="Times New Roman;Times;serif" w:hAnsi="Times New Roman;Times;serif"/>
          <w:color w:val="231F20"/>
          <w:sz w:val="20"/>
        </w:rPr>
        <w:t>Section</w:t>
      </w:r>
      <w:r>
        <w:rPr>
          <w:rFonts w:ascii="Times New Roman;Times;serif" w:hAnsi="Times New Roman;Times;serif"/>
          <w:color w:val="231F20"/>
          <w:spacing w:val="-5"/>
          <w:sz w:val="20"/>
        </w:rPr>
        <w:t xml:space="preserve"> </w:t>
      </w:r>
      <w:r>
        <w:rPr>
          <w:rFonts w:ascii="Times New Roman;Times;serif" w:hAnsi="Times New Roman;Times;serif"/>
          <w:color w:val="231F20"/>
          <w:sz w:val="20"/>
        </w:rPr>
        <w:t>162(m)</w:t>
      </w:r>
      <w:r>
        <w:rPr>
          <w:rFonts w:ascii="Times New Roman;Times;serif" w:hAnsi="Times New Roman;Times;serif"/>
          <w:color w:val="231F20"/>
          <w:spacing w:val="-5"/>
          <w:sz w:val="20"/>
        </w:rPr>
        <w:t xml:space="preserve"> </w:t>
      </w:r>
      <w:r>
        <w:rPr>
          <w:rFonts w:ascii="Times New Roman;Times;serif" w:hAnsi="Times New Roman;Times;serif"/>
          <w:color w:val="231F20"/>
          <w:sz w:val="20"/>
        </w:rPr>
        <w:t>of the Code and so long as we withhold the appropriate taxes with respect to such income (if required) and the recipient’s total compensation is deemed reasonable in</w:t>
      </w:r>
      <w:r>
        <w:rPr>
          <w:rFonts w:ascii="Times New Roman;Times;serif" w:hAnsi="Times New Roman;Times;serif"/>
          <w:color w:val="231F20"/>
          <w:spacing w:val="-27"/>
          <w:sz w:val="20"/>
        </w:rPr>
        <w:t xml:space="preserve"> </w:t>
      </w:r>
      <w:r>
        <w:rPr>
          <w:rFonts w:ascii="Times New Roman;Times;serif" w:hAnsi="Times New Roman;Times;serif"/>
          <w:color w:val="231F20"/>
          <w:sz w:val="20"/>
        </w:rPr>
        <w:t>amount.</w:t>
      </w:r>
    </w:p>
    <w:p>
      <w:pPr>
        <w:pStyle w:val="TextBody"/>
        <w:bidi w:val="0"/>
        <w:spacing w:before="0" w:after="200"/>
        <w:ind w:left="0" w:right="0" w:firstLine="399"/>
        <w:jc w:val="left"/>
        <w:rPr>
          <w:rFonts w:ascii="Times New Roman;Times;serif" w:hAnsi="Times New Roman;Times;serif"/>
          <w:color w:val="231F20"/>
          <w:sz w:val="20"/>
        </w:rPr>
      </w:pPr>
      <w:r>
        <w:rPr>
          <w:rFonts w:ascii="Times New Roman;Times;serif" w:hAnsi="Times New Roman;Times;serif"/>
          <w:color w:val="231F20"/>
          <w:sz w:val="20"/>
        </w:rPr>
        <w:t>Restricted stock units also can be considered non-qualified deferred compensation and be subject to Section 409A of the Code. A grant of restricted stock units that is non-qualified deferred compensation but does not meet the requirements of Code Section 409A will result in an additional 20% tax obligation, plus penalties and interest to such recipient.</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i/>
          <w:color w:val="231F20"/>
          <w:sz w:val="20"/>
        </w:rPr>
        <w:t>Dividends and Dividend Equivalents</w:t>
      </w:r>
      <w:r>
        <w:rPr>
          <w:rFonts w:ascii="Times New Roman;Times;serif" w:hAnsi="Times New Roman;Times;serif"/>
          <w:color w:val="231F20"/>
          <w:sz w:val="20"/>
        </w:rPr>
        <w:t xml:space="preserve">. Recipients of stock-based </w:t>
      </w:r>
      <w:r>
        <w:rPr>
          <w:rFonts w:ascii="Times New Roman;Times;serif" w:hAnsi="Times New Roman;Times;serif"/>
          <w:color w:val="231F20"/>
          <w:spacing w:val="-4"/>
          <w:sz w:val="20"/>
        </w:rPr>
        <w:t xml:space="preserve">awards </w:t>
      </w:r>
      <w:r>
        <w:rPr>
          <w:rFonts w:ascii="Times New Roman;Times;serif" w:hAnsi="Times New Roman;Times;serif"/>
          <w:color w:val="231F20"/>
          <w:sz w:val="20"/>
        </w:rPr>
        <w:t>that earn dividends or dividend</w:t>
      </w:r>
      <w:r>
        <w:rPr>
          <w:rFonts w:ascii="Times New Roman;Times;serif" w:hAnsi="Times New Roman;Times;serif"/>
          <w:color w:val="231F20"/>
          <w:spacing w:val="-8"/>
          <w:sz w:val="20"/>
        </w:rPr>
        <w:t xml:space="preserve"> </w:t>
      </w:r>
      <w:r>
        <w:rPr>
          <w:rFonts w:ascii="Times New Roman;Times;serif" w:hAnsi="Times New Roman;Times;serif"/>
          <w:color w:val="231F20"/>
          <w:sz w:val="20"/>
        </w:rPr>
        <w:t>equivalents</w:t>
      </w:r>
      <w:r>
        <w:rPr>
          <w:rFonts w:ascii="Times New Roman;Times;serif" w:hAnsi="Times New Roman;Times;serif"/>
          <w:color w:val="231F20"/>
          <w:spacing w:val="-8"/>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8"/>
          <w:sz w:val="20"/>
        </w:rPr>
        <w:t xml:space="preserve"> </w:t>
      </w:r>
      <w:r>
        <w:rPr>
          <w:rFonts w:ascii="Times New Roman;Times;serif" w:hAnsi="Times New Roman;Times;serif"/>
          <w:color w:val="231F20"/>
          <w:sz w:val="20"/>
        </w:rPr>
        <w:t>recognize</w:t>
      </w:r>
      <w:r>
        <w:rPr>
          <w:rFonts w:ascii="Times New Roman;Times;serif" w:hAnsi="Times New Roman;Times;serif"/>
          <w:color w:val="231F20"/>
          <w:spacing w:val="-8"/>
          <w:sz w:val="20"/>
        </w:rPr>
        <w:t xml:space="preserve"> </w:t>
      </w:r>
      <w:r>
        <w:rPr>
          <w:rFonts w:ascii="Times New Roman;Times;serif" w:hAnsi="Times New Roman;Times;serif"/>
          <w:color w:val="231F20"/>
          <w:sz w:val="20"/>
        </w:rPr>
        <w:t>taxable</w:t>
      </w:r>
      <w:r>
        <w:rPr>
          <w:rFonts w:ascii="Times New Roman;Times;serif" w:hAnsi="Times New Roman;Times;serif"/>
          <w:color w:val="231F20"/>
          <w:spacing w:val="-8"/>
          <w:sz w:val="20"/>
        </w:rPr>
        <w:t xml:space="preserve"> </w:t>
      </w:r>
      <w:r>
        <w:rPr>
          <w:rFonts w:ascii="Times New Roman;Times;serif" w:hAnsi="Times New Roman;Times;serif"/>
          <w:color w:val="231F20"/>
          <w:sz w:val="20"/>
        </w:rPr>
        <w:t>ordinary</w:t>
      </w:r>
      <w:r>
        <w:rPr>
          <w:rFonts w:ascii="Times New Roman;Times;serif" w:hAnsi="Times New Roman;Times;serif"/>
          <w:color w:val="231F20"/>
          <w:spacing w:val="-8"/>
          <w:sz w:val="20"/>
        </w:rPr>
        <w:t xml:space="preserve"> </w:t>
      </w:r>
      <w:r>
        <w:rPr>
          <w:rFonts w:ascii="Times New Roman;Times;serif" w:hAnsi="Times New Roman;Times;serif"/>
          <w:color w:val="231F20"/>
          <w:sz w:val="20"/>
        </w:rPr>
        <w:t>income</w:t>
      </w:r>
      <w:r>
        <w:rPr>
          <w:rFonts w:ascii="Times New Roman;Times;serif" w:hAnsi="Times New Roman;Times;serif"/>
          <w:color w:val="231F20"/>
          <w:spacing w:val="-8"/>
          <w:sz w:val="20"/>
        </w:rPr>
        <w:t xml:space="preserve"> </w:t>
      </w:r>
      <w:r>
        <w:rPr>
          <w:rFonts w:ascii="Times New Roman;Times;serif" w:hAnsi="Times New Roman;Times;serif"/>
          <w:color w:val="231F20"/>
          <w:sz w:val="20"/>
        </w:rPr>
        <w:t>on</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7"/>
          <w:sz w:val="20"/>
        </w:rPr>
        <w:t xml:space="preserve"> </w:t>
      </w:r>
      <w:r>
        <w:rPr>
          <w:rFonts w:ascii="Times New Roman;Times;serif" w:hAnsi="Times New Roman;Times;serif"/>
          <w:color w:val="231F20"/>
          <w:sz w:val="20"/>
        </w:rPr>
        <w:t>dividend</w:t>
      </w:r>
      <w:r>
        <w:rPr>
          <w:rFonts w:ascii="Times New Roman;Times;serif" w:hAnsi="Times New Roman;Times;serif"/>
          <w:color w:val="231F20"/>
          <w:spacing w:val="-8"/>
          <w:sz w:val="20"/>
        </w:rPr>
        <w:t xml:space="preserve"> </w:t>
      </w:r>
      <w:r>
        <w:rPr>
          <w:rFonts w:ascii="Times New Roman;Times;serif" w:hAnsi="Times New Roman;Times;serif"/>
          <w:color w:val="231F20"/>
          <w:sz w:val="20"/>
        </w:rPr>
        <w:t>payments</w:t>
      </w:r>
      <w:r>
        <w:rPr>
          <w:rFonts w:ascii="Times New Roman;Times;serif" w:hAnsi="Times New Roman;Times;serif"/>
          <w:color w:val="231F20"/>
          <w:spacing w:val="-8"/>
          <w:sz w:val="20"/>
        </w:rPr>
        <w:t xml:space="preserve"> </w:t>
      </w:r>
      <w:r>
        <w:rPr>
          <w:rFonts w:ascii="Times New Roman;Times;serif" w:hAnsi="Times New Roman;Times;serif"/>
          <w:color w:val="231F20"/>
          <w:sz w:val="20"/>
        </w:rPr>
        <w:t>received</w:t>
      </w:r>
      <w:r>
        <w:rPr>
          <w:rFonts w:ascii="Times New Roman;Times;serif" w:hAnsi="Times New Roman;Times;serif"/>
          <w:color w:val="231F20"/>
          <w:spacing w:val="-8"/>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respect to unvested and/or unexercised shares subject to such </w:t>
      </w:r>
      <w:r>
        <w:rPr>
          <w:rFonts w:ascii="Times New Roman;Times;serif" w:hAnsi="Times New Roman;Times;serif"/>
          <w:color w:val="231F20"/>
          <w:spacing w:val="-5"/>
          <w:sz w:val="20"/>
        </w:rPr>
        <w:t xml:space="preserve">awards, </w:t>
      </w:r>
      <w:r>
        <w:rPr>
          <w:rFonts w:ascii="Times New Roman;Times;serif" w:hAnsi="Times New Roman;Times;serif"/>
          <w:color w:val="231F20"/>
          <w:sz w:val="20"/>
        </w:rPr>
        <w:t xml:space="preserve">which income is subject to withholding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federal income and employment tax purposes.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are entitled to an income tax deduction in the amount of the income recognized by a participant, subject to possible limitations imposed by Section 162(m) of the Code and so long as we withhold the appropriate taxes with respect to such income (if required) and the </w:t>
      </w:r>
      <w:r>
        <w:rPr>
          <w:rFonts w:ascii="Times New Roman;Times;serif" w:hAnsi="Times New Roman;Times;serif"/>
          <w:color w:val="231F20"/>
          <w:spacing w:val="-3"/>
          <w:sz w:val="20"/>
        </w:rPr>
        <w:t xml:space="preserve">individual’s </w:t>
      </w:r>
      <w:r>
        <w:rPr>
          <w:rFonts w:ascii="Times New Roman;Times;serif" w:hAnsi="Times New Roman;Times;serif"/>
          <w:color w:val="231F20"/>
          <w:sz w:val="20"/>
        </w:rPr>
        <w:t>total compensation is deemed reasonable in</w:t>
      </w:r>
      <w:r>
        <w:rPr>
          <w:rFonts w:ascii="Times New Roman;Times;serif" w:hAnsi="Times New Roman;Times;serif"/>
          <w:color w:val="231F20"/>
          <w:spacing w:val="-19"/>
          <w:sz w:val="20"/>
        </w:rPr>
        <w:t xml:space="preserve"> </w:t>
      </w:r>
      <w:r>
        <w:rPr>
          <w:rFonts w:ascii="Times New Roman;Times;serif" w:hAnsi="Times New Roman;Times;serif"/>
          <w:color w:val="231F20"/>
          <w:sz w:val="20"/>
        </w:rPr>
        <w:t>amount.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Impact of Israeli Tax Law</w:t>
      </w:r>
    </w:p>
    <w:p>
      <w:pPr>
        <w:pStyle w:val="TextBody"/>
        <w:bidi w:val="0"/>
        <w:spacing w:before="0" w:after="200"/>
        <w:ind w:left="0" w:right="0" w:firstLine="399"/>
        <w:jc w:val="left"/>
        <w:rPr>
          <w:rFonts w:ascii="Times New Roman;Times;serif" w:hAnsi="Times New Roman;Times;serif"/>
          <w:color w:val="231F20"/>
          <w:sz w:val="20"/>
        </w:rPr>
      </w:pPr>
      <w:r>
        <w:rPr>
          <w:rFonts w:ascii="Times New Roman;Times;serif" w:hAnsi="Times New Roman;Times;serif"/>
          <w:color w:val="231F20"/>
          <w:sz w:val="20"/>
        </w:rPr>
        <w:t>The awards granted to employees pursuant to Section 102 of the tax ordinance under the Plan may be designated by us as approved options under the capital gains alternative, or as approved options under the ordinary income tax alternative.</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pacing w:val="-11"/>
          <w:sz w:val="20"/>
        </w:rPr>
        <w:t xml:space="preserve">To </w:t>
      </w:r>
      <w:r>
        <w:rPr>
          <w:rFonts w:ascii="Times New Roman;Times;serif" w:hAnsi="Times New Roman;Times;serif"/>
          <w:color w:val="231F20"/>
          <w:sz w:val="20"/>
        </w:rPr>
        <w:t xml:space="preserve">qualify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these benefits, certain requirements must be met, including registration of the options in the name of a trustee. Each option, and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shares of common stock acquired upon the exercise of the option, must be held by the trustee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a period commencing on the date of grant and deposit into trust with the trustee and ending 24 months thereafter.</w:t>
      </w:r>
    </w:p>
    <w:p>
      <w:pPr>
        <w:pStyle w:val="TextBody"/>
        <w:bidi w:val="0"/>
        <w:spacing w:before="0" w:after="200"/>
        <w:ind w:left="0" w:right="0" w:firstLine="399"/>
        <w:jc w:val="left"/>
        <w:rPr>
          <w:rFonts w:ascii="Times New Roman;Times;serif" w:hAnsi="Times New Roman;Times;serif"/>
          <w:color w:val="231F20"/>
          <w:sz w:val="20"/>
        </w:rPr>
      </w:pPr>
      <w:r>
        <w:rPr>
          <w:rFonts w:ascii="Times New Roman;Times;serif" w:hAnsi="Times New Roman;Times;serif"/>
          <w:color w:val="231F20"/>
          <w:sz w:val="20"/>
        </w:rPr>
        <w:t>Under the terms of the capital gains alternative, we may not deduct expenses pertaining to the options for tax purposes.</w:t>
      </w:r>
    </w:p>
    <w:p>
      <w:pPr>
        <w:pStyle w:val="TextBody"/>
        <w:bidi w:val="0"/>
        <w:spacing w:before="0" w:after="200"/>
        <w:ind w:left="0" w:right="0" w:firstLine="399"/>
        <w:jc w:val="left"/>
        <w:rPr>
          <w:rFonts w:ascii="Times New Roman;Times;serif" w:hAnsi="Times New Roman;Times;serif"/>
          <w:sz w:val="20"/>
        </w:rPr>
      </w:pPr>
      <w:r>
        <w:rPr>
          <w:rFonts w:ascii="Times New Roman;Times;serif" w:hAnsi="Times New Roman;Times;serif"/>
          <w:color w:val="231F20"/>
          <w:sz w:val="20"/>
        </w:rPr>
        <w:t xml:space="preserve">Under the Plan, we </w:t>
      </w:r>
      <w:r>
        <w:rPr>
          <w:rFonts w:ascii="Times New Roman;Times;serif" w:hAnsi="Times New Roman;Times;serif"/>
          <w:color w:val="231F20"/>
          <w:spacing w:val="-3"/>
          <w:sz w:val="20"/>
        </w:rPr>
        <w:t xml:space="preserve">may also </w:t>
      </w:r>
      <w:r>
        <w:rPr>
          <w:rFonts w:ascii="Times New Roman;Times;serif" w:hAnsi="Times New Roman;Times;serif"/>
          <w:color w:val="231F20"/>
          <w:sz w:val="20"/>
        </w:rPr>
        <w:t xml:space="preserve">grant to employees options pursuant to Section 102(c) of the tax ordinance that are not required to be held in trust by a trustee. This </w:t>
      </w:r>
      <w:r>
        <w:rPr>
          <w:rFonts w:ascii="Times New Roman;Times;serif" w:hAnsi="Times New Roman;Times;serif"/>
          <w:color w:val="231F20"/>
          <w:spacing w:val="-3"/>
          <w:sz w:val="20"/>
        </w:rPr>
        <w:t xml:space="preserve">alternative, </w:t>
      </w:r>
      <w:r>
        <w:rPr>
          <w:rFonts w:ascii="Times New Roman;Times;serif" w:hAnsi="Times New Roman;Times;serif"/>
          <w:color w:val="231F20"/>
          <w:sz w:val="20"/>
        </w:rPr>
        <w:t xml:space="preserve">while facilitating immediate exercise of vested options and </w:t>
      </w:r>
      <w:r>
        <w:rPr>
          <w:rFonts w:ascii="Times New Roman;Times;serif" w:hAnsi="Times New Roman;Times;serif"/>
          <w:color w:val="231F20"/>
          <w:spacing w:val="-3"/>
          <w:sz w:val="20"/>
        </w:rPr>
        <w:t xml:space="preserve">sale </w:t>
      </w:r>
      <w:r>
        <w:rPr>
          <w:rFonts w:ascii="Times New Roman;Times;serif" w:hAnsi="Times New Roman;Times;serif"/>
          <w:color w:val="231F20"/>
          <w:sz w:val="20"/>
        </w:rPr>
        <w:t xml:space="preserve">of the underlying shares, will subject the optionee to the marginal income tax rate of up to 50% as well as payments to the National Insurance Institute and health tax on the date of the </w:t>
      </w:r>
      <w:r>
        <w:rPr>
          <w:rFonts w:ascii="Times New Roman;Times;serif" w:hAnsi="Times New Roman;Times;serif"/>
          <w:color w:val="231F20"/>
          <w:spacing w:val="-3"/>
          <w:sz w:val="20"/>
        </w:rPr>
        <w:t xml:space="preserve">sale </w:t>
      </w:r>
      <w:r>
        <w:rPr>
          <w:rFonts w:ascii="Times New Roman;Times;serif" w:hAnsi="Times New Roman;Times;serif"/>
          <w:color w:val="231F20"/>
          <w:sz w:val="20"/>
        </w:rPr>
        <w:t xml:space="preserve">of the shares or options. Under the 2006 Stock Incentive Plan, we </w:t>
      </w:r>
      <w:r>
        <w:rPr>
          <w:rFonts w:ascii="Times New Roman;Times;serif" w:hAnsi="Times New Roman;Times;serif"/>
          <w:color w:val="231F20"/>
          <w:spacing w:val="-3"/>
          <w:sz w:val="20"/>
        </w:rPr>
        <w:t xml:space="preserve">may also </w:t>
      </w:r>
      <w:r>
        <w:rPr>
          <w:rFonts w:ascii="Times New Roman;Times;serif" w:hAnsi="Times New Roman;Times;serif"/>
          <w:color w:val="231F20"/>
          <w:sz w:val="20"/>
        </w:rPr>
        <w:t>grant to non- employees options pursuant to Section 3(I) of the tax ordinance. Under that section, the income tax</w:t>
      </w:r>
      <w:r>
        <w:rPr>
          <w:rFonts w:ascii="Times New Roman;Times;serif" w:hAnsi="Times New Roman;Times;serif"/>
          <w:color w:val="231F20"/>
          <w:spacing w:val="-9"/>
          <w:sz w:val="20"/>
        </w:rPr>
        <w:t xml:space="preserve"> </w:t>
      </w:r>
      <w:r>
        <w:rPr>
          <w:rFonts w:ascii="Times New Roman;Times;serif" w:hAnsi="Times New Roman;Times;serif"/>
          <w:color w:val="231F20"/>
          <w:sz w:val="20"/>
        </w:rPr>
        <w:t>on 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benefit</w:t>
      </w:r>
      <w:r>
        <w:rPr>
          <w:rFonts w:ascii="Times New Roman;Times;serif" w:hAnsi="Times New Roman;Times;serif"/>
          <w:color w:val="231F20"/>
          <w:spacing w:val="-9"/>
          <w:sz w:val="20"/>
        </w:rPr>
        <w:t xml:space="preserve"> </w:t>
      </w:r>
      <w:r>
        <w:rPr>
          <w:rFonts w:ascii="Times New Roman;Times;serif" w:hAnsi="Times New Roman;Times;serif"/>
          <w:color w:val="231F20"/>
          <w:sz w:val="20"/>
        </w:rPr>
        <w:t>arising</w:t>
      </w:r>
      <w:r>
        <w:rPr>
          <w:rFonts w:ascii="Times New Roman;Times;serif" w:hAnsi="Times New Roman;Times;serif"/>
          <w:color w:val="231F20"/>
          <w:spacing w:val="-9"/>
          <w:sz w:val="20"/>
        </w:rPr>
        <w:t xml:space="preserve"> </w:t>
      </w:r>
      <w:r>
        <w:rPr>
          <w:rFonts w:ascii="Times New Roman;Times;serif" w:hAnsi="Times New Roman;Times;serif"/>
          <w:color w:val="231F20"/>
          <w:sz w:val="20"/>
        </w:rPr>
        <w:t>to</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optionee</w:t>
      </w:r>
      <w:r>
        <w:rPr>
          <w:rFonts w:ascii="Times New Roman;Times;serif" w:hAnsi="Times New Roman;Times;serif"/>
          <w:color w:val="231F20"/>
          <w:spacing w:val="-8"/>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exercise</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options</w:t>
      </w:r>
      <w:r>
        <w:rPr>
          <w:rFonts w:ascii="Times New Roman;Times;serif" w:hAnsi="Times New Roman;Times;serif"/>
          <w:color w:val="231F20"/>
          <w:spacing w:val="-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issuance</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9"/>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9"/>
          <w:sz w:val="20"/>
        </w:rPr>
        <w:t xml:space="preserve"> </w:t>
      </w:r>
      <w:r>
        <w:rPr>
          <w:rFonts w:ascii="Times New Roman;Times;serif" w:hAnsi="Times New Roman;Times;serif"/>
          <w:color w:val="231F20"/>
          <w:sz w:val="20"/>
        </w:rPr>
        <w:t>is</w:t>
      </w:r>
      <w:r>
        <w:rPr>
          <w:rFonts w:ascii="Times New Roman;Times;serif" w:hAnsi="Times New Roman;Times;serif"/>
          <w:color w:val="231F20"/>
          <w:spacing w:val="-9"/>
          <w:sz w:val="20"/>
        </w:rPr>
        <w:t xml:space="preserve"> </w:t>
      </w:r>
      <w:r>
        <w:rPr>
          <w:rFonts w:ascii="Times New Roman;Times;serif" w:hAnsi="Times New Roman;Times;serif"/>
          <w:color w:val="231F20"/>
          <w:sz w:val="20"/>
        </w:rPr>
        <w:t xml:space="preserve">generally due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the time of exercise of the</w:t>
      </w:r>
      <w:r>
        <w:rPr>
          <w:rFonts w:ascii="Times New Roman;Times;serif" w:hAnsi="Times New Roman;Times;serif"/>
          <w:color w:val="231F20"/>
          <w:spacing w:val="13"/>
          <w:sz w:val="20"/>
        </w:rPr>
        <w:t xml:space="preserve"> </w:t>
      </w:r>
      <w:r>
        <w:rPr>
          <w:rFonts w:ascii="Times New Roman;Times;serif" w:hAnsi="Times New Roman;Times;serif"/>
          <w:color w:val="231F20"/>
          <w:sz w:val="20"/>
        </w:rPr>
        <w:t>options.</w:t>
      </w:r>
    </w:p>
    <w:p>
      <w:pPr>
        <w:pStyle w:val="TextBody"/>
        <w:bidi w:val="0"/>
        <w:spacing w:before="0" w:after="0"/>
        <w:ind w:left="0" w:right="0" w:hanging="0"/>
        <w:jc w:val="left"/>
        <w:rPr>
          <w:color w:val="231F20"/>
          <w:shd w:fill="FFFF00" w:val="clear"/>
        </w:rPr>
      </w:pPr>
      <w:r>
        <w:rPr>
          <w:color w:val="231F20"/>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center"/>
        <w:rPr>
          <w:rFonts w:ascii="Times New Roman;Times;serif" w:hAnsi="Times New Roman;Times;serif"/>
          <w:b/>
          <w:sz w:val="20"/>
        </w:rPr>
      </w:pPr>
      <w:bookmarkStart w:id="299" w:name="_90d919f0_35d9_466d_807f_d3a3e6cce3c9"/>
      <w:bookmarkEnd w:id="299"/>
      <w:r>
        <w:rPr>
          <w:rFonts w:ascii="Times New Roman;Times;serif" w:hAnsi="Times New Roman;Times;serif"/>
          <w:b/>
          <w:sz w:val="20"/>
        </w:rPr>
        <w:t>PROPOSAL 4: RATIFICATION OF APPOINTMENT OF</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INDEPENDENT REGISTERED PUBLIC ACCOUNTING FIRM</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Our Board of Directors, upon the recommendation of its Audit and Finance Committee, has ratified the selection of Kesselman &amp; Kesselman to serve as our independent registered public accounting firm for the fiscal year ending December 31, 2026. The Audit and Finance Committee of our Board of Directors is solely responsible for selecting our independent public accountants. Although stockholder approval is not required to appoint Kesselman &amp; Kesselman as our independent public accountant firm, we believe that submitting the appointment of Kesselman &amp; Kesselman to our stockholders for ratification is a matter of good corporate governance. If our stockholders do not ratify the appointment, then the appointment may be reconsidered by the Audit and Finance Committee. Even if the appointment is ratified, the Audit and Finance Committee may engage a different independent registered public accounting firm at any time during the year if it determines that such a change would be in the best interest of our Company and our stockholders. The proxy will be voted as specified, and if no specification is made, the proxy will be cast “FOR” this proposal.</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During our fiscal year ended December 31, 2025, there were no disagreements with Kesselman &amp; Kesselman on any matter of accounting principles or practices, financial statement disclosure, or auditing scope or procedures, which if not resolve to their satisfaction would have caused them to make reference to the subject matter of the disagreements in connection with their opinion.</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Audit and Finance Committee will consider whether the provision of any other services by Kesselman &amp; Kesselman is compatible with maintaining the independence of Kesselman &amp; Kesselman. The Audit and Finance Committee has concluded that Kesselman &amp; Kesselman is independent.</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Our Board of Directors recommends that stockholders vote “FOR” the ratification of the appointment of Kesselman &amp; Kesselman for the fiscal year ending December 31, 2026.</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fees billed to us by our independent registered public accounting firm during the fiscal years ended December 31, 2025 and 2024 for: (i) services rendered for the audit of our annual financial statements and the review of our quarterly financial statements; (ii) services by our independent registered public accounting firm that are reasonably related to the performance of the audit or review of our financial statements and that are not reported as Audit Fees; (iii) services rendered in connection with tax compliance, tax advice and tax planning; and (iv) all other fees for services rendered.</w:t>
      </w:r>
    </w:p>
    <w:p>
      <w:pPr>
        <w:pStyle w:val="TextBody"/>
        <w:bidi w:val="0"/>
        <w:spacing w:before="0" w:after="0"/>
        <w:ind w:left="0" w:right="0" w:hanging="0"/>
        <w:jc w:val="left"/>
        <w:rPr/>
      </w:pPr>
      <w:r>
        <w:rPr/>
        <w:t>​</w:t>
      </w:r>
    </w:p>
    <w:tbl>
      <w:tblPr>
        <w:tblW w:w="4387" w:type="dxa"/>
        <w:jc w:val="left"/>
        <w:tblInd w:w="0" w:type="dxa"/>
        <w:tblLayout w:type="fixed"/>
        <w:tblCellMar>
          <w:top w:w="0" w:type="dxa"/>
          <w:left w:w="0" w:type="dxa"/>
          <w:bottom w:w="0" w:type="dxa"/>
          <w:right w:w="0" w:type="dxa"/>
        </w:tblCellMar>
      </w:tblPr>
      <w:tblGrid>
        <w:gridCol w:w="1666"/>
        <w:gridCol w:w="346"/>
        <w:gridCol w:w="211"/>
        <w:gridCol w:w="781"/>
        <w:gridCol w:w="346"/>
        <w:gridCol w:w="211"/>
        <w:gridCol w:w="82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057910" cy="175260"/>
                      <wp:effectExtent l="0" t="0" r="0" b="0"/>
                      <wp:wrapNone/>
                      <wp:docPr id="158" name="Frame155"/>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59"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0"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5935" cy="175260"/>
                      <wp:effectExtent l="0" t="0" r="0" b="0"/>
                      <wp:wrapNone/>
                      <wp:docPr id="161"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2"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3"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24510" cy="175260"/>
                      <wp:effectExtent l="0" t="0" r="0" b="0"/>
                      <wp:wrapNone/>
                      <wp:docPr id="164" name="Frame16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270,170</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Related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64,435</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Policy on Audit and Finance Committee Pre-Approval of Audit and Permissible Non-Audit Services of Independent Auditors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Audit and Finance Committee has the sole authority to approve the scope of the audit and any audit-related services, as well as all audit fees and terms. The Audit and Finance Committee must pre-approve any audit and non-audit services provided by our independent registered public accounting firm. The Audit and Finance Committee will not approve the engagement of the independent registered public accounting firm to perform any services that the independent registered public accounting firm would be prohibited from providing under applicable laws, rules and regulations, including those of self-regulating organizations. The Audit and Finance Committee will approve permitted non-audit services by our independent registered public accounting firm only if it determines that using a different firm to perform such services will be more effective or economical. The Audit and Finance Committee annually reviews and pre-approves the statutory audit fees that can be provided by the independent registered public accounting firm.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00"/>
        <w:ind w:left="0" w:right="0" w:hanging="0"/>
        <w:jc w:val="center"/>
        <w:rPr>
          <w:rFonts w:ascii="Times New Roman;Times;serif" w:hAnsi="Times New Roman;Times;serif"/>
          <w:b/>
          <w:sz w:val="20"/>
        </w:rPr>
      </w:pPr>
      <w:bookmarkStart w:id="300" w:name="_71c2f456_7316_47c8_bffb_5584dfd90689"/>
      <w:bookmarkEnd w:id="300"/>
      <w:r>
        <w:rPr>
          <w:rFonts w:ascii="Times New Roman;Times;serif" w:hAnsi="Times New Roman;Times;serif"/>
          <w:b/>
          <w:sz w:val="20"/>
        </w:rPr>
        <w:t>SOLICITATION OF PROXIES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engaged Alliance Advisors LLC to assist us in soliciting proxies for the meeting. We will pay Alliance Advisors a base fee of approximately $10,000, plus reasonable out-of-pocket expenses, plus an additional fee based upon the number of contacts with stockholders made and work performed. We estimate the total amount payable to Alliance Advisors will be approximately $35,000. Our officers, directors, and employees may solicit proxies in person or by telephone, fax or email. We will pay these officers, directors, and employees no additional compensation for these services. We will ask banks, brokers, and other institutions, nominees, and fiduciaries to forward these proxy materials to their principals and to obtain authority to execute proxies. We will then reimburse them for their expenses. We will pay all of the costs of soliciting these proxies.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you need assistance in voting by telephone or over the Internet or completing your proxy card or have questions regarding the meeting, please contact our proxy advisor: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Alliance Advisors, LLC</w:t>
        <w:br/>
        <w:t>150 Clove Road #400</w:t>
        <w:br/>
        <w:t>Little Falls Township, NJ 07424</w:t>
        <w:br/>
        <w:t>+1-844-202-5989 (toll free in the United States)</w:t>
        <w:br/>
        <w:t>PLX@AllianceAdvisors.com</w:t>
      </w:r>
    </w:p>
    <w:p>
      <w:pPr>
        <w:pStyle w:val="TextBody"/>
        <w:bidi w:val="0"/>
        <w:spacing w:before="0" w:after="240"/>
        <w:ind w:left="0" w:right="0" w:firstLine="403"/>
        <w:jc w:val="left"/>
        <w:rPr/>
      </w:pPr>
      <w:r>
        <w:rPr/>
        <w:t>​</w:t>
      </w:r>
    </w:p>
    <w:p>
      <w:pPr>
        <w:pStyle w:val="TextBody"/>
        <w:bidi w:val="0"/>
        <w:spacing w:before="0" w:after="240"/>
        <w:ind w:left="0" w:right="0" w:firstLine="403"/>
        <w:jc w:val="center"/>
        <w:rPr>
          <w:rFonts w:ascii="Times New Roman;Times;serif" w:hAnsi="Times New Roman;Times;serif"/>
          <w:b/>
          <w:sz w:val="20"/>
        </w:rPr>
      </w:pPr>
      <w:bookmarkStart w:id="301" w:name="_4044252a_34e7_4927_8a01_6179538d39c3"/>
      <w:bookmarkEnd w:id="301"/>
      <w:r>
        <w:rPr>
          <w:rFonts w:ascii="Times New Roman;Times;serif" w:hAnsi="Times New Roman;Times;serif"/>
          <w:b/>
          <w:sz w:val="20"/>
        </w:rPr>
        <w:t>STOCKHOLDER PROPOSALS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stockholder proposals intended to be presented at our 2027 Annual Meeting of Stockholders must be submitted in writing to Gilad Mamlok, Corporate Secretary, Protalix BioTherapeutics, Inc., 2 University Plaza, Suite 100, Hackensack, NJ 07601, and received by us no later than January 1, 2027, and must comply in all other respects with applicable rules and regulations of the SEC relating to such inclusion. Such notice must include, with respect to each matter the stockholder proposes to bring before the meeting: (i) a brief description of the business desired to be brought before the meeting and the reasons for conducting such business at the meeting; (ii) the name and record address of the stockholder proposing such business; (iii) the class and number of shares of our Company which are beneficially owned by the stockholder; and (iv) any material interest of the stockholder in such business. In addition, the notice must include certain information relating to any derivative or hedging transactions by the stockholder delivering such notice and its Stockholder Associated Persons, as defined in our By-Laws, and other arrangements with other parties regarding our securities, as presented in detail in our By-Laws.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such proposal submitted with respect to our 2027 Annual Meeting of Stockholders which is submitted outside the requirements of Rule 14a-8 promulgated under the Exchange Act will be considered timely if we receive written notice of that proposal not less than 45 days nor more than 75 days prior to the date in 2026 on which we first mailed this proxy statement in 2026; however, if the date of the meeting is changed by more than 30 days from the date of the prior year’s meeting, the notice will be considered untimely if it is not received at least 90 days prior to the newly announced date that we will mail our proxy statement.</w:t>
      </w:r>
    </w:p>
    <w:p>
      <w:pPr>
        <w:pStyle w:val="TextBody"/>
        <w:bidi w:val="0"/>
        <w:spacing w:before="0" w:after="240"/>
        <w:ind w:left="0" w:right="0" w:firstLine="403"/>
        <w:jc w:val="center"/>
        <w:rPr>
          <w:rFonts w:ascii="Times New Roman;Times;serif" w:hAnsi="Times New Roman;Times;serif"/>
          <w:b/>
          <w:sz w:val="20"/>
        </w:rPr>
      </w:pPr>
      <w:bookmarkStart w:id="302" w:name="_a3fbc87d_a5c6_4a3c_9786_bc0993611dad"/>
      <w:bookmarkEnd w:id="302"/>
      <w:r>
        <w:rPr>
          <w:rFonts w:ascii="Times New Roman;Times;serif" w:hAnsi="Times New Roman;Times;serif"/>
          <w:b/>
          <w:sz w:val="20"/>
        </w:rPr>
        <w:t>ANNUAL REPORT TO STOCKHOLDERS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FY2025 Annual Report, which provides additional information about us, will be distributed to all stockholders entitled to vote along with the proxy materials. Additional copies of our FY2025 Annual Report are available on the Internet at http://www.sec.gov and http://www.protalix.com and are also available in paper form without charge upon written request to Investor Relations, Protalix BioTherapeutics, Inc., 2 University Plaza, Suite 100, Hackensack, NJ 07601.</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03" w:name="_19d3bd84_27e4_4b9a_b4e1_d0a224caef4f"/>
      <w:bookmarkEnd w:id="303"/>
      <w:r>
        <w:rPr>
          <w:rFonts w:ascii="Times New Roman;Times;serif" w:hAnsi="Times New Roman;Times;serif"/>
          <w:b/>
          <w:sz w:val="20"/>
        </w:rPr>
        <w:t>HOUSEHOLDING OF PROXY MATERIALS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SEC has adopted rules that permit companies and intermediaries (e.g., brokers) to satisfy the delivery requirements for proxy statements and annual reports with respect to two or more stockholders sharing the same address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delivering a single proxy statement addressed to those stockholders. This process, which is commonly referred to as “householding,” potentially means extra convenience for stockholders and cost savings for companies.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year, a number of brokers with account holders who are stockholders of our Company will be “householding” our proxy materials. A single proxy statement may be delivered to multiple stockholders sharing an address unless contrary instructions have been received from the affected stockholders. Once a stockholder has received notice from its broker that it will be “householding” communications to such stockholder’s address, “householding” will continue until such stockholder is notified otherwise or until such stockholder notifies its broker or us that it no longer wishes to participate in “householding.” If, at any time, a stockholder no longer wishes to participate in “householding” and would prefer to receive a separate proxy statement and annual report in the future such stockholder may (1) notify its broker or (2) direct its written request to: Gilad Mamlok, Corporate Secretary, Protalix BioTherapeutics, Inc., 2 University Plaza, Suite 100, Hackensack, NJ 07601, +1 (201) 696-9345. Stockholders who currently receive multiple copies of the proxy statement at their address and would like to request “householding” of their communications should contact their broker. In addition, we will promptly deliver, upon written or oral request to the address or telephone number above, a separate copy of the annual report and proxy statement to such stockholders at a shared address to which a single copy of the documents was delivered.</w:t>
      </w:r>
    </w:p>
    <w:p>
      <w:pPr>
        <w:pStyle w:val="TextBody"/>
        <w:bidi w:val="0"/>
        <w:spacing w:before="0" w:after="240"/>
        <w:ind w:left="0" w:right="0" w:firstLine="403"/>
        <w:jc w:val="left"/>
        <w:rPr/>
      </w:pPr>
      <w:r>
        <w:rPr/>
        <w:t>​</w:t>
      </w:r>
    </w:p>
    <w:p>
      <w:pPr>
        <w:pStyle w:val="TextBody"/>
        <w:bidi w:val="0"/>
        <w:spacing w:before="0" w:after="240"/>
        <w:ind w:left="0" w:right="0" w:hanging="0"/>
        <w:jc w:val="center"/>
        <w:rPr>
          <w:rFonts w:ascii="Times New Roman;Times;serif" w:hAnsi="Times New Roman;Times;serif"/>
          <w:b/>
          <w:sz w:val="20"/>
        </w:rPr>
      </w:pPr>
      <w:bookmarkStart w:id="304" w:name="_9986d593_853c_4a8e_8800_73c561253ecf"/>
      <w:bookmarkEnd w:id="304"/>
      <w:r>
        <w:rPr>
          <w:rFonts w:ascii="Times New Roman;Times;serif" w:hAnsi="Times New Roman;Times;serif"/>
          <w:b/>
          <w:sz w:val="20"/>
        </w:rPr>
        <w:t>OTHER MATTERS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knows of no other business to be acted upon at the meeting. However, if any other business properly comes before the meeting, it is the intention of the persons named in the enclosed proxy to vote on such matters in accordance with their best judgment.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prompt return of your proxy is appreciated and will be helpful in obtaining the necessary vote. Therefore, whether or not you expect to attend the meeting please sign the proxy and return it in the enclosed envelope or vote by internet or telephone.</w:t>
      </w:r>
    </w:p>
    <w:tbl>
      <w:tblPr>
        <w:tblW w:w="4295" w:type="dxa"/>
        <w:jc w:val="left"/>
        <w:tblInd w:w="0" w:type="dxa"/>
        <w:tblLayout w:type="fixed"/>
        <w:tblCellMar>
          <w:top w:w="0" w:type="dxa"/>
          <w:left w:w="0" w:type="dxa"/>
          <w:bottom w:w="0" w:type="dxa"/>
          <w:right w:w="0" w:type="dxa"/>
        </w:tblCellMar>
      </w:tblPr>
      <w:tblGrid>
        <w:gridCol w:w="124"/>
        <w:gridCol w:w="41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8740" cy="175260"/>
                      <wp:effectExtent l="0" t="0" r="0" b="0"/>
                      <wp:wrapNone/>
                      <wp:docPr id="165" name="Frame16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648585" cy="175260"/>
                      <wp:effectExtent l="0" t="0" r="0" b="0"/>
                      <wp:wrapNone/>
                      <wp:docPr id="166" name="Frame163"/>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pPr>
            <w:r>
              <w:rPr/>
              <w:drawing>
                <wp:inline distT="0" distB="0" distL="0" distR="0">
                  <wp:extent cx="904875" cy="144780"/>
                  <wp:effectExtent l="0" t="0" r="0" b="0"/>
                  <wp:docPr id="16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 descr=""/>
                          <pic:cNvPicPr>
                            <a:picLocks noChangeAspect="1" noChangeArrowheads="1"/>
                          </pic:cNvPicPr>
                        </pic:nvPicPr>
                        <pic:blipFill>
                          <a:blip r:embed="rId5"/>
                          <a:stretch>
                            <a:fillRect/>
                          </a:stretch>
                        </pic:blipFill>
                        <pic:spPr bwMode="auto">
                          <a:xfrm>
                            <a:off x="0" y="0"/>
                            <a:ext cx="904875" cy="144780"/>
                          </a:xfrm>
                          <a:prstGeom prst="rect">
                            <a:avLst/>
                          </a:prstGeom>
                        </pic:spPr>
                      </pic:pic>
                    </a:graphicData>
                  </a:graphic>
                </wp:inline>
              </w:drawing>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Gilad Mamlok</w:t>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Sr. Vice President and Chief Financial Officer and</w:t>
              <w:br/>
              <w:t>Corporate Secretary</w:t>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Carmiel, Israel </w:t>
            </w:r>
          </w:p>
        </w:tc>
      </w:tr>
      <w:tr>
        <w:trPr/>
        <w:tc>
          <w:tcPr>
            <w:tcW w:w="124" w:type="dxa"/>
            <w:tcBorders/>
            <w:vAlign w:val="center"/>
          </w:tcPr>
          <w:p>
            <w:pPr>
              <w:pStyle w:val="TableContents"/>
              <w:bidi w:val="0"/>
              <w:spacing w:before="0" w:after="0"/>
              <w:ind w:left="0" w:right="0" w:hanging="0"/>
              <w:jc w:val="left"/>
              <w:rPr/>
            </w:pPr>
            <w:r>
              <w:rPr/>
              <w:t>​</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AMENDED AND RESTATED 2006 STOCK INCENTIVE PLAN</w:t>
      </w:r>
      <w:r>
        <w:rPr>
          <w:rFonts w:ascii="Times New Roman;Times;serif" w:hAnsi="Times New Roman;Times;serif"/>
          <w:color w:val="C00000"/>
          <w:sz w:val="20"/>
        </w:rPr>
        <w:t>, AS AMENDED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val="false"/>
          <w:color w:val="C00000"/>
          <w:sz w:val="20"/>
        </w:rPr>
        <w:t>(JUNE 27, 2024)</w:t>
      </w:r>
      <w:r>
        <w:rPr>
          <w:rFonts w:ascii="Times New Roman;Times;serif" w:hAnsi="Times New Roman;Times;serif"/>
          <w:b/>
          <w:color w:val="00B0F0"/>
          <w:sz w:val="20"/>
        </w:rPr>
        <w:t>(Amended and Restated as of June 25,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Purposes of the Plan. The purposes of this Plan are to attract and retain the best available personnel, to provide additional incentives to Employees, Directors and Consultants and to promote the success of the Company’s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Definitions. The following definitions shall apply as used herein and in the individual Award Agreements except as defined otherwise in an individual Award Agreement. In the event a term is separately defined in an individual Award Agreement, such definition shall supercede the definition contained in this Section 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“3(I) Option” means Award granted under Section 3(I).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“102 Option” means Award granted under Section 102.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“Administrator” means the Board or any of the Committees appointed to administer the Plan.</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“Affiliate” and “Associate” shall have the respective meanings ascribed to such terms in Rule 12b-2 promulgated under the Exchange Act.</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“Applicable Laws”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“Assumed”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“Award” means the grant of an Option, SAR, Dividend Equivalent Right, Restricted Stock, Restricted Stock Unit or other right or benefit under the Plan.</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“Award Agreement” means the written agreement evidencing the grant of an Award executed by the Company and the Grantee, including any amendments thereto.</w:t>
      </w:r>
    </w:p>
    <w:p>
      <w:pPr>
        <w:pStyle w:val="TextBody"/>
        <w:bidi w:val="0"/>
        <w:spacing w:before="0" w:after="0"/>
        <w:ind w:left="0" w:right="0" w:firstLine="1440"/>
        <w:jc w:val="left"/>
        <w:rPr/>
      </w:pPr>
      <w:r>
        <w:rPr/>
        <w:t>​</w:t>
      </w:r>
    </w:p>
    <w:tbl>
      <w:tblPr>
        <w:tblW w:w="5061" w:type="dxa"/>
        <w:jc w:val="left"/>
        <w:tblInd w:w="0" w:type="dxa"/>
        <w:tblLayout w:type="fixed"/>
        <w:tblCellMar>
          <w:top w:w="28" w:type="dxa"/>
          <w:left w:w="28" w:type="dxa"/>
          <w:bottom w:w="28" w:type="dxa"/>
          <w:right w:w="28" w:type="dxa"/>
        </w:tblCellMar>
      </w:tblPr>
      <w:tblGrid>
        <w:gridCol w:w="124"/>
        <w:gridCol w:w="28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65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Board</w:t>
            </w:r>
            <w:r>
              <w:rPr>
                <w:caps w:val="false"/>
                <w:smallCaps w:val="false"/>
              </w:rPr>
              <w:t xml:space="preserve">” </w:t>
            </w:r>
            <w:r>
              <w:rPr>
                <w:rFonts w:ascii="Times New Roman;Times;serif" w:hAnsi="Times New Roman;Times;serif"/>
                <w:b w:val="false"/>
                <w:i w:val="false"/>
                <w:caps w:val="false"/>
                <w:smallCaps w:val="false"/>
                <w:sz w:val="20"/>
              </w:rPr>
              <w:t>means the Board of Directors of the Company.</w:t>
            </w:r>
          </w:p>
        </w:tc>
      </w:tr>
    </w:tbl>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“Cause” means, with respect to the termination by the Company or a Related Entity of the </w:t>
      </w:r>
      <w:r>
        <w:rPr>
          <w:rFonts w:ascii="Times New Roman;Times;serif" w:hAnsi="Times New Roman;Times;serif"/>
          <w:color w:val="231F20"/>
          <w:spacing w:val="-3"/>
          <w:sz w:val="20"/>
        </w:rPr>
        <w:t>Grantee’s</w:t>
      </w:r>
      <w:r>
        <w:rPr>
          <w:rFonts w:ascii="Times New Roman;Times;serif" w:hAnsi="Times New Roman;Times;serif"/>
          <w:sz w:val="20"/>
        </w:rPr>
        <w:t xml:space="preserve">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which is materially detrimental to the Company or a Related Entity as reasonably determined in good faith by a unanimous decision of members of the </w:t>
      </w:r>
      <w:r>
        <w:rPr>
          <w:rFonts w:ascii="Times New Roman;Times;serif" w:hAnsi="Times New Roman;Times;serif"/>
          <w:sz w:val="20"/>
          <w:shd w:fill="FFFFFF" w:val="clear"/>
        </w:rPr>
        <w:t>Board</w:t>
      </w:r>
      <w:r>
        <w:rPr>
          <w:rFonts w:ascii="Times New Roman;Times;serif" w:hAnsi="Times New Roman;Times;serif"/>
          <w:sz w:val="20"/>
        </w:rPr>
        <w:t xml:space="preserve"> entitled to vote thereon; (ii) dishonesty, intentional misconduct or material breach of any agreement with the Company or a Related Entity; (iii) commission of a crime involving dishonesty, breach of trust, or physical or emotional harm to any person; (iv) embezzlement of funds of the Company or a Related Entity; (v) ownership, direct or indirect (i.e., by means of a holding company or family member), of an interest in a person or entity (other than a minority interest in a publicly traded company) in competition with the products or services of the Company or a Related Entity, including those products or services contemplated in a plan adopted by the Board; (vi) any breach of the Grantee’s fiduciary duties or duties of care to the Company or a Related Entity (except for conduct taken in good faith); (vii) any material failure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carry out a reasonable and legitimate directive of </w:t>
      </w:r>
      <w:r>
        <w:rPr>
          <w:rFonts w:ascii="Times New Roman;Times;serif" w:hAnsi="Times New Roman;Times;serif"/>
          <w:sz w:val="20"/>
          <w:shd w:fill="FFFFFF" w:val="clear"/>
        </w:rPr>
        <w:t>the Board</w:t>
      </w:r>
      <w:r>
        <w:rPr>
          <w:rFonts w:ascii="Times New Roman;Times;serif" w:hAnsi="Times New Roman;Times;serif"/>
          <w:sz w:val="20"/>
        </w:rPr>
        <w:t xml:space="preserve">; or (viii) any material breach of an </w:t>
      </w:r>
      <w:r>
        <w:rPr>
          <w:rFonts w:ascii="Times New Roman;Times;serif" w:hAnsi="Times New Roman;Times;serif"/>
          <w:color w:val="231F20"/>
          <w:sz w:val="20"/>
        </w:rPr>
        <w:t>Employee’s</w:t>
      </w:r>
      <w:r>
        <w:rPr>
          <w:rFonts w:ascii="Times New Roman;Times;serif" w:hAnsi="Times New Roman;Times;serif"/>
          <w:sz w:val="20"/>
        </w:rPr>
        <w:t xml:space="preserve"> undertakings of confidentiality and non competition.</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“Change in Control” means a change in ownership or control of the Company effected through either of the following transactions:</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of the offeror do not recommend such stockholders accept, or</w:t>
      </w:r>
    </w:p>
    <w:p>
      <w:pPr>
        <w:pStyle w:val="TextBody"/>
        <w:bidi w:val="0"/>
        <w:spacing w:before="0" w:after="0"/>
        <w:ind w:left="0" w:right="0" w:firstLine="216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“Code” means the Internal Revenue Code of 1986, as amended.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“Committee” means any committee composed of members of the Board appointed by the Board to administer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“Common Stock” means the common stock of the Company.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“Company” means Protalix BioTherapeutics, Inc., a Delaware corporation, or any successor entity that adopts the Plan in connection with a Corporate Transaction.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“Consultant”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“Continuing Directors”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“Continuous Service”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“Corporate Transaction” means any of the following transactions, provided, however, that the Administrator shall determine under parts (iv) and (v) whether multiple transactions are related, and its determination shall be final, binding and conclusive: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(i)a merger or consolidation in which the Company is not the surviving entity, except for a transaction the principal purpose of which is to change the state in which the Company is incorporated;</w:t>
      </w:r>
    </w:p>
    <w:p>
      <w:pPr>
        <w:pStyle w:val="TextBody"/>
        <w:bidi w:val="0"/>
        <w:spacing w:before="0" w:after="0"/>
        <w:ind w:left="0" w:right="0" w:firstLine="216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(ii)the sale, transfer or other disposition of all or substantially all of the assets of the Company;</w:t>
      </w:r>
    </w:p>
    <w:p>
      <w:pPr>
        <w:pStyle w:val="TextBody"/>
        <w:bidi w:val="0"/>
        <w:spacing w:before="0" w:after="0"/>
        <w:ind w:left="0" w:right="0" w:firstLine="216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(iii)the complete liquidation or dissolution of the Company;</w:t>
      </w:r>
    </w:p>
    <w:p>
      <w:pPr>
        <w:pStyle w:val="TextBody"/>
        <w:bidi w:val="0"/>
        <w:spacing w:before="0" w:after="0"/>
        <w:ind w:left="0" w:right="0" w:firstLine="216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(iv)any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forty percent (40%) of the total combined voting power of the Company’s outstanding securities are transferred to a person or persons different from those who held such securities immediately prior to such merger or the initial transaction culminating in such merger; or</w:t>
      </w:r>
    </w:p>
    <w:p>
      <w:pPr>
        <w:pStyle w:val="TextBody"/>
        <w:bidi w:val="0"/>
        <w:spacing w:before="0" w:after="0"/>
        <w:ind w:left="0" w:right="0" w:firstLine="2160"/>
        <w:jc w:val="left"/>
        <w:rPr/>
      </w:pPr>
      <w:r>
        <w:rPr/>
        <w:t> </w:t>
      </w:r>
    </w:p>
    <w:p>
      <w:pPr>
        <w:pStyle w:val="TextBody"/>
        <w:bidi w:val="0"/>
        <w:spacing w:before="0" w:after="200"/>
        <w:ind w:left="0" w:right="0" w:firstLine="2160"/>
        <w:jc w:val="left"/>
        <w:rPr>
          <w:rFonts w:ascii="Times New Roman;Times;serif" w:hAnsi="Times New Roman;Times;serif"/>
          <w:sz w:val="20"/>
        </w:rPr>
      </w:pPr>
      <w:r>
        <w:rPr>
          <w:rFonts w:ascii="Times New Roman;Times;serif" w:hAnsi="Times New Roman;Times;serif"/>
          <w:sz w:val="20"/>
        </w:rPr>
        <w:t>(v)acquisition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 (provided however that the Administrator shall have no discretion in connection with a Corporate Transaction for the purchase of all or substantially all of the shares of the Company unless the principal purpose of such transaction is to change the state in which the Company is incorporated).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C00000"/>
          <w:sz w:val="20"/>
        </w:rPr>
        <w:t>(t)</w:t>
      </w:r>
      <w:r>
        <w:rPr>
          <w:rFonts w:ascii="Times New Roman;Times;serif" w:hAnsi="Times New Roman;Times;serif"/>
          <w:color w:val="C00000"/>
          <w:sz w:val="20"/>
        </w:rPr>
        <w:t>“Covered Employee” means an Employee who is a “covered employee” under Section 162(m)(3) of the Code.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(t)</w:t>
      </w:r>
      <w:r>
        <w:rPr>
          <w:rFonts w:ascii="Times New Roman;Times;serif" w:hAnsi="Times New Roman;Times;serif"/>
          <w:sz w:val="20"/>
        </w:rPr>
        <w:t>“Director” means a member of the Board or the board of directors of any Related Entity.</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(u)</w:t>
      </w:r>
      <w:r>
        <w:rPr>
          <w:rFonts w:ascii="Times New Roman;Times;serif" w:hAnsi="Times New Roman;Times;serif"/>
          <w:sz w:val="20"/>
        </w:rPr>
        <w:t>“Disability”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(v)</w:t>
      </w:r>
      <w:r>
        <w:rPr>
          <w:rFonts w:ascii="Times New Roman;Times;serif" w:hAnsi="Times New Roman;Times;serif"/>
          <w:sz w:val="20"/>
        </w:rPr>
        <w:t>“Dividend Equivalent Right” means a right entitling the Grantee to compensation measured by dividends paid with respect to Common Stock.</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(w)</w:t>
      </w:r>
      <w:r>
        <w:rPr>
          <w:rFonts w:ascii="Times New Roman;Times;serif" w:hAnsi="Times New Roman;Times;serif"/>
          <w:sz w:val="20"/>
        </w:rPr>
        <w:t>“Employee”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(x)</w:t>
      </w:r>
      <w:r>
        <w:rPr>
          <w:rFonts w:ascii="Times New Roman;Times;serif" w:hAnsi="Times New Roman;Times;serif"/>
          <w:sz w:val="20"/>
        </w:rPr>
        <w:t>“Exchange Act” means the Securities Exchange Act of 1934, as amended.</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(y)</w:t>
      </w:r>
      <w:r>
        <w:rPr>
          <w:rFonts w:ascii="Times New Roman;Times;serif" w:hAnsi="Times New Roman;Times;serif"/>
          <w:sz w:val="20"/>
        </w:rPr>
        <w:t>“Fair Market Value” means, as of any date, the value of Common Stock determined as follows:</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 xml:space="preserve">(i)If the Common Stock is listed on one or more established stock exchanges or national market systems, including without limitation the </w:t>
      </w:r>
      <w:r>
        <w:rPr>
          <w:rFonts w:ascii="Times New Roman;Times;serif" w:hAnsi="Times New Roman;Times;serif"/>
          <w:color w:val="00B0F0"/>
          <w:sz w:val="20"/>
        </w:rPr>
        <w:t xml:space="preserve">NYSE </w:t>
      </w:r>
      <w:r>
        <w:rPr>
          <w:rFonts w:ascii="Times New Roman;Times;serif" w:hAnsi="Times New Roman;Times;serif"/>
          <w:sz w:val="20"/>
        </w:rPr>
        <w:t>American</w:t>
      </w:r>
      <w:r>
        <w:rPr>
          <w:rFonts w:ascii="Times New Roman;Times;serif" w:hAnsi="Times New Roman;Times;serif"/>
          <w:color w:val="C00000"/>
          <w:sz w:val="20"/>
        </w:rPr>
        <w:t>Stock</w:t>
      </w:r>
      <w:r>
        <w:rPr>
          <w:rFonts w:ascii="Times New Roman;Times;serif" w:hAnsi="Times New Roman;Times;serif"/>
          <w:color w:val="C00000"/>
          <w:spacing w:val="-31"/>
          <w:sz w:val="20"/>
        </w:rPr>
        <w:t xml:space="preserve"> </w:t>
      </w:r>
      <w:r>
        <w:rPr>
          <w:rFonts w:ascii="Times New Roman;Times;serif" w:hAnsi="Times New Roman;Times;serif"/>
          <w:color w:val="C00000"/>
          <w:sz w:val="20"/>
        </w:rPr>
        <w:t>Exchange</w:t>
      </w:r>
      <w:r>
        <w:rPr>
          <w:rFonts w:ascii="Times New Roman;Times;serif" w:hAnsi="Times New Roman;Times;serif"/>
          <w:sz w:val="20"/>
        </w:rPr>
        <w:t xml:space="preserve">,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such closing sales price or closing bid was reported), as reported in The Wall Street Journal or such other source as the Administrator deems reliable;</w:t>
      </w:r>
    </w:p>
    <w:p>
      <w:pPr>
        <w:pStyle w:val="TextBody"/>
        <w:bidi w:val="0"/>
        <w:spacing w:before="0" w:after="0"/>
        <w:ind w:left="0" w:right="0" w:firstLine="216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pStyle w:val="TextBody"/>
        <w:bidi w:val="0"/>
        <w:spacing w:before="0" w:after="0"/>
        <w:ind w:left="0" w:right="0" w:firstLine="216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(iii)In the absence of an established market for the Common Stock of the type described in (i) and (ii), above, the Fair Market Value thereof shall be determined by the Administrator in good faith.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(z)</w:t>
      </w:r>
      <w:r>
        <w:rPr>
          <w:rFonts w:ascii="Times New Roman;Times;serif" w:hAnsi="Times New Roman;Times;serif"/>
          <w:sz w:val="20"/>
        </w:rPr>
        <w:t>“Grantee” means an Employee, Director or Consultant who receives an Award under the Plan.</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(aa)</w:t>
      </w:r>
      <w:r>
        <w:rPr>
          <w:rFonts w:ascii="Times New Roman;Times;serif" w:hAnsi="Times New Roman;Times;serif"/>
          <w:sz w:val="20"/>
        </w:rPr>
        <w:t>“Incentive Stock Option” means an Option intended to qualify as an incentive stock option within the meaning of Section 422 of the Code.</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(bb)</w:t>
      </w:r>
      <w:r>
        <w:rPr>
          <w:rFonts w:ascii="Times New Roman;Times;serif" w:hAnsi="Times New Roman;Times;serif"/>
          <w:sz w:val="20"/>
        </w:rPr>
        <w:t>“Israeli Employee” means Employees, office holders of the Company or a Related Company (“Nosei Misra” - as such term is defined in the Israeli Companies Law 1999) and Directors (excluding those who are considered a “Controlling Shareholder” pursuant to Section 32(9) of the Tax Ordinance or otherwise excluded by the Tax Ordinance).</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(cc)</w:t>
      </w:r>
      <w:r>
        <w:rPr>
          <w:rFonts w:ascii="Times New Roman;Times;serif" w:hAnsi="Times New Roman;Times;serif"/>
          <w:sz w:val="20"/>
        </w:rPr>
        <w:t>“Israeli Grantee” means Grantees who are residents of the State of Israel or those who are deemed to be residents of the State of Israel for the payment of tax (whether such grantee is entitled to the tax benefits under Section 102 or not).</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(dd)</w:t>
      </w:r>
      <w:r>
        <w:rPr>
          <w:rFonts w:ascii="Times New Roman;Times;serif" w:hAnsi="Times New Roman;Times;serif"/>
          <w:sz w:val="20"/>
        </w:rPr>
        <w:t>“ITA” means Israeli Tax Authorities.</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(ee)</w:t>
      </w:r>
      <w:r>
        <w:rPr>
          <w:rFonts w:ascii="Times New Roman;Times;serif" w:hAnsi="Times New Roman;Times;serif"/>
          <w:sz w:val="20"/>
        </w:rPr>
        <w:t>“Non-Employee” means Consultants or any other person who is not an Israeli Employee.</w:t>
      </w:r>
    </w:p>
    <w:p>
      <w:pPr>
        <w:pStyle w:val="TextBody"/>
        <w:bidi w:val="0"/>
        <w:spacing w:before="0" w:after="0"/>
        <w:ind w:left="0" w:right="0" w:firstLine="144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(ff)</w:t>
      </w:r>
      <w:r>
        <w:rPr>
          <w:rFonts w:ascii="Times New Roman;Times;serif" w:hAnsi="Times New Roman;Times;serif"/>
          <w:sz w:val="20"/>
        </w:rPr>
        <w:t>“Non-Qualified Stock Option” means an Option not intended to qualify as an Incentive Stock Option.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(gg)</w:t>
      </w:r>
      <w:r>
        <w:rPr>
          <w:rFonts w:ascii="Times New Roman;Times;serif" w:hAnsi="Times New Roman;Times;serif"/>
          <w:sz w:val="20"/>
        </w:rPr>
        <w:t>“Non-Trustee 102 Option” shall mean a 102 Option granted pursuant to Section 102(c) of the Tax Ordinance and not held in trust by the Trustee.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(hh)</w:t>
      </w:r>
      <w:r>
        <w:rPr>
          <w:rFonts w:ascii="Times New Roman;Times;serif" w:hAnsi="Times New Roman;Times;serif"/>
          <w:sz w:val="20"/>
        </w:rPr>
        <w:t>“Officer” means a person who is an officer of the Company or a Related Entity within the meaning of Section 16 of the Exchange Act and the rules and regulations promulgated thereunder.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(ii)</w:t>
      </w:r>
      <w:r>
        <w:rPr>
          <w:rFonts w:ascii="Times New Roman;Times;serif" w:hAnsi="Times New Roman;Times;serif"/>
          <w:sz w:val="20"/>
        </w:rPr>
        <w:t>“Option” means an option to purchase Shares pursuant to an Award Agreement granted under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(jj)</w:t>
      </w:r>
      <w:r>
        <w:rPr>
          <w:rFonts w:ascii="Times New Roman;Times;serif" w:hAnsi="Times New Roman;Times;serif"/>
          <w:sz w:val="20"/>
        </w:rPr>
        <w:t>“Parent” means a “parent corporation”, whether now or hereafter existing, as defined in Section 424(e) of the Code.</w:t>
      </w:r>
      <w:r>
        <w:rPr>
          <w:rFonts w:ascii="Times New Roman;Times;serif" w:hAnsi="Times New Roman;Times;serif"/>
          <w:color w:val="C00000"/>
          <w:sz w:val="20"/>
        </w:rPr>
        <w:t>“Performance-Based Compensation” means compensation qualifying as “performance-based compensation” under Section 162(m) of the Code.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(kk)</w:t>
      </w:r>
      <w:r>
        <w:rPr>
          <w:rFonts w:ascii="Times New Roman;Times;serif" w:hAnsi="Times New Roman;Times;serif"/>
          <w:sz w:val="20"/>
        </w:rPr>
        <w:t>“Plan” means this Amended and Restated 2006 Stock Incentive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(ll)</w:t>
      </w:r>
      <w:r>
        <w:rPr>
          <w:rFonts w:ascii="Times New Roman;Times;serif" w:hAnsi="Times New Roman;Times;serif"/>
          <w:sz w:val="20"/>
        </w:rPr>
        <w:t>“Related Entity” means any Parent or Subsidiary of the Company. With respect to Israeli Grantees of 102 Options, the definition shall further include any entity permitted under Section 102 (a) of the Tax Ordinance.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(mm)</w:t>
      </w:r>
      <w:r>
        <w:rPr>
          <w:rFonts w:ascii="Times New Roman;Times;serif" w:hAnsi="Times New Roman;Times;serif"/>
          <w:sz w:val="20"/>
        </w:rPr>
        <w:t>“Replaced”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(nn)</w:t>
      </w:r>
      <w:r>
        <w:rPr>
          <w:rFonts w:ascii="Times New Roman;Times;serif" w:hAnsi="Times New Roman;Times;serif"/>
          <w:sz w:val="20"/>
        </w:rPr>
        <w:t>“Restricted Stock” means Shares issued under the Plan to the Grantee for such consideration, if any, and subject to such restrictions on transfer, rights of first refusal, repurchase provisions, forfeiture provisions, and other terms and conditions as established by the Administrator.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(oo)</w:t>
      </w:r>
      <w:r>
        <w:rPr>
          <w:rFonts w:ascii="Times New Roman;Times;serif" w:hAnsi="Times New Roman;Times;serif"/>
          <w:sz w:val="20"/>
        </w:rPr>
        <w:t>“Restricted Stock Units”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(pp)</w:t>
      </w:r>
      <w:r>
        <w:rPr>
          <w:rFonts w:ascii="Times New Roman;Times;serif" w:hAnsi="Times New Roman;Times;serif"/>
          <w:sz w:val="20"/>
        </w:rPr>
        <w:t>“Rule 16b-3” means Rule 16b-3 promulgated under the Exchange Act or any successor thereto.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(qq)</w:t>
      </w:r>
      <w:r>
        <w:rPr>
          <w:rFonts w:ascii="Times New Roman;Times;serif" w:hAnsi="Times New Roman;Times;serif"/>
          <w:sz w:val="20"/>
        </w:rPr>
        <w:t>“SAR” means a stock appreciation right entitling the Grantee to Shares or cash compensation, as established by the Administrator, measured by appreciation in the value of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(rr)</w:t>
      </w:r>
      <w:r>
        <w:rPr>
          <w:rFonts w:ascii="Times New Roman;Times;serif" w:hAnsi="Times New Roman;Times;serif"/>
          <w:sz w:val="20"/>
        </w:rPr>
        <w:t>“Section 3(I)” means section 3(I) of the Tax Ordinance as may be amended from time to time.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(ss)</w:t>
      </w:r>
      <w:r>
        <w:rPr>
          <w:rFonts w:ascii="Times New Roman;Times;serif" w:hAnsi="Times New Roman;Times;serif"/>
          <w:sz w:val="20"/>
        </w:rPr>
        <w:t>“Section 102” means section 102 of the Tax Ordinance as may be amended from time to time.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(tt)</w:t>
      </w:r>
      <w:r>
        <w:rPr>
          <w:rFonts w:ascii="Times New Roman;Times;serif" w:hAnsi="Times New Roman;Times;serif"/>
          <w:sz w:val="20"/>
        </w:rPr>
        <w:t>“Share” means a share of the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(uu)</w:t>
      </w:r>
      <w:r>
        <w:rPr>
          <w:rFonts w:ascii="Times New Roman;Times;serif" w:hAnsi="Times New Roman;Times;serif"/>
          <w:sz w:val="20"/>
        </w:rPr>
        <w:t>“Subsidiary” means a “subsidiary corporation”, whether now or hereafter existing, as defined in Section 424(f) of the Code.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(vv)</w:t>
      </w:r>
      <w:r>
        <w:rPr>
          <w:rFonts w:ascii="Times New Roman;Times;serif" w:hAnsi="Times New Roman;Times;serif"/>
          <w:sz w:val="20"/>
        </w:rPr>
        <w:t>“Tax Ordinance” means the Israeli Income Tax Ordinance [New Version], 1961 (including as amended pursuant to Amendment 132 thereto) and to the extent not specifically indicated hereunder also the rules, regulations and orders or procedures promulgated thereunder from time to time, as amended or replaced from time to time.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(ww)</w:t>
      </w:r>
      <w:r>
        <w:rPr>
          <w:rFonts w:ascii="Times New Roman;Times;serif" w:hAnsi="Times New Roman;Times;serif"/>
          <w:sz w:val="20"/>
        </w:rPr>
        <w:t>“Trustee” means any individual appointed by the Company to serve as trustee and approved by the ITA, in accordance with the provisions of Section 102(a) of the Tax Ordinance and the regulations promulgated thereunder.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(xx)</w:t>
      </w:r>
      <w:r>
        <w:rPr>
          <w:rFonts w:ascii="Times New Roman;Times;serif" w:hAnsi="Times New Roman;Times;serif"/>
          <w:sz w:val="20"/>
        </w:rPr>
        <w:t>“Trustee 102 Option” means a 102 Option granted pursuant to Section 102(b) of the Tax Ordinance and held in trust by the Trustee for the benefit of an Israeli Grantee.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Stock Subject to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the provisions of Section below, the maximum aggregate number of Shares which may be issued pursuant to all Awards (including Incentive Stock Options) under the Plan is </w:t>
      </w:r>
      <w:r>
        <w:rPr>
          <w:rFonts w:ascii="Times New Roman;Times;serif" w:hAnsi="Times New Roman;Times;serif"/>
          <w:color w:val="C00000"/>
          <w:sz w:val="20"/>
        </w:rPr>
        <w:t>17,475,171</w:t>
      </w:r>
      <w:r>
        <w:rPr>
          <w:rFonts w:ascii="Times New Roman;Times;serif" w:hAnsi="Times New Roman;Times;serif"/>
          <w:color w:val="00B0F0"/>
          <w:sz w:val="20"/>
        </w:rPr>
        <w:t xml:space="preserve">20,975,171 </w:t>
      </w:r>
      <w:r>
        <w:rPr>
          <w:rFonts w:ascii="Times New Roman;Times;serif" w:hAnsi="Times New Roman;Times;serif"/>
          <w:sz w:val="20"/>
        </w:rPr>
        <w:t>Shares. Notwithstanding the foregoing, any Shares issued from and after November 10, 2014 in connection with Awards other than Options and SARs shall be counted against the limit set forth herein as one and one-half (1.5) Shares for every one (1) Share issued in connection with such Award (and shall be counted as one and one-half (1.5) Shares for every one (1) Share returned or deemed not have been issued from the Plan pursuant to Section 3(b) below in connection with Awards other than Options and SARs). The Shares to be issued pursuant to Awards may be authorized, but unissued, or reacquired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 lower of their original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price or their Fair Market Value at the time of repurchase, such Shares shall become available for future grant under the Plan. Notwithstanding anything to the contrary contained herein: (i) Shares tendered or withheld in payment of an Option exercise price shall not be returned to the Plan and shall not become available for future issuance under the Plan; (ii) Shares withheld by the Company to satisfy any tax withholding obligation shall not be returned to the Plan and shall not become available for future issuance under the Plan; and (iii) all Shares covered by the portion of an SAR that is exercised (whether or not Shares are actually issued to the Grantee upon exercise of the SAR) shall be considered issued pursuant to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Administration of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Plan Administrator.</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(i)Administration with Respect to Directors and Officers.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(ii)Administration With Respect to Consultants and Other Employees.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the Board determines from time to time.</w:t>
      </w:r>
    </w:p>
    <w:p>
      <w:pPr>
        <w:pStyle w:val="TextBody"/>
        <w:bidi w:val="0"/>
        <w:spacing w:before="0" w:after="0"/>
        <w:ind w:left="0" w:right="0" w:firstLine="2160"/>
        <w:jc w:val="left"/>
        <w:rPr>
          <w:color w:val="231F20"/>
        </w:rPr>
      </w:pPr>
      <w:r>
        <w:rPr>
          <w:color w:val="231F20"/>
        </w:rPr>
        <w:t>​</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color w:val="C00000"/>
          <w:sz w:val="20"/>
        </w:rPr>
        <w:t xml:space="preserve">Administration With Respect to Covered </w:t>
      </w:r>
      <w:r>
        <w:rPr>
          <w:rFonts w:ascii="Times New Roman;Times;serif" w:hAnsi="Times New Roman;Times;serif"/>
          <w:color w:val="C00000"/>
          <w:spacing w:val="-3"/>
          <w:sz w:val="20"/>
        </w:rPr>
        <w:t xml:space="preserve">Employees. </w:t>
      </w:r>
      <w:r>
        <w:rPr>
          <w:rFonts w:ascii="Times New Roman;Times;serif" w:hAnsi="Times New Roman;Times;serif"/>
          <w:color w:val="C00000"/>
          <w:sz w:val="20"/>
        </w:rPr>
        <w:t xml:space="preserve">Notwithstanding the foregoing, grants of </w:t>
      </w:r>
      <w:r>
        <w:rPr>
          <w:rFonts w:ascii="Times New Roman;Times;serif" w:hAnsi="Times New Roman;Times;serif"/>
          <w:color w:val="C00000"/>
          <w:spacing w:val="-5"/>
          <w:sz w:val="20"/>
        </w:rPr>
        <w:t xml:space="preserve">Awards </w:t>
      </w:r>
      <w:r>
        <w:rPr>
          <w:rFonts w:ascii="Times New Roman;Times;serif" w:hAnsi="Times New Roman;Times;serif"/>
          <w:color w:val="C00000"/>
          <w:sz w:val="20"/>
        </w:rPr>
        <w:t xml:space="preserve">to </w:t>
      </w:r>
      <w:r>
        <w:rPr>
          <w:rFonts w:ascii="Times New Roman;Times;serif" w:hAnsi="Times New Roman;Times;serif"/>
          <w:color w:val="C00000"/>
          <w:spacing w:val="-3"/>
          <w:sz w:val="20"/>
        </w:rPr>
        <w:t xml:space="preserve">any </w:t>
      </w:r>
      <w:r>
        <w:rPr>
          <w:rFonts w:ascii="Times New Roman;Times;serif" w:hAnsi="Times New Roman;Times;serif"/>
          <w:color w:val="C00000"/>
          <w:sz w:val="20"/>
        </w:rPr>
        <w:t>Covered Employee intended to qualify as Performance-Based Compensation shall be made only by a Committee (or subcommittee of a Committee) which is comprised</w:t>
      </w:r>
      <w:r>
        <w:rPr>
          <w:rFonts w:ascii="Times New Roman;Times;serif" w:hAnsi="Times New Roman;Times;serif"/>
          <w:color w:val="C00000"/>
          <w:spacing w:val="-20"/>
          <w:sz w:val="20"/>
        </w:rPr>
        <w:t xml:space="preserve"> </w:t>
      </w:r>
      <w:r>
        <w:rPr>
          <w:rFonts w:ascii="Times New Roman;Times;serif" w:hAnsi="Times New Roman;Times;serif"/>
          <w:color w:val="C00000"/>
          <w:spacing w:val="-2"/>
          <w:sz w:val="20"/>
        </w:rPr>
        <w:t>solely</w:t>
      </w:r>
      <w:r>
        <w:rPr>
          <w:rFonts w:ascii="Times New Roman;Times;serif" w:hAnsi="Times New Roman;Times;serif"/>
          <w:color w:val="C00000"/>
          <w:spacing w:val="-19"/>
          <w:sz w:val="20"/>
        </w:rPr>
        <w:t xml:space="preserve"> </w:t>
      </w:r>
      <w:r>
        <w:rPr>
          <w:rFonts w:ascii="Times New Roman;Times;serif" w:hAnsi="Times New Roman;Times;serif"/>
          <w:color w:val="C00000"/>
          <w:sz w:val="20"/>
        </w:rPr>
        <w:t>of</w:t>
      </w:r>
      <w:r>
        <w:rPr>
          <w:rFonts w:ascii="Times New Roman;Times;serif" w:hAnsi="Times New Roman;Times;serif"/>
          <w:color w:val="C00000"/>
          <w:spacing w:val="-2"/>
          <w:sz w:val="20"/>
        </w:rPr>
        <w:t xml:space="preserve"> </w:t>
      </w:r>
      <w:r>
        <w:rPr>
          <w:rFonts w:ascii="Times New Roman;Times;serif" w:hAnsi="Times New Roman;Times;serif"/>
          <w:color w:val="C00000"/>
          <w:spacing w:val="-3"/>
          <w:sz w:val="20"/>
        </w:rPr>
        <w:t>two</w:t>
      </w:r>
      <w:r>
        <w:rPr>
          <w:rFonts w:ascii="Times New Roman;Times;serif" w:hAnsi="Times New Roman;Times;serif"/>
          <w:color w:val="C00000"/>
          <w:spacing w:val="-20"/>
          <w:sz w:val="20"/>
        </w:rPr>
        <w:t xml:space="preserve"> </w:t>
      </w:r>
      <w:r>
        <w:rPr>
          <w:rFonts w:ascii="Times New Roman;Times;serif" w:hAnsi="Times New Roman;Times;serif"/>
          <w:color w:val="C00000"/>
          <w:sz w:val="20"/>
        </w:rPr>
        <w:t>or</w:t>
      </w:r>
      <w:r>
        <w:rPr>
          <w:rFonts w:ascii="Times New Roman;Times;serif" w:hAnsi="Times New Roman;Times;serif"/>
          <w:color w:val="C00000"/>
          <w:spacing w:val="-19"/>
          <w:sz w:val="20"/>
        </w:rPr>
        <w:t xml:space="preserve"> </w:t>
      </w:r>
      <w:r>
        <w:rPr>
          <w:rFonts w:ascii="Times New Roman;Times;serif" w:hAnsi="Times New Roman;Times;serif"/>
          <w:color w:val="C00000"/>
          <w:sz w:val="20"/>
        </w:rPr>
        <w:t>more</w:t>
      </w:r>
      <w:r>
        <w:rPr>
          <w:rFonts w:ascii="Times New Roman;Times;serif" w:hAnsi="Times New Roman;Times;serif"/>
          <w:color w:val="C00000"/>
          <w:spacing w:val="-19"/>
          <w:sz w:val="20"/>
        </w:rPr>
        <w:t xml:space="preserve"> </w:t>
      </w:r>
      <w:r>
        <w:rPr>
          <w:rFonts w:ascii="Times New Roman;Times;serif" w:hAnsi="Times New Roman;Times;serif"/>
          <w:color w:val="C00000"/>
          <w:sz w:val="20"/>
        </w:rPr>
        <w:t>Directors</w:t>
      </w:r>
      <w:r>
        <w:rPr>
          <w:rFonts w:ascii="Times New Roman;Times;serif" w:hAnsi="Times New Roman;Times;serif"/>
          <w:color w:val="C00000"/>
          <w:spacing w:val="-19"/>
          <w:sz w:val="20"/>
        </w:rPr>
        <w:t xml:space="preserve"> </w:t>
      </w:r>
      <w:r>
        <w:rPr>
          <w:rFonts w:ascii="Times New Roman;Times;serif" w:hAnsi="Times New Roman;Times;serif"/>
          <w:color w:val="C00000"/>
          <w:sz w:val="20"/>
        </w:rPr>
        <w:t>eligible</w:t>
      </w:r>
      <w:r>
        <w:rPr>
          <w:rFonts w:ascii="Times New Roman;Times;serif" w:hAnsi="Times New Roman;Times;serif"/>
          <w:color w:val="C00000"/>
          <w:spacing w:val="-19"/>
          <w:sz w:val="20"/>
        </w:rPr>
        <w:t xml:space="preserve"> </w:t>
      </w:r>
      <w:r>
        <w:rPr>
          <w:rFonts w:ascii="Times New Roman;Times;serif" w:hAnsi="Times New Roman;Times;serif"/>
          <w:color w:val="C00000"/>
          <w:sz w:val="20"/>
        </w:rPr>
        <w:t>to</w:t>
      </w:r>
      <w:r>
        <w:rPr>
          <w:rFonts w:ascii="Times New Roman;Times;serif" w:hAnsi="Times New Roman;Times;serif"/>
          <w:color w:val="C00000"/>
          <w:spacing w:val="-20"/>
          <w:sz w:val="20"/>
        </w:rPr>
        <w:t xml:space="preserve"> </w:t>
      </w:r>
      <w:r>
        <w:rPr>
          <w:rFonts w:ascii="Times New Roman;Times;serif" w:hAnsi="Times New Roman;Times;serif"/>
          <w:color w:val="C00000"/>
          <w:sz w:val="20"/>
        </w:rPr>
        <w:t>serve</w:t>
      </w:r>
      <w:r>
        <w:rPr>
          <w:rFonts w:ascii="Times New Roman;Times;serif" w:hAnsi="Times New Roman;Times;serif"/>
          <w:color w:val="C00000"/>
          <w:spacing w:val="-19"/>
          <w:sz w:val="20"/>
        </w:rPr>
        <w:t xml:space="preserve"> </w:t>
      </w:r>
      <w:r>
        <w:rPr>
          <w:rFonts w:ascii="Times New Roman;Times;serif" w:hAnsi="Times New Roman;Times;serif"/>
          <w:color w:val="C00000"/>
          <w:sz w:val="20"/>
        </w:rPr>
        <w:t>on</w:t>
      </w:r>
      <w:r>
        <w:rPr>
          <w:rFonts w:ascii="Times New Roman;Times;serif" w:hAnsi="Times New Roman;Times;serif"/>
          <w:color w:val="C00000"/>
          <w:spacing w:val="-19"/>
          <w:sz w:val="20"/>
        </w:rPr>
        <w:t xml:space="preserve"> </w:t>
      </w:r>
      <w:r>
        <w:rPr>
          <w:rFonts w:ascii="Times New Roman;Times;serif" w:hAnsi="Times New Roman;Times;serif"/>
          <w:color w:val="C00000"/>
          <w:sz w:val="20"/>
        </w:rPr>
        <w:t>a</w:t>
      </w:r>
      <w:r>
        <w:rPr>
          <w:rFonts w:ascii="Times New Roman;Times;serif" w:hAnsi="Times New Roman;Times;serif"/>
          <w:color w:val="C00000"/>
          <w:spacing w:val="-19"/>
          <w:sz w:val="20"/>
        </w:rPr>
        <w:t xml:space="preserve"> </w:t>
      </w:r>
      <w:r>
        <w:rPr>
          <w:rFonts w:ascii="Times New Roman;Times;serif" w:hAnsi="Times New Roman;Times;serif"/>
          <w:color w:val="C00000"/>
          <w:sz w:val="20"/>
        </w:rPr>
        <w:t>committee</w:t>
      </w:r>
      <w:r>
        <w:rPr>
          <w:rFonts w:ascii="Times New Roman;Times;serif" w:hAnsi="Times New Roman;Times;serif"/>
          <w:color w:val="C00000"/>
          <w:spacing w:val="-19"/>
          <w:sz w:val="20"/>
        </w:rPr>
        <w:t xml:space="preserve"> </w:t>
      </w:r>
      <w:r>
        <w:rPr>
          <w:rFonts w:ascii="Times New Roman;Times;serif" w:hAnsi="Times New Roman;Times;serif"/>
          <w:color w:val="C00000"/>
          <w:spacing w:val="-3"/>
          <w:sz w:val="20"/>
        </w:rPr>
        <w:t>making</w:t>
      </w:r>
      <w:r>
        <w:rPr>
          <w:rFonts w:ascii="Times New Roman;Times;serif" w:hAnsi="Times New Roman;Times;serif"/>
          <w:color w:val="C00000"/>
          <w:spacing w:val="-20"/>
          <w:sz w:val="20"/>
        </w:rPr>
        <w:t xml:space="preserve"> </w:t>
      </w:r>
      <w:r>
        <w:rPr>
          <w:rFonts w:ascii="Times New Roman;Times;serif" w:hAnsi="Times New Roman;Times;serif"/>
          <w:color w:val="C00000"/>
          <w:spacing w:val="-5"/>
          <w:sz w:val="20"/>
        </w:rPr>
        <w:t>Awards</w:t>
      </w:r>
      <w:r>
        <w:rPr>
          <w:rFonts w:ascii="Times New Roman;Times;serif" w:hAnsi="Times New Roman;Times;serif"/>
          <w:color w:val="C00000"/>
          <w:spacing w:val="-19"/>
          <w:sz w:val="20"/>
        </w:rPr>
        <w:t xml:space="preserve"> </w:t>
      </w:r>
      <w:r>
        <w:rPr>
          <w:rFonts w:ascii="Times New Roman;Times;serif" w:hAnsi="Times New Roman;Times;serif"/>
          <w:color w:val="C00000"/>
          <w:sz w:val="20"/>
        </w:rPr>
        <w:t xml:space="preserve">qualifying as Performance-Based Compensation. In the case of such </w:t>
      </w:r>
      <w:r>
        <w:rPr>
          <w:rFonts w:ascii="Times New Roman;Times;serif" w:hAnsi="Times New Roman;Times;serif"/>
          <w:color w:val="C00000"/>
          <w:spacing w:val="-5"/>
          <w:sz w:val="20"/>
        </w:rPr>
        <w:t xml:space="preserve">Awards </w:t>
      </w:r>
      <w:r>
        <w:rPr>
          <w:rFonts w:ascii="Times New Roman;Times;serif" w:hAnsi="Times New Roman;Times;serif"/>
          <w:color w:val="C00000"/>
          <w:sz w:val="20"/>
        </w:rPr>
        <w:t xml:space="preserve">granted to Covered Employees, references to the </w:t>
      </w:r>
      <w:r>
        <w:rPr>
          <w:rFonts w:ascii="Times New Roman;Times;serif" w:hAnsi="Times New Roman;Times;serif"/>
          <w:color w:val="C00000"/>
          <w:spacing w:val="-3"/>
          <w:sz w:val="20"/>
        </w:rPr>
        <w:t xml:space="preserve">“Administrator” </w:t>
      </w:r>
      <w:r>
        <w:rPr>
          <w:rFonts w:ascii="Times New Roman;Times;serif" w:hAnsi="Times New Roman;Times;serif"/>
          <w:color w:val="C00000"/>
          <w:sz w:val="20"/>
        </w:rPr>
        <w:t>or to a “Committee” shall be deemed to be references to such Committee or</w:t>
      </w:r>
      <w:r>
        <w:rPr>
          <w:rFonts w:ascii="Times New Roman;Times;serif" w:hAnsi="Times New Roman;Times;serif"/>
          <w:color w:val="C00000"/>
          <w:spacing w:val="-7"/>
          <w:sz w:val="20"/>
        </w:rPr>
        <w:t xml:space="preserve"> </w:t>
      </w:r>
      <w:r>
        <w:rPr>
          <w:rFonts w:ascii="Times New Roman;Times;serif" w:hAnsi="Times New Roman;Times;serif"/>
          <w:color w:val="C00000"/>
          <w:sz w:val="20"/>
        </w:rPr>
        <w:t>subcommittee.</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color w:val="00B0F0"/>
          <w:sz w:val="20"/>
        </w:rPr>
        <w:t>(iii)</w:t>
      </w:r>
      <w:r>
        <w:rPr>
          <w:rFonts w:ascii="Times New Roman;Times;serif" w:hAnsi="Times New Roman;Times;serif"/>
          <w:sz w:val="20"/>
        </w:rPr>
        <w:t>Administration With Respect to Israeli Grantees. With respect to grants of Awards to Israeli Grantees, the Plan shall be administered by (A) the Board or (B) a Committee or one or more Officers designated by the Board, which Committee or Officers shall be constituted or appointed in such a manner as to satisfy the ITA and the Applicable Laws applicable to Awards for Israeli Grantees. Once appointed, such Committee or Officer shall continue to serve in its/his/her designated capacity until otherwise directed by the Board.</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color w:val="00B0F0"/>
          <w:sz w:val="20"/>
        </w:rPr>
        <w:t>(iv)</w:t>
      </w:r>
      <w:r>
        <w:rPr>
          <w:rFonts w:ascii="Times New Roman;Times;serif" w:hAnsi="Times New Roman;Times;serif"/>
          <w:sz w:val="20"/>
        </w:rPr>
        <w:t>Administration Errors. In the event an Award is granted in a manner inconsistent with the provisions of this subsection (a), such Award shall be presumptively valid as of its grant date to the extent permitted by the Applicable Laws.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Powers of the Administrator. Subject to Applicable Laws and the provisions of the Plan (including any other powers given to the Administrator hereunder), and except as otherwise provided by the Board, the Administrator shall have the authority, in its discretion:</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(i)to select the Employees, Directors and Consultants to whom Awards may be granted from time to time hereunder;</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(ii)to determine whether and to what extent Awards are granted hereunder;</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(iii)to determine the number of Shares or the amount of other consideration to be covered by each Award granted hereunder;</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(iv)to approve forms of Award Agreements for use under the Plan;</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(v)to determine the terms and conditions of any Award granted hereunder;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A-6</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(vi)to amend the terms of any outstanding Award granted under the Plan, provided that (A)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(B) the reduction of the exercise price of any Option awarded under the Plan and the base appreciation amount of any SAR awarded under the Plan shall be subject to stockholder approval and (C) canceling an Option or SAR at a time when its exercise price or base appreciation amount (as applicable) exceeds the Fair Market Value of the underlying Shares, in exchange for another Option, SAR, Restricted Stock, or other Award or for cash shall be subject to stockholder approval, unless the cancellation and exchange occurs in connection with a Corporate Transaction. Notwithstanding the foregoing, canceling an Option or SAR in exchange for another Option, SAR, Restricted Stock, or other Award or for cash with an exercise price, purchase price or base appreciation amount (as applicable) that is equal to or greater than the exercise price or base appreciation amount (as applicable) of the original Option or SAR shall not be subject to stockholder approval;</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(vii)to construe and interpret the terms of the Plan and Awards, including without limitation, any notice of award or Award Agreement, granted pursuant to the Plan;</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(viii)to grant Awards to Employees, Directors and Consultants employed outside the United States on such terms and conditions different from those specified in the Plan as may, in the judgment of the Administrator, be necessary or desirable to further the purpose of the Plan; and</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(ix)to designate Awards as 102 Options (whether through a trustee or not) or 3(I) Options subject to the limitations under the ITA or any other Applicable Law and to determine the type and route of the Trustee 102 Options.</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(x)to take such other action, not inconsistent with the terms of the Plan, as the Administrator deems appropriate.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Indemnification.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Eligibility.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 provided however that Awards to Israeli Grantees under Section 102 or Section 3(I) of the Tax Ordinance shall be subject to Section 20 below.</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does not warrant that the Plan will be recognized by the income tax authorities in any jurisdiction or that future changes will not be made to the provisions of applicable laws or rules or regulations which are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A-7</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promulgated from time to time thereunder, or that any exemption or benefit currently available, whether by the ITA pursuant to Section 102 or otherwise, will not be abolished.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Terms and Conditions of Awards.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Types of Awards. The Administrator is authorized under the Plan to award any type of arrangement to an Employee, Director or Consultant that is not inconsistent with the provisions of the Plan and that by its terms involves or might involve the issuance of (i) Shares, (ii) cash or (iii) an Option, a</w:t>
      </w:r>
      <w:r>
        <w:rPr>
          <w:rFonts w:ascii="Times New Roman;Times;serif" w:hAnsi="Times New Roman;Times;serif"/>
          <w:color w:val="00B0F0"/>
          <w:sz w:val="20"/>
        </w:rPr>
        <w:t>n</w:t>
      </w:r>
      <w:r>
        <w:rPr>
          <w:rFonts w:ascii="Times New Roman;Times;serif" w:hAnsi="Times New Roman;Times;serif"/>
          <w:sz w:val="20"/>
        </w:rPr>
        <w:t xml:space="preserve">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Designation of Award. Each Award shall be designated in the Award Agreement. In the case of an Option, the Option shall be designated as either an Incentive Stock Option or a Non-Qualified Stock Option and with respect to Israeli Grantees may be further designated as 102 Options or 3(I) Options under the Tax Ordinance subject to the qualifications described in Section 20 below.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Conditions of Award.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Related Entities and/or any individual business units of the Company or any Related Entity.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Acquisitions and Other Transactions.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Deferral of Award Payment.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Separate Programs. The Administrator may establish one or more separate programs under the Plan for the purpose of issuing particular forms of Awards to one or more classes of Grantees on such terms and conditions as determined by the Administrator from time to time.</w:t>
      </w:r>
    </w:p>
    <w:p>
      <w:pPr>
        <w:pStyle w:val="TextBody"/>
        <w:bidi w:val="0"/>
        <w:spacing w:before="0" w:after="0"/>
        <w:ind w:left="0" w:right="0" w:firstLine="1440"/>
        <w:jc w:val="left"/>
        <w:rPr/>
      </w:pPr>
      <w:r>
        <w:rPr/>
        <w:t>​</w:t>
      </w:r>
    </w:p>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color w:val="C00000"/>
          <w:sz w:val="20"/>
        </w:rPr>
        <w:t>Individual Limitations on</w:t>
      </w:r>
      <w:r>
        <w:rPr>
          <w:rFonts w:ascii="Times New Roman;Times;serif" w:hAnsi="Times New Roman;Times;serif"/>
          <w:color w:val="C00000"/>
          <w:spacing w:val="-21"/>
          <w:sz w:val="20"/>
        </w:rPr>
        <w:t xml:space="preserve"> </w:t>
      </w:r>
      <w:r>
        <w:rPr>
          <w:rFonts w:ascii="Times New Roman;Times;serif" w:hAnsi="Times New Roman;Times;serif"/>
          <w:color w:val="C00000"/>
          <w:spacing w:val="-6"/>
          <w:sz w:val="20"/>
        </w:rPr>
        <w:t>Awards.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31F20"/>
          <w:sz w:val="20"/>
        </w:rPr>
        <w:t>(i)</w:t>
      </w:r>
      <w:r>
        <w:rPr>
          <w:rFonts w:ascii="Times New Roman;Times;serif" w:hAnsi="Times New Roman;Times;serif"/>
          <w:color w:val="C00000"/>
          <w:sz w:val="20"/>
        </w:rPr>
        <w:t xml:space="preserve">Individual Limit </w:t>
      </w:r>
      <w:r>
        <w:rPr>
          <w:rFonts w:ascii="Times New Roman;Times;serif" w:hAnsi="Times New Roman;Times;serif"/>
          <w:color w:val="C00000"/>
          <w:spacing w:val="-3"/>
          <w:sz w:val="20"/>
        </w:rPr>
        <w:t xml:space="preserve">for </w:t>
      </w:r>
      <w:r>
        <w:rPr>
          <w:rFonts w:ascii="Times New Roman;Times;serif" w:hAnsi="Times New Roman;Times;serif"/>
          <w:color w:val="C00000"/>
          <w:sz w:val="20"/>
        </w:rPr>
        <w:t xml:space="preserve">Options and </w:t>
      </w:r>
      <w:r>
        <w:rPr>
          <w:rFonts w:ascii="Times New Roman;Times;serif" w:hAnsi="Times New Roman;Times;serif"/>
          <w:color w:val="C00000"/>
          <w:spacing w:val="-3"/>
          <w:sz w:val="20"/>
        </w:rPr>
        <w:t xml:space="preserve">SARs. </w:t>
      </w:r>
      <w:r>
        <w:rPr>
          <w:rFonts w:ascii="Times New Roman;Times;serif" w:hAnsi="Times New Roman;Times;serif"/>
          <w:color w:val="C00000"/>
          <w:sz w:val="20"/>
        </w:rPr>
        <w:t xml:space="preserve">The maximum number of Shares with respect to which Options and SARs </w:t>
      </w:r>
      <w:r>
        <w:rPr>
          <w:rFonts w:ascii="Times New Roman;Times;serif" w:hAnsi="Times New Roman;Times;serif"/>
          <w:color w:val="C00000"/>
          <w:spacing w:val="-3"/>
          <w:sz w:val="20"/>
        </w:rPr>
        <w:t xml:space="preserve">may </w:t>
      </w:r>
      <w:r>
        <w:rPr>
          <w:rFonts w:ascii="Times New Roman;Times;serif" w:hAnsi="Times New Roman;Times;serif"/>
          <w:color w:val="C00000"/>
          <w:sz w:val="20"/>
        </w:rPr>
        <w:t xml:space="preserve">be granted to </w:t>
      </w:r>
      <w:r>
        <w:rPr>
          <w:rFonts w:ascii="Times New Roman;Times;serif" w:hAnsi="Times New Roman;Times;serif"/>
          <w:color w:val="C00000"/>
          <w:spacing w:val="-3"/>
          <w:sz w:val="20"/>
        </w:rPr>
        <w:t xml:space="preserve">any </w:t>
      </w:r>
      <w:r>
        <w:rPr>
          <w:rFonts w:ascii="Times New Roman;Times;serif" w:hAnsi="Times New Roman;Times;serif"/>
          <w:color w:val="C00000"/>
          <w:sz w:val="20"/>
        </w:rPr>
        <w:t xml:space="preserve">Grantee in </w:t>
      </w:r>
      <w:r>
        <w:rPr>
          <w:rFonts w:ascii="Times New Roman;Times;serif" w:hAnsi="Times New Roman;Times;serif"/>
          <w:color w:val="C00000"/>
          <w:spacing w:val="-3"/>
          <w:sz w:val="20"/>
        </w:rPr>
        <w:t xml:space="preserve">any </w:t>
      </w:r>
      <w:r>
        <w:rPr>
          <w:rFonts w:ascii="Times New Roman;Times;serif" w:hAnsi="Times New Roman;Times;serif"/>
          <w:color w:val="C00000"/>
          <w:sz w:val="20"/>
        </w:rPr>
        <w:t>calendar year shall be 17,475,171 Shares</w:t>
      </w:r>
      <w:r>
        <w:rPr>
          <w:rFonts w:ascii="Times New Roman;Times;serif" w:hAnsi="Times New Roman;Times;serif"/>
          <w:color w:val="C00000"/>
          <w:spacing w:val="-3"/>
          <w:sz w:val="20"/>
        </w:rPr>
        <w:t xml:space="preserve">. </w:t>
      </w:r>
      <w:r>
        <w:rPr>
          <w:rFonts w:ascii="Times New Roman;Times;serif" w:hAnsi="Times New Roman;Times;serif"/>
          <w:color w:val="C00000"/>
          <w:sz w:val="20"/>
        </w:rPr>
        <w:t xml:space="preserve">Shares which shall not count against the limit set forth in the previous sentence. The foregoing limitations shall be adjusted proportionately in connection with </w:t>
      </w:r>
      <w:r>
        <w:rPr>
          <w:rFonts w:ascii="Times New Roman;Times;serif" w:hAnsi="Times New Roman;Times;serif"/>
          <w:color w:val="C00000"/>
          <w:spacing w:val="-3"/>
          <w:sz w:val="20"/>
        </w:rPr>
        <w:t xml:space="preserve">any </w:t>
      </w:r>
      <w:r>
        <w:rPr>
          <w:rFonts w:ascii="Times New Roman;Times;serif" w:hAnsi="Times New Roman;Times;serif"/>
          <w:color w:val="C00000"/>
          <w:sz w:val="20"/>
        </w:rPr>
        <w:t xml:space="preserve">change in the </w:t>
      </w:r>
      <w:r>
        <w:rPr>
          <w:rFonts w:ascii="Times New Roman;Times;serif" w:hAnsi="Times New Roman;Times;serif"/>
          <w:color w:val="C00000"/>
          <w:spacing w:val="-3"/>
          <w:sz w:val="20"/>
        </w:rPr>
        <w:t xml:space="preserve">Company’s </w:t>
      </w:r>
      <w:r>
        <w:rPr>
          <w:rFonts w:ascii="Times New Roman;Times;serif" w:hAnsi="Times New Roman;Times;serif"/>
          <w:color w:val="C00000"/>
          <w:sz w:val="20"/>
        </w:rPr>
        <w:t xml:space="preserve">capitalization pursuant to Section </w:t>
      </w:r>
      <w:r>
        <w:rPr>
          <w:rFonts w:ascii="Times New Roman;Times;serif" w:hAnsi="Times New Roman;Times;serif"/>
          <w:color w:val="C00000"/>
          <w:spacing w:val="-5"/>
          <w:sz w:val="20"/>
        </w:rPr>
        <w:t xml:space="preserve">below. </w:t>
      </w:r>
      <w:r>
        <w:rPr>
          <w:rFonts w:ascii="Times New Roman;Times;serif" w:hAnsi="Times New Roman;Times;serif"/>
          <w:color w:val="C00000"/>
          <w:spacing w:val="-11"/>
          <w:sz w:val="20"/>
        </w:rPr>
        <w:t xml:space="preserve">To </w:t>
      </w:r>
      <w:r>
        <w:rPr>
          <w:rFonts w:ascii="Times New Roman;Times;serif" w:hAnsi="Times New Roman;Times;serif"/>
          <w:color w:val="C00000"/>
          <w:sz w:val="20"/>
        </w:rPr>
        <w:t xml:space="preserve">the extent required by Section 162(m) of the Code or the regulations thereunder, in applying the foregoing limitations with respect to a Grantee, if </w:t>
      </w:r>
      <w:r>
        <w:rPr>
          <w:rFonts w:ascii="Times New Roman;Times;serif" w:hAnsi="Times New Roman;Times;serif"/>
          <w:color w:val="C00000"/>
          <w:spacing w:val="-3"/>
          <w:sz w:val="20"/>
        </w:rPr>
        <w:t xml:space="preserve">any </w:t>
      </w:r>
      <w:r>
        <w:rPr>
          <w:rFonts w:ascii="Times New Roman;Times;serif" w:hAnsi="Times New Roman;Times;serif"/>
          <w:color w:val="C00000"/>
          <w:sz w:val="20"/>
        </w:rPr>
        <w:t>Option or SAR is canceled, the canceled Option or SAR shall continue to count against the maximum number of Shares with respect to which Options and</w:t>
      </w:r>
      <w:r>
        <w:rPr>
          <w:rFonts w:ascii="Times New Roman;Times;serif" w:hAnsi="Times New Roman;Times;serif"/>
          <w:color w:val="C00000"/>
          <w:spacing w:val="-33"/>
          <w:sz w:val="20"/>
        </w:rPr>
        <w:t xml:space="preserve"> </w:t>
      </w:r>
      <w:r>
        <w:rPr>
          <w:rFonts w:ascii="Times New Roman;Times;serif" w:hAnsi="Times New Roman;Times;serif"/>
          <w:color w:val="C00000"/>
          <w:sz w:val="20"/>
        </w:rPr>
        <w:t xml:space="preserve">SARs </w:t>
      </w:r>
      <w:r>
        <w:rPr>
          <w:rFonts w:ascii="Times New Roman;Times;serif" w:hAnsi="Times New Roman;Times;serif"/>
          <w:color w:val="C00000"/>
          <w:spacing w:val="-3"/>
          <w:sz w:val="20"/>
        </w:rPr>
        <w:t xml:space="preserve">may </w:t>
      </w:r>
      <w:r>
        <w:rPr>
          <w:rFonts w:ascii="Times New Roman;Times;serif" w:hAnsi="Times New Roman;Times;serif"/>
          <w:color w:val="C00000"/>
          <w:sz w:val="20"/>
        </w:rPr>
        <w:t xml:space="preserve">be granted to the Grantee. </w:t>
      </w:r>
      <w:r>
        <w:rPr>
          <w:rFonts w:ascii="Times New Roman;Times;serif" w:hAnsi="Times New Roman;Times;serif"/>
          <w:color w:val="C00000"/>
          <w:spacing w:val="-6"/>
          <w:sz w:val="20"/>
        </w:rPr>
        <w:t xml:space="preserve">For </w:t>
      </w:r>
      <w:r>
        <w:rPr>
          <w:rFonts w:ascii="Times New Roman;Times;serif" w:hAnsi="Times New Roman;Times;serif"/>
          <w:color w:val="C00000"/>
          <w:sz w:val="20"/>
        </w:rPr>
        <w:t>this purpose, the repricing of an Option (or in the case of a SAR,</w:t>
      </w:r>
      <w:r>
        <w:rPr>
          <w:rFonts w:ascii="Times New Roman;Times;serif" w:hAnsi="Times New Roman;Times;serif"/>
          <w:color w:val="C00000"/>
          <w:spacing w:val="-7"/>
          <w:sz w:val="20"/>
        </w:rPr>
        <w:t xml:space="preserve"> </w:t>
      </w:r>
      <w:r>
        <w:rPr>
          <w:rFonts w:ascii="Times New Roman;Times;serif" w:hAnsi="Times New Roman;Times;serif"/>
          <w:color w:val="C00000"/>
          <w:sz w:val="20"/>
        </w:rPr>
        <w:t>the</w:t>
      </w:r>
      <w:r>
        <w:rPr>
          <w:rFonts w:ascii="Times New Roman;Times;serif" w:hAnsi="Times New Roman;Times;serif"/>
          <w:color w:val="C00000"/>
          <w:spacing w:val="-7"/>
          <w:sz w:val="20"/>
        </w:rPr>
        <w:t xml:space="preserve"> </w:t>
      </w:r>
      <w:r>
        <w:rPr>
          <w:rFonts w:ascii="Times New Roman;Times;serif" w:hAnsi="Times New Roman;Times;serif"/>
          <w:color w:val="C00000"/>
          <w:sz w:val="20"/>
        </w:rPr>
        <w:t>base</w:t>
      </w:r>
      <w:r>
        <w:rPr>
          <w:rFonts w:ascii="Times New Roman;Times;serif" w:hAnsi="Times New Roman;Times;serif"/>
          <w:color w:val="C00000"/>
          <w:spacing w:val="-7"/>
          <w:sz w:val="20"/>
        </w:rPr>
        <w:t xml:space="preserve"> </w:t>
      </w:r>
      <w:r>
        <w:rPr>
          <w:rFonts w:ascii="Times New Roman;Times;serif" w:hAnsi="Times New Roman;Times;serif"/>
          <w:color w:val="C00000"/>
          <w:sz w:val="20"/>
        </w:rPr>
        <w:t>amount</w:t>
      </w:r>
      <w:r>
        <w:rPr>
          <w:rFonts w:ascii="Times New Roman;Times;serif" w:hAnsi="Times New Roman;Times;serif"/>
          <w:color w:val="C00000"/>
          <w:spacing w:val="-7"/>
          <w:sz w:val="20"/>
        </w:rPr>
        <w:t xml:space="preserve"> </w:t>
      </w:r>
      <w:r>
        <w:rPr>
          <w:rFonts w:ascii="Times New Roman;Times;serif" w:hAnsi="Times New Roman;Times;serif"/>
          <w:color w:val="C00000"/>
          <w:sz w:val="20"/>
        </w:rPr>
        <w:t>on</w:t>
      </w:r>
      <w:r>
        <w:rPr>
          <w:rFonts w:ascii="Times New Roman;Times;serif" w:hAnsi="Times New Roman;Times;serif"/>
          <w:color w:val="C00000"/>
          <w:spacing w:val="-6"/>
          <w:sz w:val="20"/>
        </w:rPr>
        <w:t xml:space="preserve"> </w:t>
      </w:r>
      <w:r>
        <w:rPr>
          <w:rFonts w:ascii="Times New Roman;Times;serif" w:hAnsi="Times New Roman;Times;serif"/>
          <w:color w:val="C00000"/>
          <w:sz w:val="20"/>
        </w:rPr>
        <w:t>which</w:t>
      </w:r>
      <w:r>
        <w:rPr>
          <w:rFonts w:ascii="Times New Roman;Times;serif" w:hAnsi="Times New Roman;Times;serif"/>
          <w:color w:val="C00000"/>
          <w:spacing w:val="-7"/>
          <w:sz w:val="20"/>
        </w:rPr>
        <w:t xml:space="preserve"> </w:t>
      </w:r>
      <w:r>
        <w:rPr>
          <w:rFonts w:ascii="Times New Roman;Times;serif" w:hAnsi="Times New Roman;Times;serif"/>
          <w:color w:val="C00000"/>
          <w:sz w:val="20"/>
        </w:rPr>
        <w:t>the</w:t>
      </w:r>
      <w:r>
        <w:rPr>
          <w:rFonts w:ascii="Times New Roman;Times;serif" w:hAnsi="Times New Roman;Times;serif"/>
          <w:color w:val="C00000"/>
          <w:spacing w:val="-7"/>
          <w:sz w:val="20"/>
        </w:rPr>
        <w:t xml:space="preserve"> </w:t>
      </w:r>
      <w:r>
        <w:rPr>
          <w:rFonts w:ascii="Times New Roman;Times;serif" w:hAnsi="Times New Roman;Times;serif"/>
          <w:color w:val="C00000"/>
          <w:sz w:val="20"/>
        </w:rPr>
        <w:t>stock</w:t>
      </w:r>
      <w:r>
        <w:rPr>
          <w:rFonts w:ascii="Times New Roman;Times;serif" w:hAnsi="Times New Roman;Times;serif"/>
          <w:color w:val="C00000"/>
          <w:spacing w:val="-7"/>
          <w:sz w:val="20"/>
        </w:rPr>
        <w:t xml:space="preserve"> </w:t>
      </w:r>
      <w:r>
        <w:rPr>
          <w:rFonts w:ascii="Times New Roman;Times;serif" w:hAnsi="Times New Roman;Times;serif"/>
          <w:color w:val="C00000"/>
          <w:sz w:val="20"/>
        </w:rPr>
        <w:t>appreciation</w:t>
      </w:r>
      <w:r>
        <w:rPr>
          <w:rFonts w:ascii="Times New Roman;Times;serif" w:hAnsi="Times New Roman;Times;serif"/>
          <w:color w:val="C00000"/>
          <w:spacing w:val="-7"/>
          <w:sz w:val="20"/>
        </w:rPr>
        <w:t xml:space="preserve"> </w:t>
      </w:r>
      <w:r>
        <w:rPr>
          <w:rFonts w:ascii="Times New Roman;Times;serif" w:hAnsi="Times New Roman;Times;serif"/>
          <w:color w:val="C00000"/>
          <w:sz w:val="20"/>
        </w:rPr>
        <w:t>is</w:t>
      </w:r>
      <w:r>
        <w:rPr>
          <w:rFonts w:ascii="Times New Roman;Times;serif" w:hAnsi="Times New Roman;Times;serif"/>
          <w:color w:val="C00000"/>
          <w:spacing w:val="-6"/>
          <w:sz w:val="20"/>
        </w:rPr>
        <w:t xml:space="preserve"> </w:t>
      </w:r>
      <w:r>
        <w:rPr>
          <w:rFonts w:ascii="Times New Roman;Times;serif" w:hAnsi="Times New Roman;Times;serif"/>
          <w:color w:val="C00000"/>
          <w:sz w:val="20"/>
        </w:rPr>
        <w:t>calculated</w:t>
      </w:r>
      <w:r>
        <w:rPr>
          <w:rFonts w:ascii="Times New Roman;Times;serif" w:hAnsi="Times New Roman;Times;serif"/>
          <w:color w:val="C00000"/>
          <w:spacing w:val="-7"/>
          <w:sz w:val="20"/>
        </w:rPr>
        <w:t xml:space="preserve"> </w:t>
      </w:r>
      <w:r>
        <w:rPr>
          <w:rFonts w:ascii="Times New Roman;Times;serif" w:hAnsi="Times New Roman;Times;serif"/>
          <w:color w:val="C00000"/>
          <w:sz w:val="20"/>
        </w:rPr>
        <w:t>is</w:t>
      </w:r>
      <w:r>
        <w:rPr>
          <w:rFonts w:ascii="Times New Roman;Times;serif" w:hAnsi="Times New Roman;Times;serif"/>
          <w:color w:val="C00000"/>
          <w:spacing w:val="-7"/>
          <w:sz w:val="20"/>
        </w:rPr>
        <w:t xml:space="preserve"> </w:t>
      </w:r>
      <w:r>
        <w:rPr>
          <w:rFonts w:ascii="Times New Roman;Times;serif" w:hAnsi="Times New Roman;Times;serif"/>
          <w:color w:val="C00000"/>
          <w:sz w:val="20"/>
        </w:rPr>
        <w:t>reduced</w:t>
      </w:r>
      <w:r>
        <w:rPr>
          <w:rFonts w:ascii="Times New Roman;Times;serif" w:hAnsi="Times New Roman;Times;serif"/>
          <w:color w:val="C00000"/>
          <w:spacing w:val="-7"/>
          <w:sz w:val="20"/>
        </w:rPr>
        <w:t xml:space="preserve"> </w:t>
      </w:r>
      <w:r>
        <w:rPr>
          <w:rFonts w:ascii="Times New Roman;Times;serif" w:hAnsi="Times New Roman;Times;serif"/>
          <w:color w:val="C00000"/>
          <w:sz w:val="20"/>
        </w:rPr>
        <w:t>to</w:t>
      </w:r>
      <w:r>
        <w:rPr>
          <w:rFonts w:ascii="Times New Roman;Times;serif" w:hAnsi="Times New Roman;Times;serif"/>
          <w:color w:val="C00000"/>
          <w:spacing w:val="-7"/>
          <w:sz w:val="20"/>
        </w:rPr>
        <w:t xml:space="preserve"> </w:t>
      </w:r>
      <w:r>
        <w:rPr>
          <w:rFonts w:ascii="Times New Roman;Times;serif" w:hAnsi="Times New Roman;Times;serif"/>
          <w:color w:val="C00000"/>
          <w:sz w:val="20"/>
        </w:rPr>
        <w:t>reflect</w:t>
      </w:r>
      <w:r>
        <w:rPr>
          <w:rFonts w:ascii="Times New Roman;Times;serif" w:hAnsi="Times New Roman;Times;serif"/>
          <w:color w:val="C00000"/>
          <w:spacing w:val="-6"/>
          <w:sz w:val="20"/>
        </w:rPr>
        <w:t xml:space="preserve"> </w:t>
      </w:r>
      <w:r>
        <w:rPr>
          <w:rFonts w:ascii="Times New Roman;Times;serif" w:hAnsi="Times New Roman;Times;serif"/>
          <w:color w:val="C00000"/>
          <w:sz w:val="20"/>
        </w:rPr>
        <w:t>a</w:t>
      </w:r>
      <w:r>
        <w:rPr>
          <w:rFonts w:ascii="Times New Roman;Times;serif" w:hAnsi="Times New Roman;Times;serif"/>
          <w:color w:val="C00000"/>
          <w:spacing w:val="-7"/>
          <w:sz w:val="20"/>
        </w:rPr>
        <w:t xml:space="preserve"> </w:t>
      </w:r>
      <w:r>
        <w:rPr>
          <w:rFonts w:ascii="Times New Roman;Times;serif" w:hAnsi="Times New Roman;Times;serif"/>
          <w:color w:val="C00000"/>
          <w:sz w:val="20"/>
        </w:rPr>
        <w:t xml:space="preserve">reduction in the </w:t>
      </w:r>
      <w:r>
        <w:rPr>
          <w:rFonts w:ascii="Times New Roman;Times;serif" w:hAnsi="Times New Roman;Times;serif"/>
          <w:color w:val="C00000"/>
          <w:spacing w:val="-3"/>
          <w:sz w:val="20"/>
        </w:rPr>
        <w:t xml:space="preserve">Fair </w:t>
      </w:r>
      <w:r>
        <w:rPr>
          <w:rFonts w:ascii="Times New Roman;Times;serif" w:hAnsi="Times New Roman;Times;serif"/>
          <w:color w:val="C00000"/>
          <w:sz w:val="20"/>
        </w:rPr>
        <w:t xml:space="preserve">Market </w:t>
      </w:r>
      <w:r>
        <w:rPr>
          <w:rFonts w:ascii="Times New Roman;Times;serif" w:hAnsi="Times New Roman;Times;serif"/>
          <w:color w:val="C00000"/>
          <w:spacing w:val="-5"/>
          <w:sz w:val="20"/>
        </w:rPr>
        <w:t xml:space="preserve">Value </w:t>
      </w:r>
      <w:r>
        <w:rPr>
          <w:rFonts w:ascii="Times New Roman;Times;serif" w:hAnsi="Times New Roman;Times;serif"/>
          <w:color w:val="C00000"/>
          <w:sz w:val="20"/>
        </w:rPr>
        <w:t>of the Common Stock) shall be treated as the cancellation of</w:t>
      </w:r>
      <w:r>
        <w:rPr>
          <w:rFonts w:ascii="Times New Roman;Times;serif" w:hAnsi="Times New Roman;Times;serif"/>
          <w:color w:val="C00000"/>
          <w:spacing w:val="-10"/>
          <w:sz w:val="20"/>
        </w:rPr>
        <w:t xml:space="preserve"> </w:t>
      </w:r>
      <w:r>
        <w:rPr>
          <w:rFonts w:ascii="Times New Roman;Times;serif" w:hAnsi="Times New Roman;Times;serif"/>
          <w:color w:val="C00000"/>
          <w:sz w:val="20"/>
        </w:rPr>
        <w:t>the existing Option or SAR and the grant of a new Option or SAR.</w:t>
      </w:r>
    </w:p>
    <w:p>
      <w:pPr>
        <w:pStyle w:val="TextBody"/>
        <w:bidi w:val="0"/>
        <w:ind w:left="0" w:right="0" w:hanging="0"/>
        <w:jc w:val="left"/>
        <w:rPr>
          <w:rFonts w:ascii="Times New Roman;Times;serif" w:hAnsi="Times New Roman;Times;serif"/>
          <w:sz w:val="20"/>
        </w:rPr>
      </w:pPr>
      <w:r>
        <w:rPr>
          <w:rFonts w:ascii="Times New Roman;Times;serif" w:hAnsi="Times New Roman;Times;serif"/>
          <w:color w:val="231F20"/>
          <w:sz w:val="20"/>
        </w:rPr>
        <w:t>(ii)</w:t>
      </w:r>
      <w:r>
        <w:rPr>
          <w:rFonts w:ascii="Times New Roman;Times;serif" w:hAnsi="Times New Roman;Times;serif"/>
          <w:color w:val="C00000"/>
          <w:sz w:val="20"/>
        </w:rPr>
        <w:t xml:space="preserve">Individual Limit </w:t>
      </w:r>
      <w:r>
        <w:rPr>
          <w:rFonts w:ascii="Times New Roman;Times;serif" w:hAnsi="Times New Roman;Times;serif"/>
          <w:color w:val="C00000"/>
          <w:spacing w:val="-3"/>
          <w:sz w:val="20"/>
        </w:rPr>
        <w:t xml:space="preserve">for </w:t>
      </w:r>
      <w:r>
        <w:rPr>
          <w:rFonts w:ascii="Times New Roman;Times;serif" w:hAnsi="Times New Roman;Times;serif"/>
          <w:color w:val="C00000"/>
          <w:sz w:val="20"/>
        </w:rPr>
        <w:t xml:space="preserve">Restricted Stock and Restricted Stock </w:t>
      </w:r>
      <w:r>
        <w:rPr>
          <w:rFonts w:ascii="Times New Roman;Times;serif" w:hAnsi="Times New Roman;Times;serif"/>
          <w:color w:val="C00000"/>
          <w:spacing w:val="-3"/>
          <w:sz w:val="20"/>
        </w:rPr>
        <w:t xml:space="preserve">Units. </w:t>
      </w:r>
      <w:r>
        <w:rPr>
          <w:rFonts w:ascii="Times New Roman;Times;serif" w:hAnsi="Times New Roman;Times;serif"/>
          <w:color w:val="C00000"/>
          <w:spacing w:val="-6"/>
          <w:sz w:val="20"/>
        </w:rPr>
        <w:t xml:space="preserve">For </w:t>
      </w:r>
      <w:r>
        <w:rPr>
          <w:rFonts w:ascii="Times New Roman;Times;serif" w:hAnsi="Times New Roman;Times;serif"/>
          <w:color w:val="C00000"/>
          <w:spacing w:val="-4"/>
          <w:sz w:val="20"/>
        </w:rPr>
        <w:t xml:space="preserve">awards </w:t>
      </w:r>
      <w:r>
        <w:rPr>
          <w:rFonts w:ascii="Times New Roman;Times;serif" w:hAnsi="Times New Roman;Times;serif"/>
          <w:color w:val="C00000"/>
          <w:sz w:val="20"/>
        </w:rPr>
        <w:t xml:space="preserve">of Restricted Stock and Restricted Stock Units that are intended to be Performance-Based Compensation, the maximum number of Shares with respect to which such </w:t>
      </w:r>
      <w:r>
        <w:rPr>
          <w:rFonts w:ascii="Times New Roman;Times;serif" w:hAnsi="Times New Roman;Times;serif"/>
          <w:color w:val="C00000"/>
          <w:spacing w:val="-5"/>
          <w:sz w:val="20"/>
        </w:rPr>
        <w:t xml:space="preserve">Awards </w:t>
      </w:r>
      <w:r>
        <w:rPr>
          <w:rFonts w:ascii="Times New Roman;Times;serif" w:hAnsi="Times New Roman;Times;serif"/>
          <w:color w:val="C00000"/>
          <w:spacing w:val="-3"/>
          <w:sz w:val="20"/>
        </w:rPr>
        <w:t xml:space="preserve">may </w:t>
      </w:r>
      <w:r>
        <w:rPr>
          <w:rFonts w:ascii="Times New Roman;Times;serif" w:hAnsi="Times New Roman;Times;serif"/>
          <w:color w:val="C00000"/>
          <w:sz w:val="20"/>
        </w:rPr>
        <w:t>be granted</w:t>
      </w:r>
      <w:r>
        <w:rPr>
          <w:rFonts w:ascii="Times New Roman;Times;serif" w:hAnsi="Times New Roman;Times;serif"/>
          <w:color w:val="C00000"/>
          <w:spacing w:val="-5"/>
          <w:sz w:val="20"/>
        </w:rPr>
        <w:t xml:space="preserve"> </w:t>
      </w:r>
      <w:r>
        <w:rPr>
          <w:rFonts w:ascii="Times New Roman;Times;serif" w:hAnsi="Times New Roman;Times;serif"/>
          <w:color w:val="C00000"/>
          <w:sz w:val="20"/>
        </w:rPr>
        <w:t>to</w:t>
      </w:r>
      <w:r>
        <w:rPr>
          <w:rFonts w:ascii="Times New Roman;Times;serif" w:hAnsi="Times New Roman;Times;serif"/>
          <w:color w:val="C00000"/>
          <w:spacing w:val="-4"/>
          <w:sz w:val="20"/>
        </w:rPr>
        <w:t xml:space="preserve"> </w:t>
      </w:r>
      <w:r>
        <w:rPr>
          <w:rFonts w:ascii="Times New Roman;Times;serif" w:hAnsi="Times New Roman;Times;serif"/>
          <w:color w:val="C00000"/>
          <w:spacing w:val="-3"/>
          <w:sz w:val="20"/>
        </w:rPr>
        <w:t>any</w:t>
      </w:r>
      <w:r>
        <w:rPr>
          <w:rFonts w:ascii="Times New Roman;Times;serif" w:hAnsi="Times New Roman;Times;serif"/>
          <w:color w:val="C00000"/>
          <w:spacing w:val="-4"/>
          <w:sz w:val="20"/>
        </w:rPr>
        <w:t xml:space="preserve"> </w:t>
      </w:r>
      <w:r>
        <w:rPr>
          <w:rFonts w:ascii="Times New Roman;Times;serif" w:hAnsi="Times New Roman;Times;serif"/>
          <w:color w:val="C00000"/>
          <w:sz w:val="20"/>
        </w:rPr>
        <w:t>Grantee</w:t>
      </w:r>
      <w:r>
        <w:rPr>
          <w:rFonts w:ascii="Times New Roman;Times;serif" w:hAnsi="Times New Roman;Times;serif"/>
          <w:color w:val="C00000"/>
          <w:spacing w:val="-5"/>
          <w:sz w:val="20"/>
        </w:rPr>
        <w:t xml:space="preserve"> </w:t>
      </w:r>
      <w:r>
        <w:rPr>
          <w:rFonts w:ascii="Times New Roman;Times;serif" w:hAnsi="Times New Roman;Times;serif"/>
          <w:color w:val="C00000"/>
          <w:sz w:val="20"/>
        </w:rPr>
        <w:t>in</w:t>
      </w:r>
      <w:r>
        <w:rPr>
          <w:rFonts w:ascii="Times New Roman;Times;serif" w:hAnsi="Times New Roman;Times;serif"/>
          <w:color w:val="C00000"/>
          <w:spacing w:val="-4"/>
          <w:sz w:val="20"/>
        </w:rPr>
        <w:t xml:space="preserve"> </w:t>
      </w:r>
      <w:r>
        <w:rPr>
          <w:rFonts w:ascii="Times New Roman;Times;serif" w:hAnsi="Times New Roman;Times;serif"/>
          <w:color w:val="C00000"/>
          <w:spacing w:val="-3"/>
          <w:sz w:val="20"/>
        </w:rPr>
        <w:t>any</w:t>
      </w:r>
      <w:r>
        <w:rPr>
          <w:rFonts w:ascii="Times New Roman;Times;serif" w:hAnsi="Times New Roman;Times;serif"/>
          <w:color w:val="C00000"/>
          <w:spacing w:val="-4"/>
          <w:sz w:val="20"/>
        </w:rPr>
        <w:t xml:space="preserve"> </w:t>
      </w:r>
      <w:r>
        <w:rPr>
          <w:rFonts w:ascii="Times New Roman;Times;serif" w:hAnsi="Times New Roman;Times;serif"/>
          <w:color w:val="C00000"/>
          <w:sz w:val="20"/>
        </w:rPr>
        <w:t>calendar</w:t>
      </w:r>
      <w:r>
        <w:rPr>
          <w:rFonts w:ascii="Times New Roman;Times;serif" w:hAnsi="Times New Roman;Times;serif"/>
          <w:color w:val="C00000"/>
          <w:spacing w:val="-4"/>
          <w:sz w:val="20"/>
        </w:rPr>
        <w:t xml:space="preserve"> </w:t>
      </w:r>
      <w:r>
        <w:rPr>
          <w:rFonts w:ascii="Times New Roman;Times;serif" w:hAnsi="Times New Roman;Times;serif"/>
          <w:color w:val="C00000"/>
          <w:sz w:val="20"/>
        </w:rPr>
        <w:t>year</w:t>
      </w:r>
      <w:r>
        <w:rPr>
          <w:rFonts w:ascii="Times New Roman;Times;serif" w:hAnsi="Times New Roman;Times;serif"/>
          <w:color w:val="C00000"/>
          <w:spacing w:val="-5"/>
          <w:sz w:val="20"/>
        </w:rPr>
        <w:t xml:space="preserve"> </w:t>
      </w:r>
      <w:r>
        <w:rPr>
          <w:rFonts w:ascii="Times New Roman;Times;serif" w:hAnsi="Times New Roman;Times;serif"/>
          <w:color w:val="C00000"/>
          <w:sz w:val="20"/>
        </w:rPr>
        <w:t>shall</w:t>
      </w:r>
      <w:r>
        <w:rPr>
          <w:rFonts w:ascii="Times New Roman;Times;serif" w:hAnsi="Times New Roman;Times;serif"/>
          <w:color w:val="C00000"/>
          <w:spacing w:val="-4"/>
          <w:sz w:val="20"/>
        </w:rPr>
        <w:t xml:space="preserve"> </w:t>
      </w:r>
      <w:r>
        <w:rPr>
          <w:rFonts w:ascii="Times New Roman;Times;serif" w:hAnsi="Times New Roman;Times;serif"/>
          <w:color w:val="C00000"/>
          <w:sz w:val="20"/>
        </w:rPr>
        <w:t xml:space="preserve">be 17,475,171 </w:t>
      </w:r>
      <w:r>
        <w:rPr>
          <w:rFonts w:ascii="Times New Roman;Times;serif" w:hAnsi="Times New Roman;Times;serif"/>
          <w:color w:val="C00000"/>
          <w:spacing w:val="-3"/>
          <w:sz w:val="20"/>
        </w:rPr>
        <w:t>Shares.</w:t>
      </w:r>
      <w:r>
        <w:rPr>
          <w:rFonts w:ascii="Times New Roman;Times;serif" w:hAnsi="Times New Roman;Times;serif"/>
          <w:color w:val="C00000"/>
          <w:spacing w:val="-4"/>
          <w:sz w:val="20"/>
        </w:rPr>
        <w:t xml:space="preserve"> </w:t>
      </w:r>
      <w:r>
        <w:rPr>
          <w:rFonts w:ascii="Times New Roman;Times;serif" w:hAnsi="Times New Roman;Times;serif"/>
          <w:color w:val="C00000"/>
          <w:sz w:val="20"/>
        </w:rPr>
        <w:t>The</w:t>
      </w:r>
      <w:r>
        <w:rPr>
          <w:rFonts w:ascii="Times New Roman;Times;serif" w:hAnsi="Times New Roman;Times;serif"/>
          <w:color w:val="C00000"/>
          <w:spacing w:val="-4"/>
          <w:sz w:val="20"/>
        </w:rPr>
        <w:t xml:space="preserve"> </w:t>
      </w:r>
      <w:r>
        <w:rPr>
          <w:rFonts w:ascii="Times New Roman;Times;serif" w:hAnsi="Times New Roman;Times;serif"/>
          <w:color w:val="C00000"/>
          <w:sz w:val="20"/>
        </w:rPr>
        <w:t xml:space="preserve">foregoing limitation shall be adjusted proportionately in connection with </w:t>
      </w:r>
      <w:r>
        <w:rPr>
          <w:rFonts w:ascii="Times New Roman;Times;serif" w:hAnsi="Times New Roman;Times;serif"/>
          <w:color w:val="C00000"/>
          <w:spacing w:val="-3"/>
          <w:sz w:val="20"/>
        </w:rPr>
        <w:t xml:space="preserve">any </w:t>
      </w:r>
      <w:r>
        <w:rPr>
          <w:rFonts w:ascii="Times New Roman;Times;serif" w:hAnsi="Times New Roman;Times;serif"/>
          <w:color w:val="C00000"/>
          <w:sz w:val="20"/>
        </w:rPr>
        <w:t xml:space="preserve">change in the </w:t>
      </w:r>
      <w:r>
        <w:rPr>
          <w:rFonts w:ascii="Times New Roman;Times;serif" w:hAnsi="Times New Roman;Times;serif"/>
          <w:color w:val="C00000"/>
          <w:spacing w:val="-3"/>
          <w:sz w:val="20"/>
        </w:rPr>
        <w:t xml:space="preserve">Company’s </w:t>
      </w:r>
      <w:r>
        <w:rPr>
          <w:rFonts w:ascii="Times New Roman;Times;serif" w:hAnsi="Times New Roman;Times;serif"/>
          <w:color w:val="C00000"/>
          <w:sz w:val="20"/>
        </w:rPr>
        <w:t>capitalization pursuant to Section 10</w:t>
      </w:r>
      <w:r>
        <w:rPr>
          <w:rFonts w:ascii="Times New Roman;Times;serif" w:hAnsi="Times New Roman;Times;serif"/>
          <w:color w:val="C00000"/>
          <w:spacing w:val="-16"/>
          <w:sz w:val="20"/>
        </w:rPr>
        <w:t xml:space="preserve"> </w:t>
      </w:r>
      <w:r>
        <w:rPr>
          <w:rFonts w:ascii="Times New Roman;Times;serif" w:hAnsi="Times New Roman;Times;serif"/>
          <w:color w:val="C00000"/>
          <w:spacing w:val="-5"/>
          <w:sz w:val="20"/>
        </w:rPr>
        <w:t>below.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(g)</w:t>
      </w:r>
      <w:r>
        <w:rPr>
          <w:rFonts w:ascii="Times New Roman;Times;serif" w:hAnsi="Times New Roman;Times;serif"/>
          <w:sz w:val="20"/>
        </w:rPr>
        <w:t>Deferral. If the vesting or receipt of Shares under an Award is deferred to a later date, any amount (whether denominated in Shares or cash) paid in addition to the original number of Shares subject to such Award will not be treated as an increase in the number of Shares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(h)</w:t>
      </w:r>
      <w:r>
        <w:rPr>
          <w:rFonts w:ascii="Times New Roman;Times;serif" w:hAnsi="Times New Roman;Times;serif"/>
          <w:sz w:val="20"/>
        </w:rPr>
        <w:t>Early Exercise.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(i)</w:t>
      </w:r>
      <w:r>
        <w:rPr>
          <w:rFonts w:ascii="Times New Roman;Times;serif" w:hAnsi="Times New Roman;Times;serif"/>
          <w:sz w:val="20"/>
        </w:rPr>
        <w:t>Term of Award. The term of each Award shall be the term stated in the Award Agreement, provided, however, that the term of an Award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(j)</w:t>
      </w:r>
      <w:r>
        <w:rPr>
          <w:rFonts w:ascii="Times New Roman;Times;serif" w:hAnsi="Times New Roman;Times;serif"/>
          <w:sz w:val="20"/>
        </w:rPr>
        <w:t>Transferability of Awards. Incentive Stock Options or Options to Israeli Grantees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A-9</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B0F0"/>
          <w:sz w:val="20"/>
        </w:rPr>
        <w:t>(k)</w:t>
      </w:r>
      <w:r>
        <w:rPr>
          <w:rFonts w:ascii="Times New Roman;Times;serif" w:hAnsi="Times New Roman;Times;serif"/>
          <w:sz w:val="20"/>
        </w:rPr>
        <w:t>Time of Granting Awards. The date of grant of an Award shall for all purposes be the date on which the Administrator makes the determination to grant such Award, or such other date as is determined by the Administrator.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Award Exercise or Purchase Price, Consideration and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Exercise or Purchase Price. The exercise or purchase price, if any, for an Award shall be as follows:</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(i)In the case of an Incentive Stock Option:</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(A)granted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(B)granted to any Employee other than an Employee described in the preceding paragraph, the per Share exercise price shall be not less than one hundred percent (100%) of the Fair Market Value per Share on the date of grant.</w:t>
      </w:r>
    </w:p>
    <w:p>
      <w:pPr>
        <w:pStyle w:val="TextBody"/>
        <w:bidi w:val="0"/>
        <w:spacing w:before="0" w:after="0"/>
        <w:ind w:left="0" w:right="0" w:hanging="0"/>
        <w:jc w:val="left"/>
        <w:rPr/>
      </w:pPr>
      <w:r>
        <w:rPr/>
        <w:t>​</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(ii)In the case of a Non-Qualified Stock Option, the per Share exercise price shall be not less than one hundred percent (100%) of the Fair Market Value per Share on the date of grant.</w:t>
      </w:r>
      <w:r>
        <w:rPr>
          <w:rFonts w:ascii="Times New Roman;Times;serif" w:hAnsi="Times New Roman;Times;serif"/>
          <w:color w:val="C00000"/>
          <w:sz w:val="20"/>
        </w:rPr>
        <w:t>In the case of Awards intended to qualify as Performance-Based Compensation, the exercise or purchase price, if any, shall be not less than one hundred percent (100%) of the Fair Market Value per Share on the date of grant.</w:t>
      </w:r>
    </w:p>
    <w:p>
      <w:pPr>
        <w:pStyle w:val="TextBody"/>
        <w:bidi w:val="0"/>
        <w:spacing w:before="0" w:after="0"/>
        <w:ind w:left="0" w:right="0" w:firstLine="2160"/>
        <w:jc w:val="left"/>
        <w:rPr/>
      </w:pPr>
      <w:r>
        <w:rPr/>
        <w:t>​</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color w:val="00B0F0"/>
          <w:sz w:val="20"/>
        </w:rPr>
        <w:t>(iii)</w:t>
      </w:r>
      <w:r>
        <w:rPr>
          <w:rFonts w:ascii="Times New Roman;Times;serif" w:hAnsi="Times New Roman;Times;serif"/>
          <w:sz w:val="20"/>
        </w:rPr>
        <w:t>In the case of SARs (other than with respect to Israeli Grantees), the base appreciation amount shall not be less than one hundred percent (100%) of the Fair Market Value per Share on the date of grant.</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color w:val="00B0F0"/>
          <w:sz w:val="20"/>
        </w:rPr>
        <w:t>(iv)</w:t>
      </w:r>
      <w:r>
        <w:rPr>
          <w:rFonts w:ascii="Times New Roman;Times;serif" w:hAnsi="Times New Roman;Times;serif"/>
          <w:sz w:val="20"/>
        </w:rPr>
        <w:t>In the case of other Awards, such price as is determined by the Administrator.</w:t>
      </w:r>
    </w:p>
    <w:p>
      <w:pPr>
        <w:pStyle w:val="TextBody"/>
        <w:bidi w:val="0"/>
        <w:spacing w:before="0" w:after="0"/>
        <w:ind w:left="0" w:right="0" w:firstLine="2160"/>
        <w:jc w:val="left"/>
        <w:rPr/>
      </w:pPr>
      <w:r>
        <w:rPr/>
        <w:t>​</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color w:val="00B0F0"/>
          <w:sz w:val="20"/>
        </w:rPr>
        <w:t>(v)</w:t>
      </w:r>
      <w:r>
        <w:rPr>
          <w:rFonts w:ascii="Times New Roman;Times;serif" w:hAnsi="Times New Roman;Times;serif"/>
          <w:sz w:val="20"/>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Consideration.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w:t>
      </w:r>
    </w:p>
    <w:p>
      <w:pPr>
        <w:pStyle w:val="TextBody"/>
        <w:bidi w:val="0"/>
        <w:spacing w:before="0" w:after="0"/>
        <w:ind w:left="0" w:right="0" w:hanging="0"/>
        <w:jc w:val="left"/>
        <w:rPr/>
      </w:pPr>
      <w:r>
        <w:rPr/>
        <w:t> </w:t>
      </w:r>
    </w:p>
    <w:tbl>
      <w:tblPr>
        <w:tblW w:w="981" w:type="dxa"/>
        <w:jc w:val="left"/>
        <w:tblInd w:w="0" w:type="dxa"/>
        <w:tblLayout w:type="fixed"/>
        <w:tblCellMar>
          <w:top w:w="28" w:type="dxa"/>
          <w:left w:w="28" w:type="dxa"/>
          <w:bottom w:w="28" w:type="dxa"/>
          <w:right w:w="28" w:type="dxa"/>
        </w:tblCellMar>
      </w:tblPr>
      <w:tblGrid>
        <w:gridCol w:w="124"/>
        <w:gridCol w:w="286"/>
        <w:gridCol w:w="57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r>
    </w:tbl>
    <w:p>
      <w:pPr>
        <w:pStyle w:val="TextBody"/>
        <w:bidi w:val="0"/>
        <w:spacing w:before="0" w:after="0"/>
        <w:ind w:left="0" w:right="0" w:hanging="0"/>
        <w:jc w:val="left"/>
        <w:rPr/>
      </w:pPr>
      <w:r>
        <w:rPr/>
        <w:t> </w:t>
      </w:r>
    </w:p>
    <w:tbl>
      <w:tblPr>
        <w:tblW w:w="1161" w:type="dxa"/>
        <w:jc w:val="left"/>
        <w:tblInd w:w="0" w:type="dxa"/>
        <w:tblLayout w:type="fixed"/>
        <w:tblCellMar>
          <w:top w:w="28" w:type="dxa"/>
          <w:left w:w="28" w:type="dxa"/>
          <w:bottom w:w="28" w:type="dxa"/>
          <w:right w:w="28" w:type="dxa"/>
        </w:tblCellMar>
      </w:tblPr>
      <w:tblGrid>
        <w:gridCol w:w="124"/>
        <w:gridCol w:w="346"/>
        <w:gridCol w:w="69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(iii)surrender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(iv)with respect to Options,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 or</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 xml:space="preserve">(v)with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 Value per Share (on such date as is determined by the Administrator) less the Exercise Price per Share, and the denominator of which is such Fair Market Value per Share (the number of net Shares to be received shall be rounded down to the nearest whole number of Shares);</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(vi)any combination of the foregoing methods of payment.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Taxes.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Exercise of Award.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Procedure for Exercise; Rights as a Stockholder.</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(i)Any Award granted hereunder shall be exercisable at such times and under such conditions as determined by the Administrator under the terms of the Plan and specified in the Award Agreement provided however that the standard vesting schedule for Israeli Grantees shall be as set forth in Section 20.</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Exercise of Award Following Termination of Continuous Service. In the event of termination of a Grantee’s Continuous Service for any reason other than Cause, Disability or death, such Grantee may, but only within twelve (12) months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Exercise of Award Following Termination of Continuous Service for Cause. In the event of termination of a Grantee’s Continuous Service for Cause, such Grantee may, but only within fourteen (14) days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Disability of Grantee. In the event of termination of a Grantee’s Continuous Service as a result of his or her Disability, such Grantee may, but only within twelve (12) months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Administrator. To the extent that the Grantee’s Award was unvested at the date of termination, or if Grantee does not exercise the vested portion of the Grantee’s Award within the time specified herein, the Award shall terminate.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Death of Grantee. In the event of a termination of the Grantee’s Continuous Service as a result of his or her death, or in the event of the death of the Grantee during the post-termination exercise periods following the Grantee’s termination of Continuous Service specified in this Section 8, above, the Grantee’s estate or a person who acquired the right to exercise the Award by bequest or inheritance may exercise the portion of the Grantee’s Award that was vested as of the date of termination or such other portion of the Grantee’s Award as may be determined by the Administrator, within twelve (12) months from the date of death (or such longer or shorter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holder of an Option shall have none of the rights of a stockholder with respect to the Shares subject to the Option until such shares are transferred to the holder (or the Trustee, if applicable) upon the exercise of the Option.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Conditions Upon Issuance of Shares.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 or other Applicable Laws.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As a condition to the exercise of an Award, the Company may require the person exercising such Award make such representations and warranties which, in the opinion of the Company, are required to ensure that such exercise, or a subsequent sale or disposition of any Shares obtained upon such exercise, does not contravene any Applicable Law, including inter alia, representations and warranties at the time of any such exercise that the Shares are being purchased only for investment and without any present intention to sell or distribute such Shares if, in the opinion of counsel for the Company, such a representation is required by any Applicable Laws.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Unless otherwise set forth in an Award Agreement, Shares issued to a Grantee or the Trustee, as applicable, shall be subject to such restrictions as required by the appropriate securities’ law and in the event that the </w:t>
      </w:r>
      <w:r>
        <w:rPr>
          <w:rFonts w:ascii="Times New Roman;Times;serif" w:hAnsi="Times New Roman;Times;serif"/>
          <w:color w:val="231F20"/>
          <w:spacing w:val="-3"/>
          <w:sz w:val="20"/>
        </w:rPr>
        <w:t>Company’s</w:t>
      </w:r>
      <w:r>
        <w:rPr>
          <w:rFonts w:ascii="Times New Roman;Times;serif" w:hAnsi="Times New Roman;Times;serif"/>
          <w:sz w:val="20"/>
        </w:rPr>
        <w:t xml:space="preserve"> shares shall be registered for trading in any public market, </w:t>
      </w:r>
      <w:r>
        <w:rPr>
          <w:rFonts w:ascii="Times New Roman;Times;serif" w:hAnsi="Times New Roman;Times;serif"/>
          <w:color w:val="231F20"/>
          <w:spacing w:val="-3"/>
          <w:sz w:val="20"/>
        </w:rPr>
        <w:t>Grantee’s</w:t>
      </w:r>
      <w:r>
        <w:rPr>
          <w:rFonts w:ascii="Times New Roman;Times;serif" w:hAnsi="Times New Roman;Times;serif"/>
          <w:sz w:val="20"/>
        </w:rPr>
        <w:t xml:space="preserve"> rights to sell the Shares may be subject to certain limitations (including a lock-up period), as will be requested by the Company or its underwriters, and the Grantee by executing an Award Agreement unconditionally agrees and accepts any such limitations and undertakes to further execute any agreement as may be requested by the Company or its underwriters from time to time.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Adjustments Upon Changes in Capitalization. Subject to any required action by the stockholders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Corporate Transactions and Changes in Control.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Termination of Award to Extent Not Assumed in Corporate Transaction. Effective upon the consummation of a Corporate Transaction, all outstanding Awards under the Plan shall terminate. However, all such Awards shall not terminate to the extent they are Assumed in connection with the Corporate Transaction.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Acceleration of Award Upon Corporate Transaction or Change in Control.</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(i)Corporate Transaction. Except as provided otherwise in an individual Award Agreement, in the event of a Corporate Transaction and:</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(A)for the portion of each Award that is Assumed or Replaced, then such Award (if Assumed), the replacement Award (if Replaced), or the cash incentive program (if Replaced) automatically shall become fully vested, exercisable and payable and be released from any repurchase or forfeiture rights (other than repurchase rights exercisable at Fair Market Value) for all of the Shares (or other consideration) at the time represented by such Assumed or Replaced portion of the Award, immediately upon termination of the Grantee’s Continuous Service if such Continuous Service is terminated by the successor company or the Company without Cause within twelve (12) months after the Corporate Transaction; and</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(B)for the portion of each Award that is neither Assumed nor Replaced, such portion of the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Corporate Transaction, provided that the Grantee’s Continuous Service has not terminated prior to such date.</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(ii)Change in Control. Except as provided otherwise in an individual Award Agreement, following a Change in Control (other than a Change in Control which also is a Corporate Transaction) and upon the termination of the Continuous Service of a Grantee if such Continuous Service is terminated by the Company or Related Entity without Cause within twelve (12) months after a Change in Control, each Award of such Grantee which is at the time outstanding under the Plan automatically shall become fully vested and exercisable and be released from any repurchase or forfeiture rights (other than repurchase rights exercisable at Fair Market Value), immediately upon the termination of such Continuous Service.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Effect of Acceleration on Incentive Stock Options. Any Incentive Stock Option accelerated under this Section  in connection with a Corporate Transaction or Change in Control shall remain exercisable as an Incentive Stock Option under the Code only to the extent the $100,000 dollar limitation of Section 422(d) of the Code is not exceeded.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Effective Date and Term of Plan. The Plan </w:t>
      </w:r>
      <w:r>
        <w:rPr>
          <w:rFonts w:ascii="Times New Roman;Times;serif" w:hAnsi="Times New Roman;Times;serif"/>
          <w:color w:val="C00000"/>
          <w:sz w:val="20"/>
        </w:rPr>
        <w:t>shall become effective upon the earlier to occur of its adoption</w:t>
      </w:r>
      <w:r>
        <w:rPr>
          <w:rFonts w:ascii="Times New Roman;Times;serif" w:hAnsi="Times New Roman;Times;serif"/>
          <w:color w:val="00B0F0"/>
          <w:sz w:val="20"/>
        </w:rPr>
        <w:t>(as amended and restated) was approved</w:t>
      </w:r>
      <w:r>
        <w:rPr>
          <w:rFonts w:ascii="Times New Roman;Times;serif" w:hAnsi="Times New Roman;Times;serif"/>
          <w:sz w:val="20"/>
        </w:rPr>
        <w:t xml:space="preserve"> by the Board </w:t>
      </w:r>
      <w:r>
        <w:rPr>
          <w:rFonts w:ascii="Times New Roman;Times;serif" w:hAnsi="Times New Roman;Times;serif"/>
          <w:color w:val="C00000"/>
          <w:sz w:val="20"/>
        </w:rPr>
        <w:t>or</w:t>
      </w:r>
      <w:r>
        <w:rPr>
          <w:rFonts w:ascii="Times New Roman;Times;serif" w:hAnsi="Times New Roman;Times;serif"/>
          <w:color w:val="00B0F0"/>
          <w:sz w:val="20"/>
        </w:rPr>
        <w:t>on April 23, 2026 subject to</w:t>
      </w:r>
      <w:r>
        <w:rPr>
          <w:rFonts w:ascii="Times New Roman;Times;serif" w:hAnsi="Times New Roman;Times;serif"/>
          <w:sz w:val="20"/>
        </w:rPr>
        <w:t xml:space="preserve"> its approval by the stockholders of the Company</w:t>
      </w:r>
      <w:r>
        <w:rPr>
          <w:rFonts w:ascii="Times New Roman;Times;serif" w:hAnsi="Times New Roman;Times;serif"/>
          <w:color w:val="00B0F0"/>
          <w:sz w:val="20"/>
        </w:rPr>
        <w:t xml:space="preserve"> on June 25, 2026</w:t>
      </w:r>
      <w:r>
        <w:rPr>
          <w:rFonts w:ascii="Times New Roman;Times;serif" w:hAnsi="Times New Roman;Times;serif"/>
          <w:sz w:val="20"/>
        </w:rPr>
        <w:t xml:space="preserve">. It shall continue in effect until </w:t>
      </w:r>
      <w:r>
        <w:rPr>
          <w:rFonts w:ascii="Times New Roman;Times;serif" w:hAnsi="Times New Roman;Times;serif"/>
          <w:color w:val="C00000"/>
          <w:sz w:val="20"/>
        </w:rPr>
        <w:t>December</w:t>
      </w:r>
      <w:r>
        <w:rPr>
          <w:rFonts w:ascii="Times New Roman;Times;serif" w:hAnsi="Times New Roman;Times;serif"/>
          <w:color w:val="C00000"/>
          <w:spacing w:val="-14"/>
          <w:sz w:val="20"/>
        </w:rPr>
        <w:t xml:space="preserve"> </w:t>
      </w:r>
      <w:r>
        <w:rPr>
          <w:rFonts w:ascii="Times New Roman;Times;serif" w:hAnsi="Times New Roman;Times;serif"/>
          <w:color w:val="C00000"/>
          <w:sz w:val="20"/>
        </w:rPr>
        <w:t>31,</w:t>
      </w:r>
      <w:r>
        <w:rPr>
          <w:rFonts w:ascii="Times New Roman;Times;serif" w:hAnsi="Times New Roman;Times;serif"/>
          <w:color w:val="C00000"/>
          <w:spacing w:val="-15"/>
          <w:sz w:val="20"/>
        </w:rPr>
        <w:t xml:space="preserve"> </w:t>
      </w:r>
      <w:r>
        <w:rPr>
          <w:rFonts w:ascii="Times New Roman;Times;serif" w:hAnsi="Times New Roman;Times;serif"/>
          <w:color w:val="C00000"/>
          <w:sz w:val="20"/>
        </w:rPr>
        <w:t>2028</w:t>
      </w:r>
      <w:r>
        <w:rPr>
          <w:rFonts w:ascii="Times New Roman;Times;serif" w:hAnsi="Times New Roman;Times;serif"/>
          <w:color w:val="00B0F0"/>
          <w:sz w:val="20"/>
        </w:rPr>
        <w:t xml:space="preserve">April 23, 2036 </w:t>
      </w:r>
      <w:r>
        <w:rPr>
          <w:rFonts w:ascii="Times New Roman;Times;serif" w:hAnsi="Times New Roman;Times;serif"/>
          <w:sz w:val="20"/>
        </w:rPr>
        <w:t>unless sooner terminated. Subject to Section ‎17, below, and Applicable Laws, Awards may be granted under the Plan upon its becoming effective.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Amendment, Suspension or Termination of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Board may at any time amend, suspend or terminate the Plan; provided, however, that no such amendment shall be made without the approval of the Company’s stockholders to the extent such approval is required by Applicable Laws, or if such amendment would lessen the stockholder approval requirements of Section 4(b)(vi) or this Section 13(a).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 Award may be granted during any suspension of the Plan or after termination of the Plan.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 suspension or termination of the Plan (including termination of the Plan under Section ‎11, above) shall adversely affect any rights under Awards already granted to a Grantee.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Reservation of Shares.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during the term of the Plan, will at all times reserve and keep available such number of Shares as shall be sufficient to satisfy the requirements of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rPr>
        <w:t>No Effect on Terms of Employment/Consulting Relationship.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rPr>
        <w:t>No Effect on Retirement and Other Benefit Plans.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rPr>
        <w:t>Stockholder Approval. The grant of Incentive Stock Options under the Plan shall be subject to approval by the stockholders of the Company within twelve (12) months before or after the date the Plan is adopted excluding Incentive Stock Options issued in substitution for outstanding Incentive Stock Options pursuant to Section 424(a) of the Code. Such stockholder approval shall be obtained in the degree and manner required under Applicable Laws. The Administrator may grant Incentive Stock Options under the Plan prior to approval by the stockholders, but until such approval is obtained, no such Incentive Stock Option shall be exercisable. In the event that stockholder approval is not obtained within the twelve (12) month period provided above, all Incentive Stock Options previously granted under the Plan shall be exercisable as Non-Qualified Stock Options.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rPr>
        <w:t>Unfunded Obligation.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rPr>
        <w:t>Construction.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Israeli Grantees. This Section shall apply only to Israeli Grantees and is intended to enable the Company to grant Awards under the Plan pursuant and subject to Section 102 and Section 3(I) of the Tax Ordinance. Accordingly, the Plan is designated to comply with the Tax Ordinance and the rules, regulations and orders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procedures promulgated thereunder from time to time, as amended or replaced from time to time and shall be submitted to the ITA as required thereunder.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any case of contradiction, whether explicit or implied, between the provisions of this Section and the Plan, the provisions set out in this Section shall prevail unless the Administrator decides otherwise to ensure compliance with the Tax Ordinance and other Applicable Laws.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Eligibility. 102 Options may be granted only to Israeli Employees. Non-Employees may only be granted 3(I) Options. The grant of an Award hereunder shall neither entitle the Grantee to participate nor disqualify the Israeli Grantee from participating in, any other grant of Awards pursuant to the Plan or any other option or stock plan of the Company or any Related Company.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Grant of Awards in Trust</w:t>
      </w:r>
    </w:p>
    <w:p>
      <w:pPr>
        <w:pStyle w:val="TextBody"/>
        <w:bidi w:val="0"/>
        <w:spacing w:before="0" w:after="0"/>
        <w:ind w:left="0" w:right="0" w:hanging="0"/>
        <w:jc w:val="left"/>
        <w:rPr/>
      </w:pPr>
      <w:r>
        <w:rPr/>
        <w:t> </w:t>
      </w:r>
    </w:p>
    <w:tbl>
      <w:tblPr>
        <w:tblW w:w="3201" w:type="dxa"/>
        <w:jc w:val="left"/>
        <w:tblInd w:w="0" w:type="dxa"/>
        <w:tblLayout w:type="fixed"/>
        <w:tblCellMar>
          <w:top w:w="28" w:type="dxa"/>
          <w:left w:w="28" w:type="dxa"/>
          <w:bottom w:w="28" w:type="dxa"/>
          <w:right w:w="28" w:type="dxa"/>
        </w:tblCellMar>
      </w:tblPr>
      <w:tblGrid>
        <w:gridCol w:w="124"/>
        <w:gridCol w:w="28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Made Under Section 102.</w:t>
            </w:r>
          </w:p>
        </w:tc>
      </w:tr>
    </w:tbl>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The Company may designate 102 Options as Trustee 102 Options or Non-Trustee 102 Options. The designation of Non-Trustee 102 Options and Trustee 102 Options shall be subject to the terms and conditions set forth in Section 102 of the Tax Ordinance and the regulations promulgated thereunder.</w:t>
      </w:r>
    </w:p>
    <w:p>
      <w:pPr>
        <w:pStyle w:val="TextBody"/>
        <w:bidi w:val="0"/>
        <w:spacing w:before="0" w:after="0"/>
        <w:ind w:left="0" w:right="0" w:hanging="0"/>
        <w:jc w:val="left"/>
        <w:rPr/>
      </w:pPr>
      <w:r>
        <w:rPr/>
        <w:t> </w:t>
      </w:r>
    </w:p>
    <w:tbl>
      <w:tblPr>
        <w:tblW w:w="3021" w:type="dxa"/>
        <w:jc w:val="left"/>
        <w:tblInd w:w="0" w:type="dxa"/>
        <w:tblLayout w:type="fixed"/>
        <w:tblCellMar>
          <w:top w:w="28" w:type="dxa"/>
          <w:left w:w="28" w:type="dxa"/>
          <w:bottom w:w="28" w:type="dxa"/>
          <w:right w:w="28" w:type="dxa"/>
        </w:tblCellMar>
      </w:tblPr>
      <w:tblGrid>
        <w:gridCol w:w="124"/>
        <w:gridCol w:w="34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of Trustee 102 Options.</w:t>
            </w:r>
          </w:p>
        </w:tc>
      </w:tr>
    </w:tbl>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(1)The grant of the Trustee 102 Options shall be made under the Plan and shall be conditional upon the approval of the Plan by the ITA. Trustee 102 Options may be granted at any time after the passage of thirty (30) days following the delivery by the Company to the ITA of a notice pertaining to the appointment of the Trustee and the adoption of the Plan, unless otherwise determined by the ITA. Options which shall be granted pursuant to Section 102 and/or any Shares issued upon exercise of such Options and/or other shares received subsequently following any realization of rights, shall be issued to the Trustee. Each Israeli Grantee in respect of whom a Trustee 102 Option is granted and held in trust by the Trustee shall be referred to as a “beneficial optionee” hereunder.</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(2)Trustee 102 Option(s) may either be classified as Capital Gain Option(s) or Ordinary Income Option(s):</w:t>
      </w:r>
    </w:p>
    <w:p>
      <w:pPr>
        <w:pStyle w:val="TextBody"/>
        <w:bidi w:val="0"/>
        <w:spacing w:before="0" w:after="0"/>
        <w:ind w:left="0" w:right="0" w:hanging="0"/>
        <w:jc w:val="left"/>
        <w:rPr/>
      </w:pPr>
      <w:r>
        <w:rPr/>
        <w:t> </w:t>
      </w:r>
    </w:p>
    <w:p>
      <w:pPr>
        <w:pStyle w:val="TextBody"/>
        <w:bidi w:val="0"/>
        <w:spacing w:before="0" w:after="0"/>
        <w:ind w:left="0" w:right="0" w:firstLine="3600"/>
        <w:jc w:val="left"/>
        <w:rPr>
          <w:rFonts w:ascii="Times New Roman;Times;serif" w:hAnsi="Times New Roman;Times;serif"/>
          <w:sz w:val="20"/>
        </w:rPr>
      </w:pPr>
      <w:r>
        <w:rPr>
          <w:rFonts w:ascii="Times New Roman;Times;serif" w:hAnsi="Times New Roman;Times;serif"/>
          <w:sz w:val="20"/>
        </w:rPr>
        <w:t>(A)Trustee 102 Option(s) elected and designated by the Company to qualify under the capital gain tax treatment in accordance with the provisions of Section 102(b)(2) shall be referred to herein as “Capital Gain Option(s)” or “CGO”.</w:t>
      </w:r>
    </w:p>
    <w:p>
      <w:pPr>
        <w:pStyle w:val="TextBody"/>
        <w:bidi w:val="0"/>
        <w:spacing w:before="0" w:after="0"/>
        <w:ind w:left="0" w:right="0" w:firstLine="3600"/>
        <w:jc w:val="left"/>
        <w:rPr/>
      </w:pPr>
      <w:r>
        <w:rPr/>
        <w:t> </w:t>
      </w:r>
    </w:p>
    <w:p>
      <w:pPr>
        <w:pStyle w:val="TextBody"/>
        <w:bidi w:val="0"/>
        <w:spacing w:before="0" w:after="0"/>
        <w:ind w:left="0" w:right="0" w:firstLine="3600"/>
        <w:jc w:val="left"/>
        <w:rPr>
          <w:rFonts w:ascii="Times New Roman;Times;serif" w:hAnsi="Times New Roman;Times;serif"/>
          <w:sz w:val="20"/>
        </w:rPr>
      </w:pPr>
      <w:r>
        <w:rPr>
          <w:rFonts w:ascii="Times New Roman;Times;serif" w:hAnsi="Times New Roman;Times;serif"/>
          <w:sz w:val="20"/>
        </w:rPr>
        <w:t>(B)Trustee 102 Option(s) elected and designated by the Company to qualify under the ordinary income tax treatment in accordance with the provisions of Section 102(b)(1) shall be referred to herein as “Ordinary Income Option(s)” or “OIO”.</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(3)The Company’s election of the type of Trustee 102 Options as CGO or OIO granted to Employees (the “Election”) shall be appropriately filed with the ITA 30 days before the date of grant of a Trustee 102 Option, unless otherwise determined by the ITA. Such Election shall become effective beginning the first date of grant of a Trustee 102 Option under this Plan and shall remain in effect until the end of the year following the year during which the Company first granted Trustee 102 Options. The Election shall obligate the Company to grant only the type of Trustee 102 Option it has elected, and shall apply to all Israeli Grantees who were granted Trustee 102 Options during the period indicated herein or therein, all in accordance with the provisions of Section 102(g) of the Tax Ordinance. Notwithstanding, such Election shall not prevent the Company from granting Non-Trustee 102 Options simultaneously.</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(4)All Trustee 102 Options must be held in trust by and issued on the name of the Trustee, as described below.</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 xml:space="preserve">(5)With respect to Trustee 102 Options, the provisions of the Plan and/or an Award Agreement shall be subject to the provisions of Section 102 and the ITA’s permit, and the said provisions and permit shall be deemed an integral part of this Section and of the Award Agreement for the respective Grantees thereof. Any provision of Section 102 and/or the said permit which is necessary in order to receive and/or to keep any tax benefit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Section 102, which is not expressly specified in the Plan or the Award Agreement, shall be considered binding upon the Company and the Israeli Grantee.</w:t>
      </w:r>
    </w:p>
    <w:p>
      <w:pPr>
        <w:pStyle w:val="TextBody"/>
        <w:bidi w:val="0"/>
        <w:spacing w:before="0" w:after="0"/>
        <w:ind w:left="0" w:right="0" w:hanging="0"/>
        <w:jc w:val="left"/>
        <w:rPr/>
      </w:pPr>
      <w:r>
        <w:rPr/>
        <w:t> </w:t>
      </w:r>
    </w:p>
    <w:tbl>
      <w:tblPr>
        <w:tblW w:w="2271" w:type="dxa"/>
        <w:jc w:val="left"/>
        <w:tblInd w:w="0" w:type="dxa"/>
        <w:tblLayout w:type="fixed"/>
        <w:tblCellMar>
          <w:top w:w="28" w:type="dxa"/>
          <w:left w:w="28" w:type="dxa"/>
          <w:bottom w:w="28" w:type="dxa"/>
          <w:right w:w="28" w:type="dxa"/>
        </w:tblCellMar>
      </w:tblPr>
      <w:tblGrid>
        <w:gridCol w:w="124"/>
        <w:gridCol w:w="406"/>
        <w:gridCol w:w="174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to Trustee.</w:t>
            </w:r>
          </w:p>
        </w:tc>
      </w:tr>
    </w:tbl>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(1)All Trustee 102 Options granted under the Plan and/or any Shares allocated or issued upon exercise of such Trustee 102 Options and/or other and all rights deriving from or in connection therewith, including, without limitation, in accordance with Section 10 above or any bonus shares or stock dividends issued in connection therewith shall be granted by the Company to the Trustee, and the Trustee shall hold each such Trustee 102 Option and the Shares issued upon exercise thereof in trust for such period of time as required by Section 102 or any regulations, rules or orders or procedures promulgated thereunder (the “Holding Period”), for the benefit of the Grantees in respect of whom such Trustee 102 Option was granted. All certificates representing Shares issued to the Trustee under the Plan shall be deposited with the Trustee, and shall be held by the Trustee until such time that such Shares are released from the Trust as herein provided.</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(2)In event the requirements for Trustee 102 Options are not met for any reason whatsoever, then the Trustee 102 Options may be treated as Non-Trustee 102 Options, all in accordance with the provisions of Section 102 and regulations promulgated thereunder.</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(3)With respect to any Trustee 102 Option, subject to the provisions of Section 102 and any rules or regulations or orders or procedures promulgated thereunder, an Israeli Grantee shall not be entitled to sell or release from Trust the Trustee 102 Option, the Shares received upon the exercise of such Option and/or any right deriving from or in connection therewith, including, without limitation, in accordance with Section 10 above or any bonus shares or stock dividends issued in connection therewith, until the later of: (i) the lapse of the Holding Period required under Section 102, and (ii) the vesting of such Options set forth in the respective Award Agreement (such later date being hereinafter referred to as the “Release Date”). Notwithstanding the foregoing, if such sale or release occurs during the Holding period, the provisions of Section 102 and the rules or regulations promulgated thereunder shall apply and any expenses and/or tax consequences therefrom shall be borne by the Israeli Grantee.</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(4)Subject to the terms hereof, at any time after the Release Date with respect to any Trustee 102 Options or Shares the following shall apply:</w:t>
      </w:r>
    </w:p>
    <w:p>
      <w:pPr>
        <w:pStyle w:val="TextBody"/>
        <w:bidi w:val="0"/>
        <w:spacing w:before="0" w:after="0"/>
        <w:ind w:left="0" w:right="0" w:hanging="0"/>
        <w:jc w:val="left"/>
        <w:rPr/>
      </w:pPr>
      <w:r>
        <w:rPr/>
        <w:t> </w:t>
      </w:r>
    </w:p>
    <w:p>
      <w:pPr>
        <w:pStyle w:val="TextBody"/>
        <w:bidi w:val="0"/>
        <w:spacing w:before="0" w:after="0"/>
        <w:ind w:left="0" w:right="0" w:firstLine="3600"/>
        <w:jc w:val="left"/>
        <w:rPr>
          <w:rFonts w:ascii="Times New Roman;Times;serif" w:hAnsi="Times New Roman;Times;serif"/>
          <w:sz w:val="20"/>
        </w:rPr>
      </w:pPr>
      <w:r>
        <w:rPr>
          <w:rFonts w:ascii="Times New Roman;Times;serif" w:hAnsi="Times New Roman;Times;serif"/>
          <w:sz w:val="20"/>
        </w:rPr>
        <w:t>(A)Trustee 102 Options granted, and/or Shares or rights issued to the Trustee shall continue to be held by the Trustee, on behalf of the beneficial optionee. From and after the Release Date, upon the written request of any beneficial optionee, the Trustee shall release from the Trust the Trustee 102 Options granted, and/or the Shares or rights issued, on behalf of such beneficial optionee, by executing and delivering to the Company such instrument(s) as the Company may require, giving due notice of such release to such beneficial optionee, provided, however, that the Trustee shall not so release any such Trustee 102 Options and/or Shares and/or rights to such beneficial optionee unless the latter, prior to, or concurrently with, such release, provides the Trustee with evidence, satisfactory in form and substance to the Trustee, that all taxes, if any, required to be paid upon such release have, in fact, been paid.</w:t>
      </w:r>
    </w:p>
    <w:p>
      <w:pPr>
        <w:pStyle w:val="TextBody"/>
        <w:bidi w:val="0"/>
        <w:spacing w:before="0" w:after="0"/>
        <w:ind w:left="0" w:right="0" w:firstLine="3600"/>
        <w:jc w:val="left"/>
        <w:rPr/>
      </w:pPr>
      <w:r>
        <w:rPr/>
        <w:t>  </w:t>
      </w:r>
    </w:p>
    <w:p>
      <w:pPr>
        <w:pStyle w:val="TextBody"/>
        <w:bidi w:val="0"/>
        <w:spacing w:before="0" w:after="0"/>
        <w:ind w:left="0" w:right="0" w:firstLine="3600"/>
        <w:jc w:val="left"/>
        <w:rPr>
          <w:rFonts w:ascii="Times New Roman;Times;serif" w:hAnsi="Times New Roman;Times;serif"/>
          <w:sz w:val="20"/>
        </w:rPr>
      </w:pPr>
      <w:r>
        <w:rPr>
          <w:rFonts w:ascii="Times New Roman;Times;serif" w:hAnsi="Times New Roman;Times;serif"/>
          <w:sz w:val="20"/>
        </w:rPr>
        <w:t>(B)Alternatively, from and after the Release Date, upon the written instructions of the beneficial optionee to sell any Shares and rights issued upon exercise of Trustee 102 Options, the Trustee shall use its best efforts to effect such sale and shall transfer such Shares to the purchaser thereof concurrently with the receipt, or after having made suitable arrangements to secure the payment, of the purchase price in such transactions. The Trustee shall withhold from such proceeds any and all taxes required to be paid in respect of such sale, shall remit the amount so withheld to the appropriate tax authorities and shall pay the balance thereof directly to the beneficial optionee, reporting to such beneficial optionee and to the Company the amount so withheld and paid to said authorities.</w:t>
      </w:r>
    </w:p>
    <w:p>
      <w:pPr>
        <w:pStyle w:val="TextBody"/>
        <w:bidi w:val="0"/>
        <w:spacing w:before="0" w:after="0"/>
        <w:ind w:left="0" w:right="0" w:firstLine="3600"/>
        <w:jc w:val="left"/>
        <w:rPr/>
      </w:pPr>
      <w:r>
        <w:rPr/>
        <w:t> </w:t>
      </w:r>
    </w:p>
    <w:p>
      <w:pPr>
        <w:pStyle w:val="TextBody"/>
        <w:bidi w:val="0"/>
        <w:spacing w:before="0" w:after="0"/>
        <w:ind w:left="0" w:right="0" w:firstLine="3600"/>
        <w:jc w:val="left"/>
        <w:rPr>
          <w:rFonts w:ascii="Times New Roman;Times;serif" w:hAnsi="Times New Roman;Times;serif"/>
          <w:sz w:val="20"/>
        </w:rPr>
      </w:pPr>
      <w:r>
        <w:rPr>
          <w:rFonts w:ascii="Times New Roman;Times;serif" w:hAnsi="Times New Roman;Times;serif"/>
          <w:sz w:val="20"/>
        </w:rPr>
        <w:t xml:space="preserve">(C)Notwithstanding the foregoing, in the event the underwriters of securities of the Company impose restrictions on the transferability of the Shares during a lock-up period, the beneficial optionee shall not be entitled to release from Trust the Trustee 102 Options granted and/or the Shares issued and/or to instruct the Trustee to effect a sale of same, for as long as the restrictions are in effect. In the event the Trustee 102 Options granted and/or the Shares issued have been released from trust the restrictions imposed on the transferability of same shall nevertheless apply to said optionee’s Trustee 102 Options and/or Shares in the same manner. Consequently,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Israeli Grantee shall sign any documents required in order to effect the restrictions, for as long as the restrictions are in effect.</w:t>
      </w:r>
    </w:p>
    <w:p>
      <w:pPr>
        <w:pStyle w:val="TextBody"/>
        <w:bidi w:val="0"/>
        <w:spacing w:before="0" w:after="0"/>
        <w:ind w:left="0" w:right="0" w:firstLine="3600"/>
        <w:jc w:val="left"/>
        <w:rPr/>
      </w:pPr>
      <w:r>
        <w:rPr/>
        <w:t> </w:t>
      </w:r>
    </w:p>
    <w:p>
      <w:pPr>
        <w:pStyle w:val="TextBody"/>
        <w:bidi w:val="0"/>
        <w:spacing w:before="0" w:after="0"/>
        <w:ind w:left="0" w:right="0" w:firstLine="3600"/>
        <w:jc w:val="left"/>
        <w:rPr>
          <w:rFonts w:ascii="Times New Roman;Times;serif" w:hAnsi="Times New Roman;Times;serif"/>
          <w:sz w:val="20"/>
        </w:rPr>
      </w:pPr>
      <w:r>
        <w:rPr>
          <w:rFonts w:ascii="Times New Roman;Times;serif" w:hAnsi="Times New Roman;Times;serif"/>
          <w:sz w:val="20"/>
        </w:rPr>
        <w:t>(D)Upon receipt of the Award, the Israeli Grantee will sign an undertaking to release the Trustee from any liability in respect of any action or decision duly taken and bona fide executed in relation with the Plan, or any Option or Share or rights granted to same thereunder. The Trustee may establish additional terms and conditions in connection with Awards held in trust by the Trustee.</w:t>
      </w:r>
    </w:p>
    <w:p>
      <w:pPr>
        <w:pStyle w:val="TextBody"/>
        <w:bidi w:val="0"/>
        <w:spacing w:before="0" w:after="0"/>
        <w:ind w:left="0" w:right="0" w:firstLine="3600"/>
        <w:jc w:val="left"/>
        <w:rPr/>
      </w:pPr>
      <w:r>
        <w:rPr/>
        <w:t>​</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(iv)Grant of Non-Trustee 102 Options</w:t>
      </w:r>
      <w:r>
        <w:rPr>
          <w:rFonts w:ascii="Times New Roman;Times;serif" w:hAnsi="Times New Roman;Times;serif"/>
          <w:color w:val="231F20"/>
          <w:sz w:val="20"/>
        </w:rPr>
        <w:t>.</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(1)Awards granted pursuant to this subsection are intended to constitute Non-Trustee 102 Options and shall be subject to the general terms and conditions of the Plan and Section 20, except for provisions of the Plan applying to Trustee 102 Awards or Options under a different tax law or regulation.</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Times;serif" w:hAnsi="Times New Roman;Times;serif"/>
          <w:sz w:val="20"/>
        </w:rPr>
      </w:pPr>
      <w:r>
        <w:rPr>
          <w:rFonts w:ascii="Times New Roman;Times;serif" w:hAnsi="Times New Roman;Times;serif"/>
          <w:sz w:val="20"/>
        </w:rPr>
        <w:t>(2)With respect to Non-Trustee 102 Options, if the Grantee ceases to be employed by or of service to the Company or a Related Company, the Grantee may be required to extend to the Company a security or guarantee for the payment of tax due at the time of sale of Shares or other rights, all in accordance with the provisions of Section 102 and the rules, regulation or orders promulgated thereunder.</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 xml:space="preserve">(v)Grants Made Under Section 3(I). Awards granted pursuant to this subsection are intended to constitute 3(I) Options and shall be subject to the general terms and conditions of the Plan and Section 20 thereof, except for said provisions of the Plan applying to Awards under a different tax law or regulation. The Administrator may choose to deposit the Awards granted pursuant to Section 3(I) of the Tax Ordinance with a trustee. In such event, said trustee shall hold such Option in trust, until exercised by the Grantee, pursuant to the </w:t>
      </w:r>
      <w:r>
        <w:rPr>
          <w:rFonts w:ascii="Times New Roman;Times;serif" w:hAnsi="Times New Roman;Times;serif"/>
          <w:color w:val="231F20"/>
          <w:spacing w:val="-3"/>
          <w:sz w:val="20"/>
        </w:rPr>
        <w:t>Company’s</w:t>
      </w:r>
      <w:r>
        <w:rPr>
          <w:rFonts w:ascii="Times New Roman;Times;serif" w:hAnsi="Times New Roman;Times;serif"/>
          <w:sz w:val="20"/>
        </w:rPr>
        <w:t xml:space="preserve"> instructions from time to time. If determined by the Administrator, the trustee shall be responsible for withholding any taxes to which a Grantee become liable upon the exercise of Options.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Award Agreement. Without derogating from the powers of the Administrator under the Plan, the Administrator shall adopt the form of Award Agreement for Israeli Grantees in form acceptable by the ITA and in compliance with the Tax Ordinance. The Award Agreement shall further indicate the type of Options (102, 3(I), Trustee, Non-Trustee etc.) granted thereunder.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Vesting. Without derogating from the terms of any Award Agreement or the discretionary authority of the Administrator, the standard vesting for Options to Israeli Grantees shall be as follows:</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(i)Twenty five percent (25%) of the Options granted under each Award Agreement shall vest on the end of the first year of Continuous Service following the vesting commencement date determined by the Administrator and if not specified the date of the grant of an Option (the “First Anniversary”); and</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(ii)The remaining 75% of the Options shall vest on a quarterly basis over a period of three years commencing as of the First Anniversary in twelve (12) equal portions subject to Continuous Service of the Grantee.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With respect to all Shares (in contrast to unexercised Options) allocated or issued upon the exercise of Options by the Israeli Grantee, the Grantee shall be entitled to receive dividends in accordance with the quantity of such Shares, subject however to any applicable taxation on distribution of dividends. Subject to the Tax Ordinance and any restrictions imposed by the Trustee or the ITA, during the period in which Shares are held by the Trustee on behalf of the Israeli Grantee, the cash dividends paid with respect thereto shall be paid directly to the Grantee after deduction of withholding tax applicable thereto.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Without derogating from anything in the Plan, to the extent permitted by Applicable Laws, any tax consequences, attributable to the Israeli Grantee, arising from the grant or exercise of any Option, from the payment for Shares covered thereby or from any other event or act (of the Company, a Related Company, the Trustee or the Grantee), hereunder, shall be borne solely by the Grantee. The Company and/or or a Related Company and/or the Trustee shall withhold taxes according to the requirements under the Applicable Laws, rules, and regulations, including withholding taxes at source. Furthermore, to the extent permitted by Applicable Law, the Grantee shall agree to indemnify the Company and/or a Related Company and/or the Trustee and hold them harmless against and from any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A-17</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liability for any such tax or interest or penalty thereon, including without limitation, liabilities relating to the necessity to withhold, or to have withheld, any such tax from any payment made to the Grantee. The Administrator and/or the Trustee shall not be required to release any Share certificate to a Grantee until all required payments have been fully made.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Plan, to the extent applicable to Israeli Grantees, shall be governed by and construed and enforced in accordance with the laws of the State of Israel applicable to contracts made and to be performed therein, without giving effect to the principles of conflict of laws. The competent courts of Tel-Aviv, Israel shall have sole jurisdiction in any matters pertaining to Israeli Grantees.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A-18</w:t>
      </w:r>
    </w:p>
    <w:tbl>
      <w:tblPr>
        <w:tblW w:w="13723" w:type="dxa"/>
        <w:jc w:val="left"/>
        <w:tblInd w:w="0" w:type="dxa"/>
        <w:tblLayout w:type="fixed"/>
        <w:tblCellMar>
          <w:top w:w="0" w:type="dxa"/>
          <w:left w:w="0" w:type="dxa"/>
          <w:bottom w:w="0" w:type="dxa"/>
          <w:right w:w="0" w:type="dxa"/>
        </w:tblCellMar>
      </w:tblPr>
      <w:tblGrid>
        <w:gridCol w:w="23"/>
        <w:gridCol w:w="12735"/>
        <w:gridCol w:w="9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6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9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PROTALIX BIOTHERAPEUTICS, INC. PROXY VOTING INSTRUCTIONS Please have your 11-digit control number ready when voting by Internet or Telephone. Vote Your Proxy on the Internet: Go to www.FCRvote.com/PLX Have your proxy card available when you access the above website. Follow the prompts to vote your shares. Vote Your Proxy by Phone: Call 1-866-402-3905 Use any touch-tone telephone to vote your proxy. Have your proxy card available when you call. Follow the voting instructions to vote your shares. Vote Your Proxy by Mail: Mark, sign, and date your proxy card, then detach it, and return it in the postage-paid envelope provided. As a stockholder of Protalix BioTherapeutics, Inc.,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Eastern Daylight Time, on June 24, 2026. t PLEASE DETACH ALONG PERFORATED LINE AND MAIL IN THE ENVELOPE PROVIDED. t PROTALIX BIOTHERAPEUTICS, INC. ANNUAL MEETING OF STOCKHOLDERS JUNE 25, 2026 AT 8:00 A.M. EASTERN DAYLIGHT TIME THIS PROXY IS SOLICITED ON BEHALF OF THE BOARD OF DIRECTORS OF PROTALIX BIOTHERAPEUTICS, INC. The stockholder(s) hereby appoint(s) Dror Bashan and Gilad Mamlok, or any of them, as proxies, each with the power to appoint his substitute, and hereby authorize(s) them to represent and to vote, as designated on the reverse side of this ballot, all of the shares of common stock of Protalix BioTherapeutics, Inc. that the stockholder(s) is/are entitled to vote at the Annual Meeting of Stockholders to be held at The Offices of LifeSci, Azrieli Center Round Tower, Derech Menachem Begin 132, 11th Floor, Tel Aviv, 6701203, Israel at 8:00 a.m. EDT (3:00 p.m. IDT) on June 25, 2026, and any adjournment or postponement thereof. Please check here if you plan to attend the Annual Meeting. o This proxy, when properly executed, will be voted in the manner directed herein. If no such direction is made, this proxy will be voted in accordance with the Board of Directors’ recommendations. Signature_____________________________________________________ Date_________________________________________________________ Title__________________________________________________________ Signature (Joint Owners)______________________________________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 Address Change: (If you noted any Address Changes above, please mark box.) o CONTROL NUMBER CONTROL NUMBER</w:t>
            </w:r>
          </w:p>
        </w:tc>
      </w:tr>
    </w:tbl>
    <w:tbl>
      <w:tblPr>
        <w:tblW w:w="13033" w:type="dxa"/>
        <w:jc w:val="left"/>
        <w:tblInd w:w="0" w:type="dxa"/>
        <w:tblLayout w:type="fixed"/>
        <w:tblCellMar>
          <w:top w:w="0" w:type="dxa"/>
          <w:left w:w="0" w:type="dxa"/>
          <w:bottom w:w="0" w:type="dxa"/>
          <w:right w:w="0" w:type="dxa"/>
        </w:tblCellMar>
      </w:tblPr>
      <w:tblGrid>
        <w:gridCol w:w="23"/>
        <w:gridCol w:w="1273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6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Board of Directors recommends a vote FOR each of Proposals No. 2, 3 and 4. 2. To approve, on a non-binding advisory basis, the compensation of the Company’s named executive officers as disclosed in the proxy statement that accompanies this notice; FOR o AGAINST o ABSTAIN o 3. To approve the Amended and Restated Protalix BioTherapeutics, Inc. 2006 Stock Incentive Plan (the “Plan”), in order to increase the number of shares of common stock available under the Plan from 17,475,171 shares to 20,975,171 shares and to amend certain other terms of the Plan; FOR o AGAINST o ABSTAIN o 4. To ratify the appointment of Kesselman &amp; Kesselman, Certified Public Accountant (lsr.), a member of PricewaterhouseCoopers International Limited, as our independent registered public accounting firm for the fiscal year ending December 31, 2026; FOR o AGAINST o ABSTAIN o Note: Such other business that may properly come before the meeting. The Board of Directors recommends a vote FOR each of the nominees listed in Proposal No. 1. Please mark your votes like this  1. NOMINEES: FOR WITHHOLD (1a) Dror Bashan o o (1b) Amos Bar Shalev o o (1c) Shmuel “Muli” Ben Zvi, Ph.D. o o (1d) Pol F. Boudes, M.D. o o (1e) Christian Elze o o (1f) Eliot Richard Forster, Ph.D. o o (1g) Gwen A. Melincoff o o (1h) Aharon Schwartz, Ph.D. o o When properly executed, your proxy card/voting instruction form will be voted in the manner you direct. If you do not specify your choices, your shares will be voted FOR each of the nominees listed in Proposal No. 1 and FOR Proposals No. 2, 3 and 4. t PLEASE DETACH ALONG PERFORATED LINE AND MAIL IN THE ENVELOPE PROVIDED. t Important Notice Regarding the Availability of Proxy Materials for the Annual Meeting of Stockholders to be held on June 25, 2026: The Notice and Proxy Statement, Proxy Card and 2025 Annual Report on Form 10-K are available at: https://web.viewproxy.com/protalix/2026</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38402</Words>
  <Characters>200797</Characters>
  <CharactersWithSpaces>239644</CharactersWithSpaces>
  <Paragraphs>2792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