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42026_060907.xml.htm"/>
      <w:bookmarkStart w:id="1" w:name="ksform409042026_060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Bar-Shalev Amos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PROTALIX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SNUNIT STREET SCIENCE PARK, POB 455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CARMIEL</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2161401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Protalix BioTherapeutics, Inc.</w:t>
              </w:r>
            </w:hyperlink>
            <w:r>
              <w:rPr/>
              <w:t xml:space="preserve"> [ </w:t>
            </w:r>
            <w:r>
              <w:rPr>
                <w:rFonts w:ascii="Times;serif" w:hAnsi="Times;serif"/>
                <w:color w:val="0000FF"/>
                <w:sz w:val="24"/>
                <w:shd w:fill="FFFFFF" w:val="clear"/>
              </w:rPr>
              <w:t>PLX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17,000</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the stock options vest in 12 equal quarterly installments commencing upon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Does not include (i) options to purchase 40,000 shares of common stock at an exercise price equal to $3.55 per share that expire on January 20, 2030, (ii) options to purchase 50,000 shares of common stock at an exercise price equal to $1.03 per share that expire on September 7, 2032, (iii) options to purchase 61,676 shares of common stock at an exercise price equal to $1.66 per share that expire on September 29, 2033, and (iv) options to purchase 15,000 shares of common stock at an exercise price equal to $1.64 per share that expire on September 3, 2035.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(RSU) represents the right to receive, following vesting, one share of the Isuer's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common stock underlying the RSUs vest in 12 equal quarterly installments commencing upon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Magnas,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55"/>
        <w:jc w:val="center"/>
        <w:rPr>
          <w:sz w:val="24"/>
        </w:rPr>
      </w:pPr>
      <w:bookmarkStart w:id="2" w:name="ex24-09042026_060907.htm"/>
      <w:bookmarkStart w:id="3" w:name="ksex2409042026_060907"/>
      <w:bookmarkEnd w:id="2"/>
      <w:bookmarkEnd w:id="3"/>
      <w:r>
        <w:rPr>
          <w:sz w:val="24"/>
        </w:rPr>
        <w:t>POWER OF ATTORNEY</w:t>
      </w:r>
      <w:r>
        <w:br w:type="page"/>
      </w:r>
    </w:p>
    <w:p>
      <w:pPr>
        <w:pStyle w:val="TextBody"/>
        <w:bidi w:val="0"/>
        <w:spacing w:before="0" w:after="255"/>
        <w:jc w:val="both"/>
        <w:rPr>
          <w:sz w:val="24"/>
        </w:rPr>
      </w:pPr>
      <w:r>
        <w:rPr>
          <w:sz w:val="24"/>
        </w:rPr>
        <w:t>KNOW ALL BY THESE PRESENTS, that the undersigned hereby constitutes and appoints Dror Bashan, Gilad Mamlok and Joseph R. Magnas the undersigned’s true and lawful attorney-in-fact to: (i) execute for and on behalf of the undersigned, Forms ID, 3, 4, and 5 in accordance with Section 16(a) of the Securities Exchange Act of 1934, as amended and the rules thereunder in connection with the undersigned’s holdings of and transactions in securities issued by Protalix BioTherapeutics, Inc., a Delaware corporation (the “Company”); (ii) do and perform any and all acts for and on behalf of the undersigned which may be necessary or desirable to complete and execute any such Form 3, 4, or 5 and timely file such form with the U.S. Securities and Exchange Commission and any required stock exchange or similar authority, including the NYSE American;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55"/>
        <w:jc w:val="both"/>
        <w:rPr>
          <w:sz w:val="24"/>
        </w:rPr>
      </w:pPr>
      <w:r>
        <w:rPr>
          <w:sz w:val="24"/>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255"/>
        <w:jc w:val="both"/>
        <w:rPr>
          <w:sz w:val="24"/>
        </w:rPr>
      </w:pPr>
      <w:r>
        <w:rPr>
          <w:sz w:val="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pStyle w:val="TextBody"/>
        <w:bidi w:val="0"/>
        <w:spacing w:before="0" w:after="255"/>
        <w:jc w:val="both"/>
        <w:rPr>
          <w:sz w:val="24"/>
        </w:rPr>
      </w:pPr>
      <w:r>
        <w:rPr>
          <w:sz w:val="24"/>
        </w:rPr>
        <w:t>IN WITNESS WHEREOF, the undersigned has caused this Power of Attorney to be executed as of 01 September 2026.</w:t>
      </w:r>
    </w:p>
    <w:p>
      <w:pPr>
        <w:pStyle w:val="TextBody"/>
        <w:bidi w:val="0"/>
        <w:spacing w:before="0" w:after="240"/>
        <w:jc w:val="both"/>
        <w:rPr/>
      </w:pPr>
      <w:r>
        <w:rPr/>
      </w:r>
    </w:p>
    <w:tbl>
      <w:tblPr>
        <w:tblW w:w="4350" w:type="dxa"/>
        <w:jc w:val="center"/>
        <w:tblInd w:w="0" w:type="dxa"/>
        <w:tblLayout w:type="fixed"/>
        <w:tblCellMar>
          <w:top w:w="0" w:type="dxa"/>
          <w:left w:w="0" w:type="dxa"/>
          <w:bottom w:w="0" w:type="dxa"/>
          <w:right w:w="0" w:type="dxa"/>
        </w:tblCellMar>
      </w:tblPr>
      <w:tblGrid>
        <w:gridCol w:w="4350"/>
      </w:tblGrid>
      <w:tr>
        <w:trPr/>
        <w:tc>
          <w:tcPr>
            <w:tcW w:w="4350" w:type="dxa"/>
            <w:tcBorders/>
            <w:vAlign w:val="center"/>
          </w:tcPr>
          <w:p>
            <w:pPr>
              <w:pStyle w:val="TableContents"/>
              <w:bidi w:val="0"/>
              <w:spacing w:before="0" w:after="283"/>
              <w:jc w:val="left"/>
              <w:rPr>
                <w:sz w:val="4"/>
                <w:szCs w:val="4"/>
              </w:rPr>
            </w:pPr>
            <w:r>
              <w:rPr>
                <w:sz w:val="4"/>
                <w:szCs w:val="4"/>
              </w:rPr>
            </w:r>
          </w:p>
        </w:tc>
      </w:tr>
      <w:tr>
        <w:trPr/>
        <w:tc>
          <w:tcPr>
            <w:tcW w:w="4350" w:type="dxa"/>
            <w:tcBorders/>
          </w:tcPr>
          <w:p>
            <w:pPr>
              <w:pStyle w:val="TableContents"/>
              <w:pBdr>
                <w:bottom w:val="single" w:sz="2" w:space="1" w:color="000000"/>
              </w:pBdr>
              <w:bidi w:val="0"/>
              <w:spacing w:before="0" w:after="195"/>
              <w:jc w:val="left"/>
              <w:rPr>
                <w:sz w:val="24"/>
              </w:rPr>
            </w:pPr>
            <w:r>
              <w:rPr>
                <w:sz w:val="24"/>
              </w:rPr>
              <w:t>/s/ Amos Bar Shalev</w:t>
            </w:r>
          </w:p>
        </w:tc>
      </w:tr>
      <w:tr>
        <w:trPr/>
        <w:tc>
          <w:tcPr>
            <w:tcW w:w="4350" w:type="dxa"/>
            <w:tcBorders/>
          </w:tcPr>
          <w:p>
            <w:pPr>
              <w:pStyle w:val="TableContents"/>
              <w:bidi w:val="0"/>
              <w:spacing w:before="0" w:after="195"/>
              <w:jc w:val="left"/>
              <w:rPr>
                <w:sz w:val="24"/>
              </w:rPr>
            </w:pPr>
            <w:r>
              <w:rPr>
                <w:sz w:val="24"/>
              </w:rPr>
              <w:t>Name: Amos Bar Shalev</w:t>
            </w:r>
          </w:p>
        </w:tc>
      </w:tr>
    </w:tbl>
    <w:p>
      <w:pPr>
        <w:pStyle w:val="TextBody"/>
        <w:bidi w:val="0"/>
        <w:spacing w:before="0" w:after="240"/>
        <w:jc w:val="left"/>
        <w:rPr/>
      </w:pPr>
      <w:r>
        <w:rPr/>
      </w:r>
    </w:p>
    <w:p>
      <w:pPr>
        <w:pStyle w:val="TextBody"/>
        <w:bidi w:val="0"/>
        <w:spacing w:before="0" w:after="24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5113" TargetMode="External"/><Relationship Id="rId5" Type="http://schemas.openxmlformats.org/officeDocument/2006/relationships/hyperlink" Target="http://www.sec.gov/cgi-bin/browse-edgar?action=getcompany&amp;CIK=0001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1200</Words>
  <Characters>6320</Characters>
  <CharactersWithSpaces>7427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