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Protalix BioTherapeutics,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03/24/2026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MAK Capital Fund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BERMUDA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3,616,289.00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3,616,289.00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3,616,289.00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calculation is based upon 3,616,289 shares of Common Stock beneficially owned as of 03/30/2026 and a total of 80,421,181 shares of Common Stock, $0.001 par value per share, outstanding as of November 1, 2025, as reported by the Issuer in its Form 10-Q filed November 13,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MAK CAPITAL ONE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3,616,289.00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3,616,289.00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3,616,289.00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calculation is based upon 3,616,289 shares of Common Stock beneficially owned as of 03/30/2026 and a total of 80,421,181 shares of Common Stock, $0.001 par value per share, outstanding as of November 1, 2025, as reported by the Issuer in its Form 10-Q filed November 13,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Kaufman Michael A</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3,616,289.00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3,616,289.00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3,616,289.00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calculation is based upon 3,616,289 shares of Common Stock beneficially owned as of 03/30/2026 and a total of 80,421,181 shares of Common Stock, $0.001 par value per share, outstanding as of November 1, 2025, as reported by the Issuer in its Form 10-Q filed November 13,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65"/>
        <w:gridCol w:w="8985"/>
        <w:gridCol w:w="155"/>
      </w:tblGrid>
      <w:tr>
        <w:trPr/>
        <w:tc>
          <w:tcPr>
            <w:tcW w:w="1065" w:type="dxa"/>
            <w:tcBorders/>
            <w:vAlign w:val="center"/>
          </w:tcPr>
          <w:p>
            <w:pPr>
              <w:pStyle w:val="TableContents"/>
              <w:bidi w:val="0"/>
              <w:spacing w:before="0" w:after="283"/>
              <w:jc w:val="left"/>
              <w:rPr/>
            </w:pPr>
            <w:r>
              <w:rPr/>
              <w:t>Item 1.</w:t>
            </w:r>
          </w:p>
        </w:tc>
        <w:tc>
          <w:tcPr>
            <w:tcW w:w="898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(a)</w:t>
            </w:r>
          </w:p>
        </w:tc>
        <w:tc>
          <w:tcPr>
            <w:tcW w:w="8985" w:type="dxa"/>
            <w:tcBorders/>
            <w:vAlign w:val="center"/>
          </w:tcPr>
          <w:p>
            <w:pPr>
              <w:pStyle w:val="TableContents"/>
              <w:bidi w:val="0"/>
              <w:jc w:val="left"/>
              <w:rPr/>
            </w:pPr>
            <w:r>
              <w:rPr/>
              <w:t xml:space="preserve">Name of issuer: </w:t>
            </w:r>
          </w:p>
          <w:p>
            <w:pPr>
              <w:pStyle w:val="TableContents"/>
              <w:bidi w:val="0"/>
              <w:spacing w:before="0" w:after="0"/>
              <w:jc w:val="left"/>
              <w:rPr/>
            </w:pPr>
            <w:r>
              <w:rPr/>
              <w:t>Protalix BioTherapeutics, Inc.</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(b)</w:t>
            </w:r>
          </w:p>
        </w:tc>
        <w:tc>
          <w:tcPr>
            <w:tcW w:w="898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 UNIVERSITY PLAZA, Suite 100, HACKENSACK, NEW JERSEY, 07601</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Item 2.</w:t>
            </w:r>
          </w:p>
        </w:tc>
        <w:tc>
          <w:tcPr>
            <w:tcW w:w="898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(a)</w:t>
            </w:r>
          </w:p>
        </w:tc>
        <w:tc>
          <w:tcPr>
            <w:tcW w:w="898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13G/A is being filed by: i. MAK Capital Fund LP ("MAK Fund") ii. MAK Capital One L.L.C. ("MAK Capital"); and iii. Michael A. Kaufman ("Mr. Kaufman," and collectively with MAK Fund and MAK Capital,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(b)</w:t>
            </w:r>
          </w:p>
        </w:tc>
        <w:tc>
          <w:tcPr>
            <w:tcW w:w="898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(i) MAK Fund is c/o Wakefield Quin, Victoria Place, 31 Victoria Street, Bermuda; and (ii) MAK Capital and Mr. Kaufman is 590 Madison Avenue, 31st Floor, New York, NY 10022.</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(c)</w:t>
            </w:r>
          </w:p>
        </w:tc>
        <w:tc>
          <w:tcPr>
            <w:tcW w:w="8985" w:type="dxa"/>
            <w:tcBorders/>
            <w:vAlign w:val="center"/>
          </w:tcPr>
          <w:p>
            <w:pPr>
              <w:pStyle w:val="TableContents"/>
              <w:bidi w:val="0"/>
              <w:jc w:val="left"/>
              <w:rPr/>
            </w:pPr>
            <w:r>
              <w:rPr/>
              <w:t xml:space="preserve">Citizenship: </w:t>
            </w:r>
          </w:p>
          <w:p>
            <w:pPr>
              <w:pStyle w:val="TableContents"/>
              <w:bidi w:val="0"/>
              <w:spacing w:before="0" w:after="0"/>
              <w:jc w:val="left"/>
              <w:rPr/>
            </w:pPr>
            <w:r>
              <w:rPr/>
              <w:t>MAK Capital Fund LP is a Bermuda limited partnership. MAK Capital One L.L.C. is a Delaware limited liability company. Mr. Kaufman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(d)</w:t>
            </w:r>
          </w:p>
        </w:tc>
        <w:tc>
          <w:tcPr>
            <w:tcW w:w="898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(e)</w:t>
            </w:r>
          </w:p>
        </w:tc>
        <w:tc>
          <w:tcPr>
            <w:tcW w:w="898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Item 3.</w:t>
            </w:r>
          </w:p>
        </w:tc>
        <w:tc>
          <w:tcPr>
            <w:tcW w:w="898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(a)</w:t>
            </w:r>
          </w:p>
        </w:tc>
        <w:tc>
          <w:tcPr>
            <w:tcW w:w="898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(b)</w:t>
            </w:r>
          </w:p>
        </w:tc>
        <w:tc>
          <w:tcPr>
            <w:tcW w:w="898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(c)</w:t>
            </w:r>
          </w:p>
        </w:tc>
        <w:tc>
          <w:tcPr>
            <w:tcW w:w="898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(d)</w:t>
            </w:r>
          </w:p>
        </w:tc>
        <w:tc>
          <w:tcPr>
            <w:tcW w:w="898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(e)</w:t>
            </w:r>
          </w:p>
        </w:tc>
        <w:tc>
          <w:tcPr>
            <w:tcW w:w="898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(f)</w:t>
            </w:r>
          </w:p>
        </w:tc>
        <w:tc>
          <w:tcPr>
            <w:tcW w:w="898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(g)</w:t>
            </w:r>
          </w:p>
        </w:tc>
        <w:tc>
          <w:tcPr>
            <w:tcW w:w="898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(h)</w:t>
            </w:r>
          </w:p>
        </w:tc>
        <w:tc>
          <w:tcPr>
            <w:tcW w:w="898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(i)</w:t>
            </w:r>
          </w:p>
        </w:tc>
        <w:tc>
          <w:tcPr>
            <w:tcW w:w="8985"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(j)</w:t>
            </w:r>
          </w:p>
        </w:tc>
        <w:tc>
          <w:tcPr>
            <w:tcW w:w="8985"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(k)</w:t>
            </w:r>
          </w:p>
        </w:tc>
        <w:tc>
          <w:tcPr>
            <w:tcW w:w="8985"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 </w:t>
            </w:r>
          </w:p>
        </w:tc>
        <w:tc>
          <w:tcPr>
            <w:tcW w:w="9140" w:type="dxa"/>
            <w:gridSpan w:val="2"/>
            <w:tcBorders/>
            <w:vAlign w:val="center"/>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Item 4.</w:t>
            </w:r>
          </w:p>
        </w:tc>
        <w:tc>
          <w:tcPr>
            <w:tcW w:w="898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(a)</w:t>
            </w:r>
          </w:p>
        </w:tc>
        <w:tc>
          <w:tcPr>
            <w:tcW w:w="898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3,616,289</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(b)</w:t>
            </w:r>
          </w:p>
        </w:tc>
        <w:tc>
          <w:tcPr>
            <w:tcW w:w="898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4.5% The calculation is based upon 3,616,289 shares of Common Stock beneficially owned as of 03/30/2026 and a total of 80,421,181 shares of Common Stock, $0.001 par value per share, outstanding as of November 1, 2025, as reported by the Issuer in its Form 10-Q filed November 13, 2025.  % </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(c)</w:t>
            </w:r>
          </w:p>
        </w:tc>
        <w:tc>
          <w:tcPr>
            <w:tcW w:w="898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 </w:t>
            </w:r>
          </w:p>
        </w:tc>
        <w:tc>
          <w:tcPr>
            <w:tcW w:w="898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 </w:t>
            </w:r>
          </w:p>
        </w:tc>
        <w:tc>
          <w:tcPr>
            <w:tcW w:w="898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3,616,289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 </w:t>
            </w:r>
          </w:p>
        </w:tc>
        <w:tc>
          <w:tcPr>
            <w:tcW w:w="898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 </w:t>
            </w:r>
          </w:p>
        </w:tc>
        <w:tc>
          <w:tcPr>
            <w:tcW w:w="898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3,616,289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Item 5.</w:t>
            </w:r>
          </w:p>
        </w:tc>
        <w:tc>
          <w:tcPr>
            <w:tcW w:w="898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 </w:t>
            </w:r>
          </w:p>
        </w:tc>
        <w:tc>
          <w:tcPr>
            <w:tcW w:w="8985"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Item 6.</w:t>
            </w:r>
          </w:p>
        </w:tc>
        <w:tc>
          <w:tcPr>
            <w:tcW w:w="898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 </w:t>
            </w:r>
          </w:p>
        </w:tc>
        <w:tc>
          <w:tcPr>
            <w:tcW w:w="89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Item 7.</w:t>
            </w:r>
          </w:p>
        </w:tc>
        <w:tc>
          <w:tcPr>
            <w:tcW w:w="898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 </w:t>
            </w:r>
          </w:p>
        </w:tc>
        <w:tc>
          <w:tcPr>
            <w:tcW w:w="89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Item 8.</w:t>
            </w:r>
          </w:p>
        </w:tc>
        <w:tc>
          <w:tcPr>
            <w:tcW w:w="898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 </w:t>
            </w:r>
          </w:p>
        </w:tc>
        <w:tc>
          <w:tcPr>
            <w:tcW w:w="89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Item 9.</w:t>
            </w:r>
          </w:p>
        </w:tc>
        <w:tc>
          <w:tcPr>
            <w:tcW w:w="898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65" w:type="dxa"/>
            <w:tcBorders/>
            <w:vAlign w:val="center"/>
          </w:tcPr>
          <w:p>
            <w:pPr>
              <w:pStyle w:val="TableContents"/>
              <w:bidi w:val="0"/>
              <w:spacing w:before="0" w:after="283"/>
              <w:jc w:val="left"/>
              <w:rPr/>
            </w:pPr>
            <w:r>
              <w:rPr/>
              <w:t> </w:t>
            </w:r>
          </w:p>
        </w:tc>
        <w:tc>
          <w:tcPr>
            <w:tcW w:w="89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954" w:type="dxa"/>
        <w:jc w:val="left"/>
        <w:tblInd w:w="0" w:type="dxa"/>
        <w:tblLayout w:type="fixed"/>
        <w:tblCellMar>
          <w:top w:w="28" w:type="dxa"/>
          <w:left w:w="28" w:type="dxa"/>
          <w:bottom w:w="28" w:type="dxa"/>
          <w:right w:w="28" w:type="dxa"/>
        </w:tblCellMar>
      </w:tblPr>
      <w:tblGrid>
        <w:gridCol w:w="2477"/>
        <w:gridCol w:w="2477"/>
      </w:tblGrid>
      <w:tr>
        <w:trPr/>
        <w:tc>
          <w:tcPr>
            <w:tcW w:w="2477" w:type="dxa"/>
            <w:tcBorders/>
            <w:vAlign w:val="center"/>
          </w:tcPr>
          <w:p>
            <w:pPr>
              <w:pStyle w:val="TableContents"/>
              <w:bidi w:val="0"/>
              <w:spacing w:before="0" w:after="0"/>
              <w:jc w:val="left"/>
              <w:rPr/>
            </w:pPr>
            <w:r>
              <w:rPr/>
              <w:t> </w:t>
            </w:r>
          </w:p>
          <w:tbl>
            <w:tblPr>
              <w:tblW w:w="2371" w:type="dxa"/>
              <w:jc w:val="left"/>
              <w:tblInd w:w="0" w:type="dxa"/>
              <w:tblLayout w:type="fixed"/>
              <w:tblCellMar>
                <w:top w:w="28" w:type="dxa"/>
                <w:left w:w="28" w:type="dxa"/>
                <w:bottom w:w="28" w:type="dxa"/>
                <w:right w:w="28" w:type="dxa"/>
              </w:tblCellMar>
            </w:tblPr>
            <w:tblGrid>
              <w:gridCol w:w="2371"/>
            </w:tblGrid>
            <w:tr>
              <w:trPr/>
              <w:tc>
                <w:tcPr>
                  <w:tcW w:w="2371" w:type="dxa"/>
                  <w:tcBorders/>
                  <w:vAlign w:val="center"/>
                </w:tcPr>
                <w:p>
                  <w:pPr>
                    <w:pStyle w:val="TableContents"/>
                    <w:bidi w:val="0"/>
                    <w:spacing w:before="0" w:after="0"/>
                    <w:jc w:val="left"/>
                    <w:rPr/>
                  </w:pPr>
                  <w:r>
                    <w:rPr/>
                    <w:t>MAK Capital Fund LP</w:t>
                  </w:r>
                </w:p>
              </w:tc>
            </w:tr>
          </w:tbl>
          <w:p>
            <w:pPr>
              <w:pStyle w:val="TableContents"/>
              <w:bidi w:val="0"/>
              <w:spacing w:before="0" w:after="283"/>
              <w:jc w:val="left"/>
              <w:rPr/>
            </w:pPr>
            <w:r>
              <w:rPr/>
            </w:r>
          </w:p>
        </w:tc>
        <w:tc>
          <w:tcPr>
            <w:tcW w:w="24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Michael A. Kaufman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Member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03/30/2026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6116" w:type="dxa"/>
        <w:jc w:val="left"/>
        <w:tblInd w:w="0" w:type="dxa"/>
        <w:tblLayout w:type="fixed"/>
        <w:tblCellMar>
          <w:top w:w="28" w:type="dxa"/>
          <w:left w:w="28" w:type="dxa"/>
          <w:bottom w:w="28" w:type="dxa"/>
          <w:right w:w="28" w:type="dxa"/>
        </w:tblCellMar>
      </w:tblPr>
      <w:tblGrid>
        <w:gridCol w:w="3058"/>
        <w:gridCol w:w="3058"/>
      </w:tblGrid>
      <w:tr>
        <w:trPr/>
        <w:tc>
          <w:tcPr>
            <w:tcW w:w="3058" w:type="dxa"/>
            <w:tcBorders/>
            <w:vAlign w:val="center"/>
          </w:tcPr>
          <w:p>
            <w:pPr>
              <w:pStyle w:val="TableContents"/>
              <w:bidi w:val="0"/>
              <w:spacing w:before="0" w:after="0"/>
              <w:jc w:val="left"/>
              <w:rPr/>
            </w:pPr>
            <w:r>
              <w:rPr/>
              <w:t> </w:t>
            </w:r>
          </w:p>
          <w:tbl>
            <w:tblPr>
              <w:tblW w:w="2926" w:type="dxa"/>
              <w:jc w:val="left"/>
              <w:tblInd w:w="0" w:type="dxa"/>
              <w:tblLayout w:type="fixed"/>
              <w:tblCellMar>
                <w:top w:w="28" w:type="dxa"/>
                <w:left w:w="28" w:type="dxa"/>
                <w:bottom w:w="28" w:type="dxa"/>
                <w:right w:w="28" w:type="dxa"/>
              </w:tblCellMar>
            </w:tblPr>
            <w:tblGrid>
              <w:gridCol w:w="2926"/>
            </w:tblGrid>
            <w:tr>
              <w:trPr/>
              <w:tc>
                <w:tcPr>
                  <w:tcW w:w="2926" w:type="dxa"/>
                  <w:tcBorders/>
                  <w:vAlign w:val="center"/>
                </w:tcPr>
                <w:p>
                  <w:pPr>
                    <w:pStyle w:val="TableContents"/>
                    <w:bidi w:val="0"/>
                    <w:spacing w:before="0" w:after="0"/>
                    <w:jc w:val="left"/>
                    <w:rPr/>
                  </w:pPr>
                  <w:r>
                    <w:rPr/>
                    <w:t>MAK CAPITAL ONE LLC</w:t>
                  </w:r>
                </w:p>
              </w:tc>
            </w:tr>
          </w:tbl>
          <w:p>
            <w:pPr>
              <w:pStyle w:val="TableContents"/>
              <w:bidi w:val="0"/>
              <w:spacing w:before="0" w:after="283"/>
              <w:jc w:val="left"/>
              <w:rPr/>
            </w:pPr>
            <w:r>
              <w:rPr/>
            </w:r>
          </w:p>
        </w:tc>
        <w:tc>
          <w:tcPr>
            <w:tcW w:w="305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Michael A. Kaufman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Member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03/30/2026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472" w:type="dxa"/>
        <w:jc w:val="left"/>
        <w:tblInd w:w="0" w:type="dxa"/>
        <w:tblLayout w:type="fixed"/>
        <w:tblCellMar>
          <w:top w:w="28" w:type="dxa"/>
          <w:left w:w="28" w:type="dxa"/>
          <w:bottom w:w="28" w:type="dxa"/>
          <w:right w:w="28" w:type="dxa"/>
        </w:tblCellMar>
      </w:tblPr>
      <w:tblGrid>
        <w:gridCol w:w="2236"/>
        <w:gridCol w:w="2236"/>
      </w:tblGrid>
      <w:tr>
        <w:trPr/>
        <w:tc>
          <w:tcPr>
            <w:tcW w:w="2236" w:type="dxa"/>
            <w:tcBorders/>
            <w:vAlign w:val="center"/>
          </w:tcPr>
          <w:p>
            <w:pPr>
              <w:pStyle w:val="TableContents"/>
              <w:bidi w:val="0"/>
              <w:spacing w:before="0" w:after="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0"/>
                    <w:jc w:val="left"/>
                    <w:rPr/>
                  </w:pPr>
                  <w:r>
                    <w:rPr/>
                    <w:t>Kaufman Michael A</w:t>
                  </w:r>
                </w:p>
              </w:tc>
            </w:tr>
          </w:tbl>
          <w:p>
            <w:pPr>
              <w:pStyle w:val="TableContents"/>
              <w:bidi w:val="0"/>
              <w:spacing w:before="0" w:after="283"/>
              <w:jc w:val="left"/>
              <w:rPr/>
            </w:pPr>
            <w:r>
              <w:rPr/>
            </w:r>
          </w:p>
        </w:tc>
        <w:tc>
          <w:tcPr>
            <w:tcW w:w="2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Michael A. Kaufman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Michael A. Kaufman</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03/30/2026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PreformattedText"/>
        <w:bidi w:val="0"/>
        <w:jc w:val="left"/>
        <w:rPr/>
      </w:pPr>
      <w:bookmarkStart w:id="24" w:name="plx_jfa_ascii.txt"/>
      <w:bookmarkStart w:id="25" w:name="ksplx_jfa_ascii"/>
      <w:bookmarkEnd w:id="24"/>
      <w:bookmarkEnd w:id="25"/>
      <w:r>
        <w:rPr/>
        <w:t>Exhibit 99.1</w:t>
      </w:r>
      <w:r>
        <w:br w:type="page"/>
      </w:r>
    </w:p>
    <w:p>
      <w:pPr>
        <w:pStyle w:val="PreformattedText"/>
        <w:bidi w:val="0"/>
        <w:spacing w:before="0" w:after="0"/>
        <w:jc w:val="left"/>
        <w:rPr/>
      </w:pPr>
      <w:r>
        <w:rPr/>
      </w:r>
    </w:p>
    <w:p>
      <w:pPr>
        <w:pStyle w:val="PreformattedText"/>
        <w:bidi w:val="0"/>
        <w:spacing w:before="0" w:after="0"/>
        <w:jc w:val="left"/>
        <w:rPr/>
      </w:pPr>
      <w:r>
        <w:rPr/>
        <w:t xml:space="preserve">                             </w:t>
      </w:r>
      <w:r>
        <w:rPr/>
        <w:t>JOINT FILING AGREEMENT</w:t>
      </w:r>
    </w:p>
    <w:p>
      <w:pPr>
        <w:pStyle w:val="PreformattedText"/>
        <w:bidi w:val="0"/>
        <w:spacing w:before="0" w:after="0"/>
        <w:jc w:val="left"/>
        <w:rPr/>
      </w:pPr>
      <w:r>
        <w:rPr/>
      </w:r>
    </w:p>
    <w:p>
      <w:pPr>
        <w:pStyle w:val="PreformattedText"/>
        <w:bidi w:val="0"/>
        <w:spacing w:before="0" w:after="0"/>
        <w:jc w:val="left"/>
        <w:rPr/>
      </w:pPr>
      <w:r>
        <w:rPr/>
        <w:t>In accordance with Rule 13d-1(k) under the Securities Exchange Act of 1934,</w:t>
      </w:r>
    </w:p>
    <w:p>
      <w:pPr>
        <w:pStyle w:val="PreformattedText"/>
        <w:bidi w:val="0"/>
        <w:spacing w:before="0" w:after="0"/>
        <w:jc w:val="left"/>
        <w:rPr/>
      </w:pPr>
      <w:r>
        <w:rPr/>
        <w:t>as amended, the persons named below agree to the joint filing on behalf of</w:t>
      </w:r>
    </w:p>
    <w:p>
      <w:pPr>
        <w:pStyle w:val="PreformattedText"/>
        <w:bidi w:val="0"/>
        <w:spacing w:before="0" w:after="0"/>
        <w:jc w:val="left"/>
        <w:rPr/>
      </w:pPr>
      <w:r>
        <w:rPr/>
        <w:t>each of them of a statement on Schedule 13G/A (including amendments thereto)</w:t>
      </w:r>
    </w:p>
    <w:p>
      <w:pPr>
        <w:pStyle w:val="PreformattedText"/>
        <w:bidi w:val="0"/>
        <w:spacing w:before="0" w:after="0"/>
        <w:jc w:val="left"/>
        <w:rPr/>
      </w:pPr>
      <w:r>
        <w:rPr/>
        <w:t>with respect to the Common Stock, $0.001 par value per share, of Protalix</w:t>
      </w:r>
    </w:p>
    <w:p>
      <w:pPr>
        <w:pStyle w:val="PreformattedText"/>
        <w:bidi w:val="0"/>
        <w:spacing w:before="0" w:after="0"/>
        <w:jc w:val="left"/>
        <w:rPr/>
      </w:pPr>
      <w:r>
        <w:rPr/>
        <w:t>BioTherapeutics, Inc. and further agree that this Joint Filing Agreement be</w:t>
      </w:r>
    </w:p>
    <w:p>
      <w:pPr>
        <w:pStyle w:val="PreformattedText"/>
        <w:bidi w:val="0"/>
        <w:spacing w:before="0" w:after="0"/>
        <w:jc w:val="left"/>
        <w:rPr/>
      </w:pPr>
      <w:r>
        <w:rPr/>
        <w:t>included as an Exhibit to such joint filings. It is understood and agreed</w:t>
      </w:r>
    </w:p>
    <w:p>
      <w:pPr>
        <w:pStyle w:val="PreformattedText"/>
        <w:bidi w:val="0"/>
        <w:spacing w:before="0" w:after="0"/>
        <w:jc w:val="left"/>
        <w:rPr/>
      </w:pPr>
      <w:r>
        <w:rPr/>
        <w:t>that the joint filing of the Schedule 13G/A shall not be construed as an</w:t>
      </w:r>
    </w:p>
    <w:p>
      <w:pPr>
        <w:pStyle w:val="PreformattedText"/>
        <w:bidi w:val="0"/>
        <w:spacing w:before="0" w:after="0"/>
        <w:jc w:val="left"/>
        <w:rPr/>
      </w:pPr>
      <w:r>
        <w:rPr/>
        <w:t>admission that the persons named herein constitute a group for purposes of</w:t>
      </w:r>
    </w:p>
    <w:p>
      <w:pPr>
        <w:pStyle w:val="PreformattedText"/>
        <w:bidi w:val="0"/>
        <w:spacing w:before="0" w:after="0"/>
        <w:jc w:val="left"/>
        <w:rPr/>
      </w:pPr>
      <w:r>
        <w:rPr/>
        <w:t>Regulation 13D-G of the Securities Exchange Act of 1934, as amended.</w:t>
      </w:r>
    </w:p>
    <w:p>
      <w:pPr>
        <w:pStyle w:val="PreformattedText"/>
        <w:bidi w:val="0"/>
        <w:spacing w:before="0" w:after="0"/>
        <w:jc w:val="left"/>
        <w:rPr/>
      </w:pPr>
      <w:r>
        <w:rPr/>
      </w:r>
    </w:p>
    <w:p>
      <w:pPr>
        <w:pStyle w:val="PreformattedText"/>
        <w:bidi w:val="0"/>
        <w:spacing w:before="0" w:after="0"/>
        <w:jc w:val="left"/>
        <w:rPr/>
      </w:pPr>
      <w:r>
        <w:rPr/>
        <w:t>Dated: March 30, 2026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MAK CAPITAL FUND LP</w:t>
      </w:r>
    </w:p>
    <w:p>
      <w:pPr>
        <w:pStyle w:val="PreformattedText"/>
        <w:bidi w:val="0"/>
        <w:spacing w:before="0" w:after="0"/>
        <w:jc w:val="left"/>
        <w:rPr/>
      </w:pPr>
      <w:r>
        <w:rPr/>
        <w:t>By: MAK GP LLC, general partner</w:t>
      </w:r>
    </w:p>
    <w:p>
      <w:pPr>
        <w:pStyle w:val="PreformattedText"/>
        <w:bidi w:val="0"/>
        <w:spacing w:before="0" w:after="0"/>
        <w:jc w:val="left"/>
        <w:rPr/>
      </w:pPr>
      <w:r>
        <w:rPr/>
        <w:t>By: /s/ Michael A. Kaufman</w:t>
      </w:r>
    </w:p>
    <w:p>
      <w:pPr>
        <w:pStyle w:val="PreformattedText"/>
        <w:bidi w:val="0"/>
        <w:spacing w:before="0" w:after="0"/>
        <w:jc w:val="left"/>
        <w:rPr/>
      </w:pPr>
      <w:r>
        <w:rPr/>
      </w:r>
    </w:p>
    <w:p>
      <w:pPr>
        <w:pStyle w:val="PreformattedText"/>
        <w:bidi w:val="0"/>
        <w:spacing w:before="0" w:after="0"/>
        <w:jc w:val="left"/>
        <w:rPr/>
      </w:pPr>
      <w:r>
        <w:rPr/>
        <w:t>______________________________</w:t>
      </w:r>
    </w:p>
    <w:p>
      <w:pPr>
        <w:pStyle w:val="PreformattedText"/>
        <w:bidi w:val="0"/>
        <w:spacing w:before="0" w:after="0"/>
        <w:jc w:val="left"/>
        <w:rPr/>
      </w:pPr>
      <w:r>
        <w:rPr/>
        <w:t>Michael A. Kaufman, Managing Member</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MAK CAPITAL ONE L.L.C.</w:t>
      </w:r>
    </w:p>
    <w:p>
      <w:pPr>
        <w:pStyle w:val="PreformattedText"/>
        <w:bidi w:val="0"/>
        <w:spacing w:before="0" w:after="0"/>
        <w:jc w:val="left"/>
        <w:rPr/>
      </w:pPr>
      <w:r>
        <w:rPr/>
        <w:t>By: /s/ Michael A. Kaufman</w:t>
      </w:r>
    </w:p>
    <w:p>
      <w:pPr>
        <w:pStyle w:val="PreformattedText"/>
        <w:bidi w:val="0"/>
        <w:spacing w:before="0" w:after="0"/>
        <w:jc w:val="left"/>
        <w:rPr/>
      </w:pPr>
      <w:r>
        <w:rPr/>
      </w:r>
    </w:p>
    <w:p>
      <w:pPr>
        <w:pStyle w:val="PreformattedText"/>
        <w:bidi w:val="0"/>
        <w:spacing w:before="0" w:after="0"/>
        <w:jc w:val="left"/>
        <w:rPr/>
      </w:pPr>
      <w:r>
        <w:rPr/>
        <w:t>______________________________</w:t>
      </w:r>
    </w:p>
    <w:p>
      <w:pPr>
        <w:pStyle w:val="PreformattedText"/>
        <w:bidi w:val="0"/>
        <w:spacing w:before="0" w:after="0"/>
        <w:jc w:val="left"/>
        <w:rPr/>
      </w:pPr>
      <w:r>
        <w:rPr/>
        <w:t>Michael A. Kaufman, Managing Member</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 Michael A. Kaufman</w:t>
      </w:r>
    </w:p>
    <w:p>
      <w:pPr>
        <w:pStyle w:val="PreformattedText"/>
        <w:bidi w:val="0"/>
        <w:spacing w:before="0" w:after="0"/>
        <w:jc w:val="left"/>
        <w:rPr/>
      </w:pPr>
      <w:r>
        <w:rPr/>
      </w:r>
    </w:p>
    <w:p>
      <w:pPr>
        <w:pStyle w:val="PreformattedText"/>
        <w:bidi w:val="0"/>
        <w:spacing w:before="0" w:after="0"/>
        <w:jc w:val="left"/>
        <w:rPr/>
      </w:pPr>
      <w:r>
        <w:rPr/>
        <w:t>______________________________</w:t>
      </w:r>
    </w:p>
    <w:p>
      <w:pPr>
        <w:pStyle w:val="PreformattedText"/>
        <w:bidi w:val="0"/>
        <w:spacing w:before="0" w:after="283"/>
        <w:jc w:val="left"/>
        <w:rPr/>
      </w:pPr>
      <w:r>
        <w:rPr/>
        <w:t>MICHAEL A. KAUFMAN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1448</Words>
  <Characters>7436</Characters>
  <CharactersWithSpaces>8845</CharactersWithSpaces>
  <Paragraphs>281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