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627380</wp:posOffset>
            </wp:positionH>
            <wp:positionV relativeFrom="page">
              <wp:posOffset>694690</wp:posOffset>
            </wp:positionV>
            <wp:extent cx="629348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3485" cy="33655"/>
                    </a:xfrm>
                    <a:prstGeom prst="rect">
                      <a:avLst/>
                    </a:prstGeom>
                    <a:noFill/>
                  </pic:spPr>
                </pic:pic>
              </a:graphicData>
            </a:graphic>
          </wp:anchor>
        </w:drawing>
        <w:drawing>
          <wp:anchor simplePos="0" relativeHeight="251657728" behindDoc="1" locked="0" layoutInCell="0" allowOverlap="1">
            <wp:simplePos x="0" y="0"/>
            <wp:positionH relativeFrom="page">
              <wp:posOffset>627380</wp:posOffset>
            </wp:positionH>
            <wp:positionV relativeFrom="page">
              <wp:posOffset>779145</wp:posOffset>
            </wp:positionV>
            <wp:extent cx="6293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3485" cy="8255"/>
                    </a:xfrm>
                    <a:prstGeom prst="rect">
                      <a:avLst/>
                    </a:prstGeom>
                    <a:noFill/>
                  </pic:spPr>
                </pic:pic>
              </a:graphicData>
            </a:graphic>
          </wp:anchor>
        </w:drawing>
        <w:t>UNITED STATES</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104140</wp:posOffset>
            </wp:positionV>
            <wp:extent cx="1581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1785" cy="17145"/>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135890</wp:posOffset>
            </wp:positionV>
            <wp:extent cx="15817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3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ind w:left="300" w:hanging="293"/>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4" w:lineRule="exact"/>
        <w:rPr>
          <w:sz w:val="24"/>
          <w:szCs w:val="24"/>
          <w:color w:val="auto"/>
        </w:rPr>
      </w:pPr>
    </w:p>
    <w:p>
      <w:pPr>
        <w:ind w:left="320"/>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spacing w:after="0" w:line="82" w:lineRule="exact"/>
        <w:rPr>
          <w:sz w:val="24"/>
          <w:szCs w:val="24"/>
          <w:color w:val="auto"/>
        </w:rPr>
      </w:pPr>
    </w:p>
    <w:p>
      <w:pPr>
        <w:ind w:left="300" w:hanging="293"/>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8"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b w:val="1"/>
                <w:bCs w:val="1"/>
                <w:color w:val="auto"/>
                <w:w w:val="93"/>
              </w:rPr>
              <w:t>For the transition period from</w:t>
            </w:r>
          </w:p>
        </w:tc>
        <w:tc>
          <w:tcPr>
            <w:tcW w:w="820" w:type="dxa"/>
            <w:vAlign w:val="bottom"/>
          </w:tcPr>
          <w:p>
            <w:pPr>
              <w:spacing w:after="0"/>
              <w:rPr>
                <w:sz w:val="14"/>
                <w:szCs w:val="14"/>
                <w:color w:val="auto"/>
              </w:rPr>
            </w:pPr>
          </w:p>
        </w:tc>
        <w:tc>
          <w:tcPr>
            <w:tcW w:w="2760" w:type="dxa"/>
            <w:vAlign w:val="bottom"/>
            <w:gridSpan w:val="3"/>
          </w:tcPr>
          <w:p>
            <w:pPr>
              <w:ind w:left="60"/>
              <w:spacing w:after="0"/>
              <w:rPr>
                <w:sz w:val="20"/>
                <w:szCs w:val="20"/>
                <w:color w:val="auto"/>
              </w:rPr>
            </w:pPr>
            <w:r>
              <w:rPr>
                <w:rFonts w:ascii="Arial" w:cs="Arial" w:eastAsia="Arial" w:hAnsi="Arial"/>
                <w:sz w:val="14"/>
                <w:szCs w:val="14"/>
                <w:b w:val="1"/>
                <w:bCs w:val="1"/>
                <w:color w:val="auto"/>
              </w:rPr>
              <w:t>to</w:t>
            </w:r>
          </w:p>
        </w:tc>
      </w:tr>
      <w:tr>
        <w:trPr>
          <w:trHeight w:val="209"/>
        </w:trPr>
        <w:tc>
          <w:tcPr>
            <w:tcW w:w="18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720" w:type="dxa"/>
            <w:vAlign w:val="bottom"/>
          </w:tcPr>
          <w:p>
            <w:pPr>
              <w:jc w:val="right"/>
              <w:ind w:right="429"/>
              <w:spacing w:after="0"/>
              <w:rPr>
                <w:sz w:val="20"/>
                <w:szCs w:val="20"/>
                <w:color w:val="auto"/>
              </w:rPr>
            </w:pPr>
            <w:r>
              <w:rPr>
                <w:rFonts w:ascii="Arial" w:cs="Arial" w:eastAsia="Arial" w:hAnsi="Arial"/>
                <w:sz w:val="14"/>
                <w:szCs w:val="14"/>
                <w:b w:val="1"/>
                <w:bCs w:val="1"/>
                <w:color w:val="auto"/>
              </w:rPr>
              <w:t>001-33357</w:t>
            </w:r>
          </w:p>
        </w:tc>
      </w:tr>
      <w:tr>
        <w:trPr>
          <w:trHeight w:val="184"/>
        </w:trPr>
        <w:tc>
          <w:tcPr>
            <w:tcW w:w="1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20" w:type="dxa"/>
            <w:vAlign w:val="bottom"/>
          </w:tcPr>
          <w:p>
            <w:pPr>
              <w:jc w:val="center"/>
              <w:ind w:left="69"/>
              <w:spacing w:after="0"/>
              <w:rPr>
                <w:sz w:val="20"/>
                <w:szCs w:val="20"/>
                <w:color w:val="auto"/>
              </w:rPr>
            </w:pPr>
            <w:r>
              <w:rPr>
                <w:rFonts w:ascii="Arial" w:cs="Arial" w:eastAsia="Arial" w:hAnsi="Arial"/>
                <w:sz w:val="14"/>
                <w:szCs w:val="14"/>
                <w:b w:val="1"/>
                <w:bCs w:val="1"/>
                <w:color w:val="auto"/>
                <w:w w:val="91"/>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107950</wp:posOffset>
            </wp:positionV>
            <wp:extent cx="1581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290"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PROTALIX BIOTHERAPEUTICS,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104140</wp:posOffset>
            </wp:positionV>
            <wp:extent cx="15817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1785" cy="17145"/>
                    </a:xfrm>
                    <a:prstGeom prst="rect">
                      <a:avLst/>
                    </a:prstGeom>
                    <a:noFill/>
                  </pic:spPr>
                </pic:pic>
              </a:graphicData>
            </a:graphic>
          </wp:anchor>
        </w:drawing>
      </w:r>
    </w:p>
    <w:p>
      <w:pPr>
        <w:spacing w:after="0" w:line="314"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8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87"/>
              </w:rPr>
              <w:t>(State 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3940" w:type="dxa"/>
            <w:vAlign w:val="bottom"/>
            <w:gridSpan w:val="4"/>
          </w:tcPr>
          <w:p>
            <w:pPr>
              <w:spacing w:after="0"/>
              <w:rPr>
                <w:sz w:val="14"/>
                <w:szCs w:val="14"/>
                <w:color w:val="auto"/>
              </w:rPr>
            </w:pPr>
          </w:p>
        </w:tc>
        <w:tc>
          <w:tcPr>
            <w:tcW w:w="1260" w:type="dxa"/>
            <w:vAlign w:val="bottom"/>
            <w:gridSpan w:val="5"/>
          </w:tcPr>
          <w:p>
            <w:pPr>
              <w:jc w:val="center"/>
              <w:ind w:left="151"/>
              <w:spacing w:after="0"/>
              <w:rPr>
                <w:sz w:val="20"/>
                <w:szCs w:val="20"/>
                <w:color w:val="auto"/>
              </w:rPr>
            </w:pPr>
            <w:r>
              <w:rPr>
                <w:rFonts w:ascii="Arial" w:cs="Arial" w:eastAsia="Arial" w:hAnsi="Arial"/>
                <w:sz w:val="14"/>
                <w:szCs w:val="14"/>
                <w:b w:val="1"/>
                <w:bCs w:val="1"/>
                <w:color w:val="auto"/>
                <w:w w:val="90"/>
              </w:rPr>
              <w:t>__65-0643773__</w:t>
            </w: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80" w:type="dxa"/>
            <w:vAlign w:val="bottom"/>
            <w:gridSpan w:val="2"/>
            <w:vMerge w:val="continue"/>
          </w:tcPr>
          <w:p>
            <w:pPr>
              <w:spacing w:after="0"/>
              <w:rPr>
                <w:sz w:val="10"/>
                <w:szCs w:val="10"/>
                <w:color w:val="auto"/>
              </w:rPr>
            </w:pPr>
          </w:p>
        </w:tc>
        <w:tc>
          <w:tcPr>
            <w:tcW w:w="4520" w:type="dxa"/>
            <w:vAlign w:val="bottom"/>
            <w:gridSpan w:val="5"/>
          </w:tcPr>
          <w:p>
            <w:pPr>
              <w:ind w:left="40"/>
              <w:spacing w:after="0" w:line="116" w:lineRule="exact"/>
              <w:rPr>
                <w:sz w:val="20"/>
                <w:szCs w:val="20"/>
                <w:color w:val="auto"/>
              </w:rPr>
            </w:pPr>
            <w:r>
              <w:rPr>
                <w:rFonts w:ascii="Arial" w:cs="Arial" w:eastAsia="Arial" w:hAnsi="Arial"/>
                <w:sz w:val="13"/>
                <w:szCs w:val="13"/>
                <w:b w:val="1"/>
                <w:bCs w:val="1"/>
                <w:color w:val="auto"/>
              </w:rPr>
              <w:t>other jurisdiction</w:t>
            </w:r>
          </w:p>
        </w:tc>
        <w:tc>
          <w:tcPr>
            <w:tcW w:w="1260" w:type="dxa"/>
            <w:vAlign w:val="bottom"/>
            <w:gridSpan w:val="5"/>
          </w:tcPr>
          <w:p>
            <w:pPr>
              <w:jc w:val="center"/>
              <w:ind w:left="131"/>
              <w:spacing w:after="0" w:line="116"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4"/>
        </w:trPr>
        <w:tc>
          <w:tcPr>
            <w:tcW w:w="5400" w:type="dxa"/>
            <w:vAlign w:val="bottom"/>
            <w:gridSpan w:val="7"/>
          </w:tcPr>
          <w:p>
            <w:pPr>
              <w:jc w:val="center"/>
              <w:ind w:right="3029"/>
              <w:spacing w:after="0"/>
              <w:rPr>
                <w:sz w:val="20"/>
                <w:szCs w:val="20"/>
                <w:color w:val="auto"/>
              </w:rPr>
            </w:pPr>
            <w:r>
              <w:rPr>
                <w:rFonts w:ascii="Arial" w:cs="Arial" w:eastAsia="Arial" w:hAnsi="Arial"/>
                <w:sz w:val="14"/>
                <w:szCs w:val="14"/>
                <w:b w:val="1"/>
                <w:bCs w:val="1"/>
                <w:color w:val="auto"/>
                <w:w w:val="91"/>
              </w:rPr>
              <w:t>of incorporation or organization)</w:t>
            </w:r>
          </w:p>
        </w:tc>
        <w:tc>
          <w:tcPr>
            <w:tcW w:w="1260" w:type="dxa"/>
            <w:vAlign w:val="bottom"/>
            <w:gridSpan w:val="5"/>
          </w:tcPr>
          <w:p>
            <w:pPr>
              <w:jc w:val="center"/>
              <w:ind w:left="9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53"/>
        </w:trPr>
        <w:tc>
          <w:tcPr>
            <w:tcW w:w="5400" w:type="dxa"/>
            <w:vAlign w:val="bottom"/>
            <w:gridSpan w:val="7"/>
          </w:tcPr>
          <w:p>
            <w:pPr>
              <w:jc w:val="center"/>
              <w:ind w:right="2989"/>
              <w:spacing w:after="0"/>
              <w:rPr>
                <w:sz w:val="20"/>
                <w:szCs w:val="20"/>
                <w:color w:val="auto"/>
              </w:rPr>
            </w:pPr>
            <w:r>
              <w:rPr>
                <w:rFonts w:ascii="Arial" w:cs="Arial" w:eastAsia="Arial" w:hAnsi="Arial"/>
                <w:sz w:val="14"/>
                <w:szCs w:val="14"/>
                <w:b w:val="1"/>
                <w:bCs w:val="1"/>
                <w:color w:val="auto"/>
                <w:w w:val="92"/>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9"/>
              <w:spacing w:after="0" w:line="146" w:lineRule="exact"/>
              <w:rPr>
                <w:sz w:val="20"/>
                <w:szCs w:val="20"/>
                <w:color w:val="auto"/>
              </w:rPr>
            </w:pPr>
            <w:r>
              <w:rPr>
                <w:rFonts w:ascii="Arial" w:cs="Arial" w:eastAsia="Arial" w:hAnsi="Arial"/>
                <w:sz w:val="14"/>
                <w:szCs w:val="14"/>
                <w:b w:val="1"/>
                <w:bCs w:val="1"/>
                <w:color w:val="auto"/>
                <w:w w:val="91"/>
              </w:rPr>
              <w:t>Suite 100</w:t>
            </w:r>
          </w:p>
        </w:tc>
        <w:tc>
          <w:tcPr>
            <w:tcW w:w="540" w:type="dxa"/>
            <w:vAlign w:val="bottom"/>
            <w:gridSpan w:val="2"/>
            <w:vMerge w:val="restart"/>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07601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4"/>
              </w:rPr>
              <w:t>(Address of</w:t>
            </w:r>
          </w:p>
        </w:tc>
        <w:tc>
          <w:tcPr>
            <w:tcW w:w="98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Hackensack, NJ</w:t>
            </w:r>
          </w:p>
        </w:tc>
        <w:tc>
          <w:tcPr>
            <w:tcW w:w="3740" w:type="dxa"/>
            <w:vAlign w:val="bottom"/>
            <w:gridSpan w:val="3"/>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8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Arial" w:cs="Arial" w:eastAsia="Arial" w:hAnsi="Arial"/>
                <w:sz w:val="14"/>
                <w:szCs w:val="14"/>
                <w:b w:val="1"/>
                <w:bCs w:val="1"/>
                <w:color w:val="auto"/>
              </w:rPr>
              <w:t>principal executive offices)</w:t>
            </w:r>
          </w:p>
        </w:tc>
        <w:tc>
          <w:tcPr>
            <w:tcW w:w="1260" w:type="dxa"/>
            <w:vAlign w:val="bottom"/>
            <w:gridSpan w:val="5"/>
          </w:tcPr>
          <w:p>
            <w:pPr>
              <w:jc w:val="center"/>
              <w:ind w:left="111"/>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187"/>
        </w:trPr>
        <w:tc>
          <w:tcPr>
            <w:tcW w:w="4100" w:type="dxa"/>
            <w:vAlign w:val="bottom"/>
            <w:gridSpan w:val="6"/>
          </w:tcPr>
          <w:p>
            <w:pPr>
              <w:jc w:val="right"/>
              <w:spacing w:after="0"/>
              <w:rPr>
                <w:sz w:val="20"/>
                <w:szCs w:val="20"/>
                <w:color w:val="auto"/>
              </w:rPr>
            </w:pPr>
            <w:r>
              <w:rPr>
                <w:rFonts w:ascii="Arial" w:cs="Arial" w:eastAsia="Arial" w:hAnsi="Arial"/>
                <w:sz w:val="14"/>
                <w:szCs w:val="14"/>
                <w:b w:val="1"/>
                <w:bCs w:val="1"/>
                <w:u w:val="single" w:color="auto"/>
                <w:color w:val="auto"/>
              </w:rPr>
              <w:t>(201)</w:t>
            </w:r>
            <w:r>
              <w:rPr>
                <w:rFonts w:ascii="Arial" w:cs="Arial" w:eastAsia="Arial" w:hAnsi="Arial"/>
                <w:sz w:val="14"/>
                <w:szCs w:val="14"/>
                <w:b w:val="1"/>
                <w:bCs w:val="1"/>
                <w:color w:val="auto"/>
              </w:rPr>
              <w:t>-696-9345</w:t>
            </w: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N/A</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6293485" cy="227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3485" cy="227330"/>
                    </a:xfrm>
                    <a:prstGeom prst="rect">
                      <a:avLst/>
                    </a:prstGeom>
                    <a:noFill/>
                  </pic:spPr>
                </pic:pic>
              </a:graphicData>
            </a:graphic>
          </wp:anchor>
        </w:drawing>
      </w:r>
    </w:p>
    <w:p>
      <w:pPr>
        <w:spacing w:after="0" w:line="97" w:lineRule="exact"/>
        <w:rPr>
          <w:sz w:val="24"/>
          <w:szCs w:val="24"/>
          <w:color w:val="auto"/>
        </w:rPr>
      </w:pPr>
    </w:p>
    <w:tbl>
      <w:tblPr>
        <w:tblLayout w:type="fixed"/>
        <w:tblInd w:w="620" w:type="dxa"/>
        <w:tblCellMar>
          <w:top w:w="0" w:type="dxa"/>
          <w:left w:w="0" w:type="dxa"/>
          <w:bottom w:w="0" w:type="dxa"/>
          <w:right w:w="0" w:type="dxa"/>
        </w:tblCellMar>
      </w:tblPr>
      <w:tr>
        <w:trPr>
          <w:trHeight w:val="163"/>
        </w:trPr>
        <w:tc>
          <w:tcPr>
            <w:tcW w:w="2820" w:type="dxa"/>
            <w:vAlign w:val="bottom"/>
          </w:tcPr>
          <w:p>
            <w:pPr>
              <w:jc w:val="center"/>
              <w:ind w:right="889"/>
              <w:spacing w:after="0"/>
              <w:rPr>
                <w:sz w:val="20"/>
                <w:szCs w:val="20"/>
                <w:color w:val="auto"/>
              </w:rPr>
            </w:pPr>
            <w:r>
              <w:rPr>
                <w:rFonts w:ascii="Arial" w:cs="Arial" w:eastAsia="Arial" w:hAnsi="Arial"/>
                <w:sz w:val="14"/>
                <w:szCs w:val="14"/>
                <w:b w:val="1"/>
                <w:bCs w:val="1"/>
                <w:color w:val="auto"/>
                <w:w w:val="87"/>
              </w:rPr>
              <w:t>Title of each class</w:t>
            </w:r>
          </w:p>
        </w:tc>
        <w:tc>
          <w:tcPr>
            <w:tcW w:w="2860" w:type="dxa"/>
            <w:vAlign w:val="bottom"/>
          </w:tcPr>
          <w:p>
            <w:pPr>
              <w:jc w:val="center"/>
              <w:ind w:left="109"/>
              <w:spacing w:after="0"/>
              <w:rPr>
                <w:sz w:val="20"/>
                <w:szCs w:val="20"/>
                <w:color w:val="auto"/>
              </w:rPr>
            </w:pPr>
            <w:r>
              <w:rPr>
                <w:rFonts w:ascii="Arial" w:cs="Arial" w:eastAsia="Arial" w:hAnsi="Arial"/>
                <w:sz w:val="14"/>
                <w:szCs w:val="14"/>
                <w:b w:val="1"/>
                <w:bCs w:val="1"/>
                <w:color w:val="auto"/>
                <w:w w:val="91"/>
              </w:rPr>
              <w:t>Trading Symbol(s)</w:t>
            </w:r>
          </w:p>
        </w:tc>
        <w:tc>
          <w:tcPr>
            <w:tcW w:w="3400" w:type="dxa"/>
            <w:vAlign w:val="bottom"/>
          </w:tcPr>
          <w:p>
            <w:pPr>
              <w:jc w:val="center"/>
              <w:ind w:left="709"/>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80"/>
        </w:trPr>
        <w:tc>
          <w:tcPr>
            <w:tcW w:w="2820" w:type="dxa"/>
            <w:vAlign w:val="bottom"/>
          </w:tcPr>
          <w:p>
            <w:pPr>
              <w:jc w:val="center"/>
              <w:ind w:right="889"/>
              <w:spacing w:after="0"/>
              <w:rPr>
                <w:sz w:val="20"/>
                <w:szCs w:val="20"/>
                <w:color w:val="auto"/>
              </w:rPr>
            </w:pPr>
            <w:r>
              <w:rPr>
                <w:rFonts w:ascii="Arial" w:cs="Arial" w:eastAsia="Arial" w:hAnsi="Arial"/>
                <w:sz w:val="14"/>
                <w:szCs w:val="14"/>
                <w:color w:val="auto"/>
                <w:w w:val="90"/>
              </w:rPr>
              <w:t>Common stock, $0.001 par value</w:t>
            </w:r>
          </w:p>
        </w:tc>
        <w:tc>
          <w:tcPr>
            <w:tcW w:w="2860" w:type="dxa"/>
            <w:vAlign w:val="bottom"/>
          </w:tcPr>
          <w:p>
            <w:pPr>
              <w:jc w:val="center"/>
              <w:ind w:left="129"/>
              <w:spacing w:after="0"/>
              <w:rPr>
                <w:sz w:val="20"/>
                <w:szCs w:val="20"/>
                <w:color w:val="auto"/>
              </w:rPr>
            </w:pPr>
            <w:r>
              <w:rPr>
                <w:rFonts w:ascii="Arial" w:cs="Arial" w:eastAsia="Arial" w:hAnsi="Arial"/>
                <w:sz w:val="14"/>
                <w:szCs w:val="14"/>
                <w:color w:val="auto"/>
                <w:w w:val="98"/>
              </w:rPr>
              <w:t>PLX</w:t>
            </w:r>
          </w:p>
        </w:tc>
        <w:tc>
          <w:tcPr>
            <w:tcW w:w="3400" w:type="dxa"/>
            <w:vAlign w:val="bottom"/>
          </w:tcPr>
          <w:p>
            <w:pPr>
              <w:jc w:val="center"/>
              <w:ind w:left="689"/>
              <w:spacing w:after="0"/>
              <w:rPr>
                <w:sz w:val="20"/>
                <w:szCs w:val="20"/>
                <w:color w:val="auto"/>
              </w:rPr>
            </w:pPr>
            <w:r>
              <w:rPr>
                <w:rFonts w:ascii="Arial" w:cs="Arial" w:eastAsia="Arial" w:hAnsi="Arial"/>
                <w:sz w:val="14"/>
                <w:szCs w:val="14"/>
                <w:color w:val="auto"/>
                <w:w w:val="94"/>
              </w:rPr>
              <w:t>NYSE American</w:t>
            </w:r>
          </w:p>
        </w:tc>
      </w:tr>
    </w:tbl>
    <w:p>
      <w:pPr>
        <w:spacing w:after="0" w:line="59" w:lineRule="exact"/>
        <w:rPr>
          <w:sz w:val="24"/>
          <w:szCs w:val="24"/>
          <w:color w:val="auto"/>
        </w:rPr>
      </w:pPr>
    </w:p>
    <w:p>
      <w:pPr>
        <w:ind w:right="20"/>
        <w:spacing w:after="0" w:line="270"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7" w:lineRule="exact"/>
        <w:rPr>
          <w:sz w:val="24"/>
          <w:szCs w:val="24"/>
          <w:color w:val="auto"/>
        </w:rPr>
      </w:pPr>
    </w:p>
    <w:p>
      <w:pPr>
        <w:ind w:right="220"/>
        <w:spacing w:after="0" w:line="17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6" w:lineRule="exact"/>
        <w:rPr>
          <w:sz w:val="24"/>
          <w:szCs w:val="24"/>
          <w:color w:val="auto"/>
        </w:rPr>
      </w:pPr>
    </w:p>
    <w:p>
      <w:pPr>
        <w:ind w:right="140"/>
        <w:spacing w:after="0" w:line="2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2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00" w:type="dxa"/>
            <w:vAlign w:val="bottom"/>
          </w:tcPr>
          <w:p>
            <w:pPr>
              <w:ind w:left="162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320" w:type="dxa"/>
            <w:vAlign w:val="bottom"/>
          </w:tcPr>
          <w:p>
            <w:pPr>
              <w:ind w:left="540"/>
              <w:spacing w:after="0" w:line="172" w:lineRule="exact"/>
              <w:rPr>
                <w:sz w:val="20"/>
                <w:szCs w:val="20"/>
                <w:color w:val="auto"/>
              </w:rPr>
            </w:pPr>
            <w:r>
              <w:rPr>
                <w:rFonts w:ascii="Arial Unicode MS" w:cs="Arial Unicode MS" w:eastAsia="Arial Unicode MS" w:hAnsi="Arial Unicode MS"/>
                <w:sz w:val="14"/>
                <w:szCs w:val="14"/>
                <w:color w:val="auto"/>
              </w:rPr>
              <w:t>⌧</w:t>
            </w:r>
          </w:p>
        </w:tc>
        <w:tc>
          <w:tcPr>
            <w:tcW w:w="3500" w:type="dxa"/>
            <w:vAlign w:val="bottom"/>
          </w:tcPr>
          <w:p>
            <w:pPr>
              <w:ind w:left="162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72" w:lineRule="exact"/>
              <w:rPr>
                <w:sz w:val="20"/>
                <w:szCs w:val="20"/>
                <w:color w:val="auto"/>
              </w:rPr>
            </w:pPr>
            <w:r>
              <w:rPr>
                <w:rFonts w:ascii="Arial Unicode MS" w:cs="Arial Unicode MS" w:eastAsia="Arial Unicode MS" w:hAnsi="Arial Unicode MS"/>
                <w:sz w:val="14"/>
                <w:szCs w:val="14"/>
                <w:color w:val="auto"/>
                <w:w w:val="96"/>
              </w:rPr>
              <w:t>☒</w:t>
            </w:r>
          </w:p>
        </w:tc>
      </w:tr>
      <w:tr>
        <w:trPr>
          <w:trHeight w:val="221"/>
        </w:trPr>
        <w:tc>
          <w:tcPr>
            <w:tcW w:w="18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500" w:type="dxa"/>
            <w:vAlign w:val="bottom"/>
          </w:tcPr>
          <w:p>
            <w:pPr>
              <w:ind w:left="162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56"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right="2440"/>
        <w:spacing w:after="0" w:line="228"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On November 1, 2021, approximately 45,556,647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62934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34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6293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3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629348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3485" cy="33655"/>
                    </a:xfrm>
                    <a:prstGeom prst="rect">
                      <a:avLst/>
                    </a:prstGeom>
                    <a:noFill/>
                  </pic:spPr>
                </pic:pic>
              </a:graphicData>
            </a:graphic>
          </wp:anchor>
        </w:drawing>
      </w:r>
    </w:p>
    <w:p>
      <w:pPr>
        <w:sectPr>
          <w:pgSz w:w="11900" w:h="16838" w:orient="portrait"/>
          <w:cols w:equalWidth="0" w:num="1">
            <w:col w:w="9820"/>
          </w:cols>
          <w:pgMar w:left="980" w:top="1314" w:right="10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r>
      <w:tr>
        <w:trPr>
          <w:trHeight w:val="172"/>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40" w:type="dxa"/>
            <w:vAlign w:val="bottom"/>
            <w:gridSpan w:val="12"/>
          </w:tcPr>
          <w:p>
            <w:pPr>
              <w:jc w:val="center"/>
              <w:ind w:right="2740"/>
              <w:spacing w:after="0" w:line="17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14"/>
                <w:szCs w:val="14"/>
                <w:color w:val="auto"/>
              </w:rPr>
            </w:pPr>
          </w:p>
        </w:tc>
      </w:tr>
      <w:tr>
        <w:trPr>
          <w:trHeight w:val="245"/>
        </w:trPr>
        <w:tc>
          <w:tcPr>
            <w:tcW w:w="78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7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100" w:type="dxa"/>
            <w:vAlign w:val="bottom"/>
            <w:tcBorders>
              <w:top w:val="single" w:sz="8" w:color="0000EE"/>
            </w:tcBorders>
            <w:gridSpan w:val="7"/>
          </w:tcPr>
          <w:p>
            <w:pPr>
              <w:spacing w:after="0"/>
              <w:rPr>
                <w:sz w:val="21"/>
                <w:szCs w:val="21"/>
                <w:color w:val="auto"/>
              </w:rPr>
            </w:pPr>
          </w:p>
        </w:tc>
        <w:tc>
          <w:tcPr>
            <w:tcW w:w="2740" w:type="dxa"/>
            <w:vAlign w:val="bottom"/>
            <w:gridSpan w:val="5"/>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60" w:type="dxa"/>
            <w:vAlign w:val="bottom"/>
            <w:gridSpan w:val="22"/>
          </w:tcPr>
          <w:p>
            <w:pPr>
              <w:spacing w:after="0" w:line="19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w:t>
              </w:r>
            </w:hyperlink>
          </w:p>
        </w:tc>
        <w:tc>
          <w:tcPr>
            <w:tcW w:w="5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tcBorders>
              <w:bottom w:val="single" w:sz="8" w:color="0000EE"/>
            </w:tcBorders>
            <w:gridSpan w:val="15"/>
          </w:tcPr>
          <w:p>
            <w:pPr>
              <w:ind w:left="40"/>
              <w:spacing w:after="0" w:line="192"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Sheets (Unaudited) – As of September 30, 2021 and December 31, 2020</w:t>
              </w:r>
            </w:hyperlink>
          </w:p>
        </w:tc>
        <w:tc>
          <w:tcPr>
            <w:tcW w:w="3400" w:type="dxa"/>
            <w:vAlign w:val="bottom"/>
            <w:gridSpan w:val="7"/>
          </w:tcPr>
          <w:p>
            <w:pPr>
              <w:spacing w:after="0"/>
              <w:rPr>
                <w:sz w:val="16"/>
                <w:szCs w:val="16"/>
                <w:color w:val="auto"/>
              </w:rPr>
            </w:pPr>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99"/>
              </w:rPr>
              <w:t>2</w:t>
            </w:r>
          </w:p>
        </w:tc>
      </w:t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60" w:type="dxa"/>
            <w:vAlign w:val="bottom"/>
            <w:tcBorders>
              <w:bottom w:val="single" w:sz="8" w:color="0000EE"/>
            </w:tcBorders>
            <w:gridSpan w:val="21"/>
          </w:tcPr>
          <w:p>
            <w:pPr>
              <w:spacing w:after="0" w:line="192"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(Unaudited) – For the Nine and Three Months Ended September 30,</w:t>
              </w:r>
            </w:hyperlink>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60" w:type="dxa"/>
            <w:vAlign w:val="bottom"/>
            <w:gridSpan w:val="22"/>
          </w:tcPr>
          <w:p>
            <w:pPr>
              <w:spacing w:after="0" w:line="192" w:lineRule="exact"/>
              <w:rPr>
                <w:rFonts w:ascii="Arial" w:cs="Arial" w:eastAsia="Arial" w:hAnsi="Arial"/>
                <w:sz w:val="18"/>
                <w:szCs w:val="18"/>
                <w:color w:val="0000EE"/>
              </w:rPr>
            </w:pPr>
            <w:hyperlink w:anchor="page4">
              <w:r>
                <w:rPr>
                  <w:rFonts w:ascii="Arial" w:cs="Arial" w:eastAsia="Arial" w:hAnsi="Arial"/>
                  <w:sz w:val="18"/>
                  <w:szCs w:val="18"/>
                  <w:color w:val="0000EE"/>
                </w:rPr>
                <w:t>2021 and 2020</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60" w:type="dxa"/>
            <w:vAlign w:val="bottom"/>
            <w:gridSpan w:val="22"/>
          </w:tcPr>
          <w:p>
            <w:pPr>
              <w:spacing w:after="0" w:line="192"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Changes in Stockholders’ equity (Capital Deficiency) (Unaudited) – For the</w:t>
              </w:r>
            </w:hyperlink>
          </w:p>
        </w:tc>
        <w:tc>
          <w:tcPr>
            <w:tcW w:w="580" w:type="dxa"/>
            <w:vAlign w:val="bottom"/>
          </w:tcPr>
          <w:p>
            <w:pPr>
              <w:spacing w:after="0"/>
              <w:rPr>
                <w:sz w:val="16"/>
                <w:szCs w:val="16"/>
                <w:color w:val="auto"/>
              </w:rPr>
            </w:pPr>
          </w:p>
        </w:tc>
      </w:t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Nine and Three Months Ended September 30, 2021 and 2020</w:t>
              </w:r>
            </w:hyperlink>
          </w:p>
        </w:tc>
        <w:tc>
          <w:tcPr>
            <w:tcW w:w="3840" w:type="dxa"/>
            <w:vAlign w:val="bottom"/>
            <w:tcBorders>
              <w:top w:val="single" w:sz="8" w:color="0000EE"/>
            </w:tcBorders>
            <w:gridSpan w:val="5"/>
          </w:tcPr>
          <w:p>
            <w:pPr>
              <w:spacing w:after="0"/>
              <w:rPr>
                <w:sz w:val="16"/>
                <w:szCs w:val="16"/>
                <w:color w:val="auto"/>
              </w:rPr>
            </w:pPr>
          </w:p>
        </w:tc>
        <w:tc>
          <w:tcPr>
            <w:tcW w:w="380" w:type="dxa"/>
            <w:vAlign w:val="bottom"/>
            <w:gridSpan w:val="3"/>
          </w:tcPr>
          <w:p>
            <w:pPr>
              <w:spacing w:after="0"/>
              <w:rPr>
                <w:sz w:val="16"/>
                <w:szCs w:val="16"/>
                <w:color w:val="auto"/>
              </w:rPr>
            </w:pPr>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99"/>
              </w:rPr>
              <w:t>4</w:t>
            </w:r>
          </w:p>
        </w:tc>
      </w:t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60" w:type="dxa"/>
            <w:vAlign w:val="bottom"/>
            <w:gridSpan w:val="22"/>
          </w:tcPr>
          <w:p>
            <w:pPr>
              <w:spacing w:after="0" w:line="19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 For the Nine Months ended September 30, 2021 and</w:t>
              </w:r>
            </w:hyperlink>
          </w:p>
        </w:tc>
        <w:tc>
          <w:tcPr>
            <w:tcW w:w="580" w:type="dxa"/>
            <w:vAlign w:val="bottom"/>
          </w:tcPr>
          <w:p>
            <w:pPr>
              <w:spacing w:after="0"/>
              <w:rPr>
                <w:sz w:val="16"/>
                <w:szCs w:val="16"/>
                <w:color w:val="auto"/>
              </w:rPr>
            </w:pPr>
          </w:p>
        </w:tc>
      </w:t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2020</w:t>
              </w:r>
            </w:hyperlink>
          </w:p>
        </w:tc>
        <w:tc>
          <w:tcPr>
            <w:tcW w:w="2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99"/>
              </w:rPr>
              <w:t>5</w:t>
            </w:r>
          </w:p>
        </w:tc>
      </w:t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Borders>
              <w:bottom w:val="single" w:sz="8" w:color="0000EE"/>
            </w:tcBorders>
            <w:gridSpan w:val="12"/>
          </w:tcPr>
          <w:p>
            <w:pPr>
              <w:spacing w:after="0" w:line="192"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w:t>
              </w:r>
            </w:hyperlink>
          </w:p>
        </w:tc>
        <w:tc>
          <w:tcPr>
            <w:tcW w:w="4640" w:type="dxa"/>
            <w:vAlign w:val="bottom"/>
            <w:gridSpan w:val="10"/>
          </w:tcPr>
          <w:p>
            <w:pPr>
              <w:spacing w:after="0"/>
              <w:rPr>
                <w:sz w:val="16"/>
                <w:szCs w:val="16"/>
                <w:color w:val="auto"/>
              </w:rPr>
            </w:pPr>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99"/>
              </w:rPr>
              <w:t>7</w:t>
            </w:r>
          </w:p>
        </w:tc>
      </w:tr>
      <w:tr>
        <w:trPr>
          <w:trHeight w:val="192"/>
        </w:trPr>
        <w:tc>
          <w:tcPr>
            <w:tcW w:w="780" w:type="dxa"/>
            <w:vAlign w:val="bottom"/>
            <w:gridSpan w:val="4"/>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8560" w:type="dxa"/>
            <w:vAlign w:val="bottom"/>
            <w:gridSpan w:val="22"/>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15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780" w:type="dxa"/>
            <w:vAlign w:val="bottom"/>
            <w:gridSpan w:val="4"/>
          </w:tcPr>
          <w:p>
            <w:pPr>
              <w:spacing w:after="0" w:line="192"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8560" w:type="dxa"/>
            <w:vAlign w:val="bottom"/>
            <w:gridSpan w:val="22"/>
          </w:tcPr>
          <w:p>
            <w:pPr>
              <w:spacing w:after="0" w:line="192"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28</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780" w:type="dxa"/>
            <w:vAlign w:val="bottom"/>
            <w:gridSpan w:val="4"/>
          </w:tcPr>
          <w:p>
            <w:pPr>
              <w:spacing w:after="0" w:line="192"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8560" w:type="dxa"/>
            <w:vAlign w:val="bottom"/>
            <w:gridSpan w:val="22"/>
          </w:tcPr>
          <w:p>
            <w:pPr>
              <w:spacing w:after="0" w:line="192"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29</w:t>
            </w:r>
          </w:p>
        </w:tc>
      </w:tr>
      <w:tr>
        <w:trPr>
          <w:trHeight w:val="192"/>
        </w:trPr>
        <w:tc>
          <w:tcPr>
            <w:tcW w:w="50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40" w:type="dxa"/>
            <w:vAlign w:val="bottom"/>
            <w:gridSpan w:val="12"/>
          </w:tcPr>
          <w:p>
            <w:pPr>
              <w:jc w:val="center"/>
              <w:ind w:right="2720"/>
              <w:spacing w:after="0" w:line="192"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580" w:type="dxa"/>
            <w:vAlign w:val="bottom"/>
          </w:tcPr>
          <w:p>
            <w:pPr>
              <w:spacing w:after="0"/>
              <w:rPr>
                <w:sz w:val="16"/>
                <w:szCs w:val="16"/>
                <w:color w:val="auto"/>
              </w:rPr>
            </w:pPr>
          </w:p>
        </w:tc>
      </w:tr>
      <w:tr>
        <w:trPr>
          <w:trHeight w:val="245"/>
        </w:trPr>
        <w:tc>
          <w:tcPr>
            <w:tcW w:w="78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w:t>
              </w:r>
            </w:hyperlink>
          </w:p>
        </w:tc>
        <w:tc>
          <w:tcPr>
            <w:tcW w:w="2880" w:type="dxa"/>
            <w:vAlign w:val="bottom"/>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800" w:type="dxa"/>
            <w:vAlign w:val="bottom"/>
            <w:tcBorders>
              <w:top w:val="single" w:sz="8" w:color="0000EE"/>
            </w:tcBorders>
            <w:gridSpan w:val="5"/>
          </w:tcPr>
          <w:p>
            <w:pPr>
              <w:spacing w:after="0"/>
              <w:rPr>
                <w:sz w:val="21"/>
                <w:szCs w:val="21"/>
                <w:color w:val="auto"/>
              </w:rPr>
            </w:pPr>
          </w:p>
        </w:tc>
        <w:tc>
          <w:tcPr>
            <w:tcW w:w="2880" w:type="dxa"/>
            <w:vAlign w:val="bottom"/>
            <w:gridSpan w:val="6"/>
          </w:tcPr>
          <w:p>
            <w:pPr>
              <w:spacing w:after="0"/>
              <w:rPr>
                <w:sz w:val="21"/>
                <w:szCs w:val="21"/>
                <w:color w:val="auto"/>
              </w:rPr>
            </w:pPr>
          </w:p>
        </w:tc>
        <w:tc>
          <w:tcPr>
            <w:tcW w:w="580" w:type="dxa"/>
            <w:vAlign w:val="bottom"/>
          </w:tcPr>
          <w:p>
            <w:pPr>
              <w:jc w:val="center"/>
              <w:ind w:left="32"/>
              <w:spacing w:after="0"/>
              <w:rPr>
                <w:sz w:val="20"/>
                <w:szCs w:val="20"/>
                <w:color w:val="auto"/>
              </w:rPr>
            </w:pPr>
            <w:r>
              <w:rPr>
                <w:rFonts w:ascii="Arial" w:cs="Arial" w:eastAsia="Arial" w:hAnsi="Arial"/>
                <w:sz w:val="18"/>
                <w:szCs w:val="18"/>
                <w:color w:val="auto"/>
                <w:w w:val="89"/>
              </w:rPr>
              <w:t>30</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640" w:type="dxa"/>
            <w:vAlign w:val="bottom"/>
            <w:gridSpan w:val="2"/>
          </w:tcPr>
          <w:p>
            <w:pPr>
              <w:spacing w:after="0" w:line="192"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1A.</w:t>
              </w:r>
            </w:hyperlink>
          </w:p>
        </w:tc>
        <w:tc>
          <w:tcPr>
            <w:tcW w:w="140" w:type="dxa"/>
            <w:vAlign w:val="bottom"/>
            <w:gridSpan w:val="2"/>
          </w:tcPr>
          <w:p>
            <w:pPr>
              <w:spacing w:after="0"/>
              <w:rPr>
                <w:sz w:val="16"/>
                <w:szCs w:val="16"/>
                <w:color w:val="auto"/>
              </w:rPr>
            </w:pPr>
          </w:p>
        </w:tc>
        <w:tc>
          <w:tcPr>
            <w:tcW w:w="8560" w:type="dxa"/>
            <w:vAlign w:val="bottom"/>
            <w:gridSpan w:val="22"/>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30</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640" w:type="dxa"/>
            <w:vAlign w:val="bottom"/>
            <w:gridSpan w:val="2"/>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140" w:type="dxa"/>
            <w:vAlign w:val="bottom"/>
            <w:gridSpan w:val="2"/>
          </w:tcPr>
          <w:p>
            <w:pPr>
              <w:spacing w:after="0"/>
              <w:rPr>
                <w:sz w:val="16"/>
                <w:szCs w:val="16"/>
                <w:color w:val="auto"/>
              </w:rPr>
            </w:pPr>
          </w:p>
        </w:tc>
        <w:tc>
          <w:tcPr>
            <w:tcW w:w="8560" w:type="dxa"/>
            <w:vAlign w:val="bottom"/>
            <w:gridSpan w:val="22"/>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30</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780" w:type="dxa"/>
            <w:vAlign w:val="bottom"/>
            <w:gridSpan w:val="4"/>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8560" w:type="dxa"/>
            <w:vAlign w:val="bottom"/>
            <w:gridSpan w:val="22"/>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30</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28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780" w:type="dxa"/>
            <w:vAlign w:val="bottom"/>
            <w:gridSpan w:val="4"/>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8560" w:type="dxa"/>
            <w:vAlign w:val="bottom"/>
            <w:gridSpan w:val="22"/>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30</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8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780" w:type="dxa"/>
            <w:vAlign w:val="bottom"/>
            <w:gridSpan w:val="4"/>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8560" w:type="dxa"/>
            <w:vAlign w:val="bottom"/>
            <w:gridSpan w:val="22"/>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30</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8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780" w:type="dxa"/>
            <w:vAlign w:val="bottom"/>
            <w:gridSpan w:val="4"/>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8560" w:type="dxa"/>
            <w:vAlign w:val="bottom"/>
            <w:gridSpan w:val="22"/>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30</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780" w:type="dxa"/>
            <w:vAlign w:val="bottom"/>
            <w:gridSpan w:val="4"/>
          </w:tcPr>
          <w:p>
            <w:pPr>
              <w:spacing w:after="0" w:line="192"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Signatures</w:t>
              </w:r>
            </w:hyperlink>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left="32"/>
              <w:spacing w:after="0" w:line="192" w:lineRule="exact"/>
              <w:rPr>
                <w:sz w:val="20"/>
                <w:szCs w:val="20"/>
                <w:color w:val="auto"/>
              </w:rPr>
            </w:pPr>
            <w:r>
              <w:rPr>
                <w:rFonts w:ascii="Arial" w:cs="Arial" w:eastAsia="Arial" w:hAnsi="Arial"/>
                <w:sz w:val="18"/>
                <w:szCs w:val="18"/>
                <w:color w:val="auto"/>
                <w:w w:val="89"/>
              </w:rPr>
              <w:t>33</w:t>
            </w:r>
          </w:p>
        </w:tc>
      </w:tr>
      <w:tr>
        <w:trPr>
          <w:trHeight w:val="940"/>
        </w:trPr>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7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4"/>
                <w:szCs w:val="14"/>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940" w:type="dxa"/>
            <w:vAlign w:val="bottom"/>
          </w:tcPr>
          <w:p>
            <w:pPr>
              <w:ind w:left="30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Short-term bank deposits</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Trade</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tcBorders>
              <w:bottom w:val="single" w:sz="8" w:color="CCEEFF"/>
            </w:tcBorders>
          </w:tcPr>
          <w:p>
            <w:pPr>
              <w:ind w:left="300"/>
              <w:spacing w:after="0" w:line="204" w:lineRule="exact"/>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auto"/>
            </w:tcBorders>
          </w:tcPr>
          <w:p>
            <w:pPr>
              <w:jc w:val="right"/>
              <w:ind w:right="233"/>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71,224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55,723</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Funds in respect of employee rights upon retirement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 of use assets</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40" w:type="dxa"/>
            <w:vAlign w:val="bottom"/>
            <w:tcBorders>
              <w:bottom w:val="single" w:sz="8" w:color="CCEEFF"/>
            </w:tcBorders>
          </w:tcPr>
          <w:p>
            <w:pPr>
              <w:ind w:left="300"/>
              <w:spacing w:after="0" w:line="205" w:lineRule="exact"/>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3"/>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83,482</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67,934</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(NET OF CAPITAL DEFICIENCY)</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rPr>
              <w:t>Trade</w:t>
            </w:r>
          </w:p>
        </w:tc>
        <w:tc>
          <w:tcPr>
            <w:tcW w:w="420" w:type="dxa"/>
            <w:vAlign w:val="bottom"/>
          </w:tcPr>
          <w:p>
            <w:pPr>
              <w:jc w:val="right"/>
              <w:ind w:right="23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8,436</w:t>
            </w:r>
          </w:p>
        </w:tc>
        <w:tc>
          <w:tcPr>
            <w:tcW w:w="200" w:type="dxa"/>
            <w:vAlign w:val="bottom"/>
          </w:tcPr>
          <w:p>
            <w:pPr>
              <w:spacing w:after="0"/>
              <w:rPr>
                <w:sz w:val="18"/>
                <w:szCs w:val="18"/>
                <w:color w:val="auto"/>
              </w:rPr>
            </w:pPr>
          </w:p>
        </w:tc>
        <w:tc>
          <w:tcPr>
            <w:tcW w:w="380" w:type="dxa"/>
            <w:vAlign w:val="bottom"/>
            <w:gridSpan w:val="2"/>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liability</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Promissory note</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tcBorders>
              <w:bottom w:val="single" w:sz="8" w:color="CCEEFF"/>
            </w:tcBorders>
          </w:tcPr>
          <w:p>
            <w:pPr>
              <w:ind w:left="300"/>
              <w:spacing w:after="0" w:line="204" w:lineRule="exact"/>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auto"/>
            </w:tcBorders>
          </w:tcPr>
          <w:p>
            <w:pPr>
              <w:jc w:val="right"/>
              <w:ind w:right="233"/>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42,764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86,474</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LONG TERM LIABILITIES: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notes</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27,816</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Contracts liability</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for employee rights upon retirement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 term liabilities</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tcBorders>
              <w:bottom w:val="single" w:sz="8" w:color="CCEEFF"/>
            </w:tcBorders>
          </w:tcPr>
          <w:p>
            <w:pPr>
              <w:ind w:left="300"/>
              <w:spacing w:after="0" w:line="204" w:lineRule="exact"/>
              <w:rPr>
                <w:sz w:val="20"/>
                <w:szCs w:val="20"/>
                <w:color w:val="auto"/>
              </w:rPr>
            </w:pPr>
            <w:r>
              <w:rPr>
                <w:rFonts w:ascii="Arial" w:cs="Arial" w:eastAsia="Arial" w:hAnsi="Arial"/>
                <w:sz w:val="18"/>
                <w:szCs w:val="18"/>
                <w:color w:val="auto"/>
              </w:rPr>
              <w:t>Total long term liabilities</w:t>
            </w:r>
          </w:p>
        </w:tc>
        <w:tc>
          <w:tcPr>
            <w:tcW w:w="420" w:type="dxa"/>
            <w:vAlign w:val="bottom"/>
            <w:tcBorders>
              <w:bottom w:val="single" w:sz="8" w:color="auto"/>
            </w:tcBorders>
          </w:tcPr>
          <w:p>
            <w:pPr>
              <w:jc w:val="right"/>
              <w:ind w:right="233"/>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40,505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8,497</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shd w:val="clear" w:color="auto" w:fill="CCEEFF"/>
          </w:tcPr>
          <w:p>
            <w:pPr>
              <w:ind w:left="300"/>
              <w:spacing w:after="0" w:line="204" w:lineRule="exact"/>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33"/>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83,269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94,971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(CAPITAL DEFICIENCY)</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tcPr>
          <w:p>
            <w:pPr>
              <w:ind w:left="100"/>
              <w:spacing w:after="0" w:line="205" w:lineRule="exact"/>
              <w:rPr>
                <w:sz w:val="20"/>
                <w:szCs w:val="20"/>
                <w:color w:val="auto"/>
              </w:rPr>
            </w:pPr>
            <w:r>
              <w:rPr>
                <w:rFonts w:ascii="Arial" w:cs="Arial" w:eastAsia="Arial" w:hAnsi="Arial"/>
                <w:sz w:val="18"/>
                <w:szCs w:val="18"/>
                <w:color w:val="auto"/>
              </w:rPr>
              <w:t>Total liabilities and stockholders’ equity (net of capital deficiency)</w:t>
            </w:r>
          </w:p>
        </w:tc>
        <w:tc>
          <w:tcPr>
            <w:tcW w:w="420" w:type="dxa"/>
            <w:vAlign w:val="bottom"/>
            <w:tcBorders>
              <w:top w:val="single" w:sz="8" w:color="auto"/>
              <w:bottom w:val="single" w:sz="8" w:color="auto"/>
            </w:tcBorders>
          </w:tcPr>
          <w:p>
            <w:pPr>
              <w:jc w:val="right"/>
              <w:ind w:right="233"/>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83,482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67,934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3" w:name="page4"/>
    <w:bookmarkEnd w:id="3"/>
    <w:p>
      <w:pPr>
        <w:ind w:left="1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PROTALIX BIOTHERAPEUTICS, INC.</w:t>
      </w:r>
    </w:p>
    <w:p>
      <w:pPr>
        <w:spacing w:after="0" w:line="2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(U.S. dollars in thousands, except share and per share data)</w:t>
      </w:r>
    </w:p>
    <w:p>
      <w:pPr>
        <w:spacing w:after="0" w:line="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30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9"/>
        </w:trPr>
        <w:tc>
          <w:tcPr>
            <w:tcW w:w="492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4"/>
                <w:szCs w:val="14"/>
                <w:b w:val="1"/>
                <w:bCs w:val="1"/>
                <w:color w:val="auto"/>
                <w:w w:val="99"/>
              </w:rPr>
              <w:t>September 30, 2021</w:t>
            </w:r>
          </w:p>
        </w:tc>
        <w:tc>
          <w:tcPr>
            <w:tcW w:w="116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87"/>
              </w:rPr>
              <w:t>September 30, 2020</w:t>
            </w:r>
          </w:p>
        </w:tc>
        <w:tc>
          <w:tcPr>
            <w:tcW w:w="140" w:type="dxa"/>
            <w:vAlign w:val="bottom"/>
          </w:tcPr>
          <w:p>
            <w:pPr>
              <w:spacing w:after="0"/>
              <w:rPr>
                <w:sz w:val="12"/>
                <w:szCs w:val="12"/>
                <w:color w:val="auto"/>
              </w:rPr>
            </w:pPr>
          </w:p>
        </w:tc>
        <w:tc>
          <w:tcPr>
            <w:tcW w:w="1300" w:type="dxa"/>
            <w:vAlign w:val="bottom"/>
            <w:tcBorders>
              <w:top w:val="single" w:sz="8" w:color="auto"/>
            </w:tcBorders>
            <w:gridSpan w:val="3"/>
          </w:tcPr>
          <w:p>
            <w:pPr>
              <w:ind w:left="20"/>
              <w:spacing w:after="0" w:line="139" w:lineRule="exact"/>
              <w:rPr>
                <w:sz w:val="20"/>
                <w:szCs w:val="20"/>
                <w:color w:val="auto"/>
              </w:rPr>
            </w:pPr>
            <w:r>
              <w:rPr>
                <w:rFonts w:ascii="Arial" w:cs="Arial" w:eastAsia="Arial" w:hAnsi="Arial"/>
                <w:sz w:val="14"/>
                <w:szCs w:val="14"/>
                <w:b w:val="1"/>
                <w:bCs w:val="1"/>
                <w:color w:val="auto"/>
                <w:w w:val="96"/>
              </w:rPr>
              <w:t>September 30, 2021</w:t>
            </w:r>
          </w:p>
        </w:tc>
        <w:tc>
          <w:tcPr>
            <w:tcW w:w="118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88"/>
              </w:rPr>
              <w:t>September 30, 2020</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 FROM SELLING GOODS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12,260</w:t>
            </w: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11,975</w:t>
            </w: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4,506</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3,296</w:t>
            </w:r>
          </w:p>
        </w:tc>
        <w:tc>
          <w:tcPr>
            <w:tcW w:w="8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REVENUES FROM LICENSE AND R&amp;D SERVICES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17,541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7,494</w:t>
            </w: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43,403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10,790</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20" w:type="dxa"/>
            <w:vAlign w:val="bottom"/>
          </w:tcPr>
          <w:p>
            <w:pPr>
              <w:spacing w:after="0"/>
              <w:rPr>
                <w:sz w:val="20"/>
                <w:szCs w:val="20"/>
                <w:color w:val="auto"/>
              </w:rPr>
            </w:pPr>
            <w:r>
              <w:rPr>
                <w:rFonts w:ascii="Arial" w:cs="Arial" w:eastAsia="Arial" w:hAnsi="Arial"/>
                <w:sz w:val="14"/>
                <w:szCs w:val="14"/>
                <w:b w:val="1"/>
                <w:bCs w:val="1"/>
                <w:color w:val="auto"/>
              </w:rPr>
              <w:t>COST OF GOODS SOLD (1)</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(13,201)</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(8,121)</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(3,703)</w:t>
            </w:r>
          </w:p>
        </w:tc>
        <w:tc>
          <w:tcPr>
            <w:tcW w:w="28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color w:val="auto"/>
              </w:rPr>
              <w:t>(2,868)</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RESEARCH AND DEVELOPMENT EXPENSES (2)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(22,093)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(27,214)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(7,282)</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(7,688)</w:t>
            </w:r>
          </w:p>
        </w:tc>
        <w:tc>
          <w:tcPr>
            <w:tcW w:w="0" w:type="dxa"/>
            <w:vAlign w:val="bottom"/>
          </w:tcPr>
          <w:p>
            <w:pPr>
              <w:spacing w:after="0"/>
              <w:rPr>
                <w:sz w:val="1"/>
                <w:szCs w:val="1"/>
                <w:color w:val="auto"/>
              </w:rPr>
            </w:pPr>
          </w:p>
        </w:tc>
      </w:tr>
      <w:tr>
        <w:trPr>
          <w:trHeight w:val="212"/>
        </w:trPr>
        <w:tc>
          <w:tcPr>
            <w:tcW w:w="4920" w:type="dxa"/>
            <w:vAlign w:val="bottom"/>
          </w:tcPr>
          <w:p>
            <w:pPr>
              <w:spacing w:after="0"/>
              <w:rPr>
                <w:sz w:val="20"/>
                <w:szCs w:val="20"/>
                <w:color w:val="auto"/>
              </w:rPr>
            </w:pPr>
            <w:r>
              <w:rPr>
                <w:rFonts w:ascii="Arial" w:cs="Arial" w:eastAsia="Arial" w:hAnsi="Arial"/>
                <w:sz w:val="14"/>
                <w:szCs w:val="14"/>
                <w:b w:val="1"/>
                <w:bCs w:val="1"/>
                <w:color w:val="auto"/>
              </w:rPr>
              <w:t>SELLING, GENERAL AND ADMINISTRATIVE EXPENSES (3)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(9,263)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(8,197)</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(2,954)</w:t>
            </w:r>
          </w:p>
        </w:tc>
        <w:tc>
          <w:tcPr>
            <w:tcW w:w="28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(14,756)</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(129)</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(1,885)</w:t>
            </w:r>
          </w:p>
        </w:tc>
        <w:tc>
          <w:tcPr>
            <w:tcW w:w="2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(2,582)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FINANCIAL EXPENSES</w:t>
            </w: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(6,613)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(7,150)</w:t>
            </w:r>
          </w:p>
        </w:tc>
        <w:tc>
          <w:tcPr>
            <w:tcW w:w="2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(2,410)</w:t>
            </w:r>
          </w:p>
        </w:tc>
        <w:tc>
          <w:tcPr>
            <w:tcW w:w="280" w:type="dxa"/>
            <w:vAlign w:val="bottom"/>
          </w:tcPr>
          <w:p>
            <w:pPr>
              <w:spacing w:after="0"/>
              <w:rPr>
                <w:sz w:val="16"/>
                <w:szCs w:val="16"/>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color w:val="auto"/>
              </w:rPr>
              <w:t>(1,973)</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FINANCIAL INCOME</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20"/>
                <w:szCs w:val="20"/>
                <w:color w:val="auto"/>
              </w:rPr>
            </w:pPr>
            <w:r>
              <w:rPr>
                <w:rFonts w:ascii="Arial" w:cs="Arial" w:eastAsia="Arial" w:hAnsi="Arial"/>
                <w:sz w:val="14"/>
                <w:szCs w:val="14"/>
                <w:b w:val="1"/>
                <w:bCs w:val="1"/>
                <w:color w:val="auto"/>
              </w:rPr>
              <w:t>FINANCIAL EXPENSES – NET</w:t>
            </w:r>
          </w:p>
        </w:tc>
        <w:tc>
          <w:tcPr>
            <w:tcW w:w="2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(6,210)</w:t>
            </w:r>
          </w:p>
        </w:tc>
        <w:tc>
          <w:tcPr>
            <w:tcW w:w="2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(6,791)</w:t>
            </w:r>
          </w:p>
        </w:tc>
        <w:tc>
          <w:tcPr>
            <w:tcW w:w="2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(2,314)</w:t>
            </w:r>
          </w:p>
        </w:tc>
        <w:tc>
          <w:tcPr>
            <w:tcW w:w="280" w:type="dxa"/>
            <w:vAlign w:val="bottom"/>
          </w:tcPr>
          <w:p>
            <w:pPr>
              <w:spacing w:after="0"/>
              <w:rPr>
                <w:sz w:val="16"/>
                <w:szCs w:val="16"/>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color w:val="auto"/>
              </w:rPr>
              <w:t>(1,855)</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20" w:type="dxa"/>
            <w:vAlign w:val="bottom"/>
          </w:tcPr>
          <w:p>
            <w:pPr>
              <w:spacing w:after="0"/>
              <w:rPr>
                <w:sz w:val="20"/>
                <w:szCs w:val="20"/>
                <w:color w:val="auto"/>
              </w:rPr>
            </w:pPr>
            <w:r>
              <w:rPr>
                <w:rFonts w:ascii="Arial" w:cs="Arial" w:eastAsia="Arial" w:hAnsi="Arial"/>
                <w:sz w:val="14"/>
                <w:szCs w:val="14"/>
                <w:b w:val="1"/>
                <w:bCs w:val="1"/>
                <w:color w:val="auto"/>
              </w:rPr>
              <w:t>NET LOSS FOR THE PERIOD</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(20,915)</w:t>
            </w:r>
          </w:p>
        </w:tc>
        <w:tc>
          <w:tcPr>
            <w:tcW w:w="1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(6,920)</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(4,199)</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820"/>
              <w:spacing w:after="0"/>
              <w:rPr>
                <w:sz w:val="20"/>
                <w:szCs w:val="20"/>
                <w:color w:val="auto"/>
              </w:rPr>
            </w:pPr>
            <w:r>
              <w:rPr>
                <w:rFonts w:ascii="Arial" w:cs="Arial" w:eastAsia="Arial" w:hAnsi="Arial"/>
                <w:sz w:val="14"/>
                <w:szCs w:val="14"/>
                <w:color w:val="auto"/>
              </w:rPr>
              <w:t>(4,437)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920" w:type="dxa"/>
            <w:vAlign w:val="bottom"/>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LOSS PER SHARE OF COMMON STOCK – BASIC AND DILUTED</w:t>
            </w:r>
          </w:p>
        </w:tc>
        <w:tc>
          <w:tcPr>
            <w:tcW w:w="2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(0.48)</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line="152" w:lineRule="exact"/>
              <w:rPr>
                <w:sz w:val="20"/>
                <w:szCs w:val="20"/>
                <w:color w:val="auto"/>
              </w:rPr>
            </w:pPr>
            <w:r>
              <w:rPr>
                <w:rFonts w:ascii="Arial" w:cs="Arial" w:eastAsia="Arial" w:hAnsi="Arial"/>
                <w:sz w:val="14"/>
                <w:szCs w:val="14"/>
                <w:color w:val="auto"/>
              </w:rPr>
              <w:t>(0.25)</w:t>
            </w:r>
          </w:p>
        </w:tc>
        <w:tc>
          <w:tcPr>
            <w:tcW w:w="28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2" w:lineRule="exact"/>
              <w:rPr>
                <w:sz w:val="20"/>
                <w:szCs w:val="20"/>
                <w:color w:val="auto"/>
              </w:rPr>
            </w:pPr>
            <w:r>
              <w:rPr>
                <w:rFonts w:ascii="Arial" w:cs="Arial" w:eastAsia="Arial" w:hAnsi="Arial"/>
                <w:sz w:val="14"/>
                <w:szCs w:val="14"/>
                <w:color w:val="auto"/>
              </w:rPr>
              <w:t>(0.09)</w:t>
            </w:r>
          </w:p>
        </w:tc>
        <w:tc>
          <w:tcPr>
            <w:tcW w:w="2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820"/>
              <w:spacing w:after="0" w:line="152"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WEIGHTED AVERAGE NUMBER OF SHARES OF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USED IN COMPUTING LOSS PER SHARE – BASIC AND DILUTED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43,761,769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27,758,104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45,556,647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32,863,788</w:t>
            </w: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92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(1) Includes share-based compensation</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ind w:left="420"/>
              <w:spacing w:after="0"/>
              <w:rPr>
                <w:sz w:val="20"/>
                <w:szCs w:val="20"/>
                <w:color w:val="auto"/>
              </w:rPr>
            </w:pPr>
            <w:r>
              <w:rPr>
                <w:rFonts w:ascii="Arial" w:cs="Arial" w:eastAsia="Arial" w:hAnsi="Arial"/>
                <w:sz w:val="14"/>
                <w:szCs w:val="14"/>
                <w:b w:val="1"/>
                <w:bCs w:val="1"/>
                <w:color w:val="auto"/>
              </w:rPr>
              <w:t>(2) Includes share-based compensation</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8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2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(3) Includes share-based compensation</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347345</wp:posOffset>
            </wp:positionV>
            <wp:extent cx="629348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10840"/>
          </w:cols>
          <w:pgMar w:left="820" w:top="657"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CHANGES IN STOCKHOLDERS’ EQUITY (CAPITAL DEFICIENCY) </w:t>
      </w:r>
      <w:r>
        <w:rPr>
          <w:rFonts w:ascii="Arial" w:cs="Arial" w:eastAsia="Arial" w:hAnsi="Arial"/>
          <w:sz w:val="18"/>
          <w:szCs w:val="18"/>
          <w:color w:val="auto"/>
        </w:rPr>
        <w:t>(U.S. dollars in thousands, except share data) (Unaudited)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Stock (1)</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Stock</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4820" w:type="dxa"/>
            <w:vAlign w:val="bottom"/>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8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82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Balance at January 1, 2020</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14,838,213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15</w:t>
            </w:r>
          </w:p>
        </w:tc>
        <w:tc>
          <w:tcPr>
            <w:tcW w:w="300" w:type="dxa"/>
            <w:vAlign w:val="bottom"/>
            <w:gridSpan w:val="3"/>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270,492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b w:val="1"/>
                <w:bCs w:val="1"/>
                <w:color w:val="auto"/>
              </w:rPr>
              <w:t>(340,829)</w:t>
            </w:r>
          </w:p>
        </w:tc>
        <w:tc>
          <w:tcPr>
            <w:tcW w:w="280" w:type="dxa"/>
            <w:vAlign w:val="bottom"/>
            <w:gridSpan w:val="2"/>
            <w:shd w:val="clear" w:color="auto" w:fill="CCEEFF"/>
          </w:tcPr>
          <w:p>
            <w:pPr>
              <w:jc w:val="right"/>
              <w:ind w:right="70"/>
              <w:spacing w:after="0" w:line="13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(70,322)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b w:val="1"/>
                <w:bCs w:val="1"/>
                <w:color w:val="auto"/>
              </w:rPr>
              <w:t>Changes during the nine-month period ended September 30, 2020:</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Issuance of common stock and warrants, net of issuance cost</w:t>
            </w:r>
          </w:p>
        </w:tc>
        <w:tc>
          <w:tcPr>
            <w:tcW w:w="8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17,604,423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41,325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41,343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1,607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1,607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694,073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505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Exercise of warrants</w:t>
            </w:r>
          </w:p>
        </w:tc>
        <w:tc>
          <w:tcPr>
            <w:tcW w:w="880" w:type="dxa"/>
            <w:vAlign w:val="bottom"/>
          </w:tcPr>
          <w:p>
            <w:pPr>
              <w:jc w:val="right"/>
              <w:spacing w:after="0" w:line="146" w:lineRule="exact"/>
              <w:rPr>
                <w:sz w:val="20"/>
                <w:szCs w:val="20"/>
                <w:color w:val="auto"/>
              </w:rPr>
            </w:pPr>
            <w:r>
              <w:rPr>
                <w:rFonts w:ascii="Arial" w:cs="Arial" w:eastAsia="Arial" w:hAnsi="Arial"/>
                <w:sz w:val="14"/>
                <w:szCs w:val="14"/>
                <w:color w:val="auto"/>
              </w:rPr>
              <w:t>200,000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472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472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Net loss for the period</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(6,920)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82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b w:val="1"/>
                <w:bCs w:val="1"/>
                <w:color w:val="auto"/>
              </w:rPr>
              <w:t>Balance at September 30, 2020</w:t>
            </w: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33,336,709</w:t>
            </w:r>
          </w:p>
        </w:tc>
        <w:tc>
          <w:tcPr>
            <w:tcW w:w="2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33</w:t>
            </w: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314,401</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(347,749)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(33,315)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8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January 1, 2021</w:t>
            </w:r>
          </w:p>
        </w:tc>
        <w:tc>
          <w:tcPr>
            <w:tcW w:w="88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34,765,280</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35</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320,280</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(347,352)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(27,037)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b w:val="1"/>
                <w:bCs w:val="1"/>
                <w:color w:val="auto"/>
              </w:rPr>
              <w:t>Changes during the nine-month period ended September 30, 2021:</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Issuance of common stock, net of issuance cost</w:t>
            </w:r>
          </w:p>
        </w:tc>
        <w:tc>
          <w:tcPr>
            <w:tcW w:w="8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8,749,999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37,616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37,625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Issuance of common stock under the Sales Agreement, net</w:t>
            </w:r>
          </w:p>
        </w:tc>
        <w:tc>
          <w:tcPr>
            <w:tcW w:w="880" w:type="dxa"/>
            <w:vAlign w:val="bottom"/>
          </w:tcPr>
          <w:p>
            <w:pPr>
              <w:jc w:val="right"/>
              <w:spacing w:after="0" w:line="146" w:lineRule="exact"/>
              <w:rPr>
                <w:sz w:val="20"/>
                <w:szCs w:val="20"/>
                <w:color w:val="auto"/>
              </w:rPr>
            </w:pPr>
            <w:r>
              <w:rPr>
                <w:rFonts w:ascii="Arial" w:cs="Arial" w:eastAsia="Arial" w:hAnsi="Arial"/>
                <w:sz w:val="14"/>
                <w:szCs w:val="14"/>
                <w:color w:val="auto"/>
              </w:rPr>
              <w:t>1,867,552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8,573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8,575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1,176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781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Exercise of warrants</w:t>
            </w:r>
          </w:p>
        </w:tc>
        <w:tc>
          <w:tcPr>
            <w:tcW w:w="8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173,816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Reacquisition of equity component of convertible notes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(12,019)</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(12,019)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Equity component of convertible notes, net of transaction costs</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12,027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12,027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Net loss for the period</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(20,915)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(20,915)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2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Balance at September 30, 2021</w:t>
            </w:r>
          </w:p>
        </w:tc>
        <w:tc>
          <w:tcPr>
            <w:tcW w:w="8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45,556,647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46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368,434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(368,267)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2020</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820" w:type="dxa"/>
            <w:vAlign w:val="bottom"/>
            <w:vMerge w:val="continue"/>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32,442,636</w:t>
            </w:r>
          </w:p>
        </w:tc>
        <w:tc>
          <w:tcPr>
            <w:tcW w:w="20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33</w:t>
            </w:r>
          </w:p>
        </w:tc>
        <w:tc>
          <w:tcPr>
            <w:tcW w:w="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308,515</w:t>
            </w:r>
          </w:p>
        </w:tc>
        <w:tc>
          <w:tcPr>
            <w:tcW w:w="200" w:type="dxa"/>
            <w:vAlign w:val="bottom"/>
          </w:tcPr>
          <w:p>
            <w:pPr>
              <w:spacing w:after="0"/>
              <w:rPr>
                <w:sz w:val="10"/>
                <w:szCs w:val="10"/>
                <w:color w:val="auto"/>
              </w:rPr>
            </w:pPr>
          </w:p>
        </w:tc>
        <w:tc>
          <w:tcPr>
            <w:tcW w:w="200" w:type="dxa"/>
            <w:vAlign w:val="bottom"/>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(343,312)</w:t>
            </w: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(34,764)</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Changes during the three-month period ended September 30, 2020:</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Note receivable payment</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4,000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909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tcPr>
          <w:p>
            <w:pPr>
              <w:jc w:val="right"/>
              <w:spacing w:after="0" w:line="146" w:lineRule="exact"/>
              <w:rPr>
                <w:sz w:val="20"/>
                <w:szCs w:val="20"/>
                <w:color w:val="auto"/>
              </w:rPr>
            </w:pPr>
            <w:r>
              <w:rPr>
                <w:rFonts w:ascii="Arial" w:cs="Arial" w:eastAsia="Arial" w:hAnsi="Arial"/>
                <w:sz w:val="14"/>
                <w:szCs w:val="14"/>
                <w:color w:val="auto"/>
              </w:rPr>
              <w:t>694,073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505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Exercise of warrants</w:t>
            </w:r>
          </w:p>
        </w:tc>
        <w:tc>
          <w:tcPr>
            <w:tcW w:w="8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472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Net loss for the period</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(4,437)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(4,437)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2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Balance at September 30, 2020</w:t>
            </w:r>
          </w:p>
        </w:tc>
        <w:tc>
          <w:tcPr>
            <w:tcW w:w="8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33,336,709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314,401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(347,749)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(33,315)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2021</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820" w:type="dxa"/>
            <w:vAlign w:val="bottom"/>
            <w:vMerge w:val="continue"/>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45,556,647</w:t>
            </w:r>
          </w:p>
        </w:tc>
        <w:tc>
          <w:tcPr>
            <w:tcW w:w="20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46</w:t>
            </w:r>
          </w:p>
        </w:tc>
        <w:tc>
          <w:tcPr>
            <w:tcW w:w="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367,863</w:t>
            </w:r>
          </w:p>
        </w:tc>
        <w:tc>
          <w:tcPr>
            <w:tcW w:w="200" w:type="dxa"/>
            <w:vAlign w:val="bottom"/>
          </w:tcPr>
          <w:p>
            <w:pPr>
              <w:spacing w:after="0"/>
              <w:rPr>
                <w:sz w:val="10"/>
                <w:szCs w:val="10"/>
                <w:color w:val="auto"/>
              </w:rPr>
            </w:pPr>
          </w:p>
        </w:tc>
        <w:tc>
          <w:tcPr>
            <w:tcW w:w="200" w:type="dxa"/>
            <w:vAlign w:val="bottom"/>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(364,068)</w:t>
            </w: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3,841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Changes during the three-month period ended September 30, 2021:</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Reacquisition of equity component of convertible notes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(12,019)</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(12,019)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Equity component of convertible notes, net of transaction costs</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12,027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12,027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344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219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4"/>
                <w:szCs w:val="14"/>
                <w:color w:val="auto"/>
              </w:rPr>
              <w:t>Net loss for the period</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(4,199)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4"/>
                <w:szCs w:val="14"/>
                <w:color w:val="auto"/>
              </w:rPr>
              <w:t>(4,199)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2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Balance at September 30, 2021</w:t>
            </w:r>
          </w:p>
        </w:tc>
        <w:tc>
          <w:tcPr>
            <w:tcW w:w="8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45,556,647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46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368,434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(368,267)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amount equal to less than $1.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 Common stock, $0.001 par value; Authorized – as of September 30, 2021 and 2020 - 120,000,000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6"/>
          </w:tcPr>
          <w:p>
            <w:pPr>
              <w:ind w:lef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4"/>
                <w:szCs w:val="14"/>
                <w:b w:val="1"/>
                <w:bCs w:val="1"/>
                <w:color w:val="auto"/>
              </w:rPr>
              <w:t>September 30, 2021</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12"/>
              <w:spacing w:after="0" w:line="139" w:lineRule="exact"/>
              <w:rPr>
                <w:sz w:val="20"/>
                <w:szCs w:val="20"/>
                <w:color w:val="auto"/>
              </w:rPr>
            </w:pPr>
            <w:r>
              <w:rPr>
                <w:rFonts w:ascii="Arial" w:cs="Arial" w:eastAsia="Arial" w:hAnsi="Arial"/>
                <w:sz w:val="14"/>
                <w:szCs w:val="14"/>
                <w:b w:val="1"/>
                <w:bCs w:val="1"/>
                <w:color w:val="auto"/>
                <w:w w:val="88"/>
              </w:rPr>
              <w:t>September 30, 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(20,915)</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Adjustments required to reconcile net loss to net cash used in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Financial income, net (mainly exchange differences)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accrued liability for employee rights upon retirement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Gain on amounts funded in respect of employee rights upon retirement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fixed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Loss on extinguishment of convertible notes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issuance costs and debt discount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(decrease) in contracts liability (including non-current portion)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300"/>
              <w:spacing w:after="0"/>
              <w:rPr>
                <w:sz w:val="20"/>
                <w:szCs w:val="20"/>
                <w:color w:val="auto"/>
              </w:rPr>
            </w:pPr>
            <w:r>
              <w:rPr>
                <w:rFonts w:ascii="Arial" w:cs="Arial" w:eastAsia="Arial" w:hAnsi="Arial"/>
                <w:sz w:val="18"/>
                <w:szCs w:val="18"/>
                <w:color w:val="auto"/>
              </w:rPr>
              <w:t>Decrease (increase) in accounts receivable and 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right of use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300"/>
              <w:spacing w:after="0"/>
              <w:rPr>
                <w:sz w:val="20"/>
                <w:szCs w:val="20"/>
                <w:color w:val="auto"/>
              </w:rPr>
            </w:pPr>
            <w:r>
              <w:rPr>
                <w:rFonts w:ascii="Arial" w:cs="Arial" w:eastAsia="Arial" w:hAnsi="Arial"/>
                <w:sz w:val="18"/>
                <w:szCs w:val="18"/>
                <w:color w:val="auto"/>
              </w:rPr>
              <w:t>Increase in inventories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in accounts payable and accruals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Decrease in other long term liabilities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40" w:type="dxa"/>
            <w:vAlign w:val="bottom"/>
            <w:shd w:val="clear" w:color="auto" w:fill="CCEEFF"/>
          </w:tcPr>
          <w:p>
            <w:pPr>
              <w:ind w:left="100"/>
              <w:spacing w:after="0" w:line="204"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(5,198)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(18,556)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Purchase of bank deposits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(37,835)</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short-term deposits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Decrease (increase) in restricted deposit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funded in respect of employee rights upon retirement, net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40" w:type="dxa"/>
            <w:vAlign w:val="bottom"/>
            <w:tcBorders>
              <w:bottom w:val="single" w:sz="8" w:color="CCEEFF"/>
            </w:tcBorders>
          </w:tcPr>
          <w:p>
            <w:pPr>
              <w:ind w:left="200"/>
              <w:spacing w:after="0" w:line="204"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(18,515)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(27,544)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Payment for convertible notes redemption and transactions costs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payment for promissory note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and warrants,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37,625</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issuance of common stock under the Sales Agreement,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60" w:type="dxa"/>
            <w:vAlign w:val="bottom"/>
            <w:gridSpan w:val="2"/>
          </w:tcPr>
          <w:p>
            <w:pPr>
              <w:spacing w:after="0" w:line="204"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205" w:lineRule="exact"/>
              <w:rPr>
                <w:sz w:val="20"/>
                <w:szCs w:val="20"/>
                <w:color w:val="auto"/>
              </w:rPr>
            </w:pPr>
            <w:r>
              <w:rPr>
                <w:rFonts w:ascii="Arial" w:cs="Arial" w:eastAsia="Arial" w:hAnsi="Arial"/>
                <w:sz w:val="18"/>
                <w:szCs w:val="18"/>
                <w:color w:val="auto"/>
              </w:rPr>
              <w:t>16,124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205" w:lineRule="exact"/>
              <w:rPr>
                <w:sz w:val="20"/>
                <w:szCs w:val="20"/>
                <w:color w:val="auto"/>
              </w:rPr>
            </w:pPr>
            <w:r>
              <w:rPr>
                <w:rFonts w:ascii="Arial" w:cs="Arial" w:eastAsia="Arial" w:hAnsi="Arial"/>
                <w:sz w:val="18"/>
                <w:szCs w:val="18"/>
                <w:color w:val="auto"/>
              </w:rPr>
              <w:t>41,815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4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EFFECT OF EXCHANGE RATE CHANGES ON CASH AND CASH</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40" w:type="dxa"/>
            <w:vAlign w:val="bottom"/>
          </w:tcPr>
          <w:p>
            <w:pPr>
              <w:spacing w:after="0" w:line="205" w:lineRule="exact"/>
              <w:rPr>
                <w:sz w:val="20"/>
                <w:szCs w:val="20"/>
                <w:color w:val="auto"/>
              </w:rPr>
            </w:pPr>
            <w:r>
              <w:rPr>
                <w:rFonts w:ascii="Arial" w:cs="Arial" w:eastAsia="Arial" w:hAnsi="Arial"/>
                <w:sz w:val="18"/>
                <w:szCs w:val="18"/>
                <w:b w:val="1"/>
                <w:bCs w:val="1"/>
                <w:color w:val="auto"/>
              </w:rPr>
              <w:t>NET DECREASE IN CASH AND CASH EQUIVALENTS</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(7,623)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(4,259)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OF CASH AND CASH EQUIVALENTS AT BEGINNING OF PERIOD</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BALANCE OF CASH AND CASH EQUIVALENTS AT END OF PERIOD</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10,642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13,533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(Continued) – 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9"/>
              </w:rPr>
              <w:t>Nine Months Ended</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2"/>
                <w:szCs w:val="12"/>
                <w:color w:val="auto"/>
              </w:rPr>
            </w:pPr>
          </w:p>
        </w:tc>
        <w:tc>
          <w:tcPr>
            <w:tcW w:w="12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0"/>
              </w:rPr>
              <w:t>September 30,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 INVOLVING CASH FLOWS: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tcBorders>
              <w:top w:val="single" w:sz="8" w:color="CCEEFF"/>
              <w:bottom w:val="single" w:sz="8" w:color="CCEEFF"/>
            </w:tcBorders>
            <w:shd w:val="clear" w:color="auto" w:fill="CCEEFF"/>
          </w:tcPr>
          <w:p>
            <w:pPr>
              <w:ind w:left="200"/>
              <w:spacing w:after="0" w:line="192" w:lineRule="exact"/>
              <w:rPr>
                <w:sz w:val="20"/>
                <w:szCs w:val="20"/>
                <w:color w:val="auto"/>
              </w:rPr>
            </w:pPr>
            <w:r>
              <w:rPr>
                <w:rFonts w:ascii="Arial" w:cs="Arial" w:eastAsia="Arial" w:hAnsi="Arial"/>
                <w:sz w:val="18"/>
                <w:szCs w:val="18"/>
                <w:color w:val="auto"/>
              </w:rPr>
              <w:t>Right of use assets obtained in exchange for new operating lease liabilities</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309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564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200"/>
              <w:spacing w:after="0"/>
              <w:rPr>
                <w:sz w:val="20"/>
                <w:szCs w:val="20"/>
                <w:color w:val="auto"/>
              </w:rPr>
            </w:pPr>
            <w:r>
              <w:rPr>
                <w:rFonts w:ascii="Arial" w:cs="Arial" w:eastAsia="Arial" w:hAnsi="Arial"/>
                <w:sz w:val="18"/>
                <w:szCs w:val="18"/>
                <w:color w:val="auto"/>
              </w:rPr>
              <w:t>Transactions costs in connection with the exchange of convertible notes</w:t>
            </w: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70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line="19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774</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20" w:type="dxa"/>
            <w:vAlign w:val="bottom"/>
            <w:tcBorders>
              <w:top w:val="single" w:sz="8" w:color="auto"/>
              <w:bottom w:val="single" w:sz="8" w:color="CCEEFF"/>
            </w:tcBorders>
          </w:tcPr>
          <w:p>
            <w:pPr>
              <w:spacing w:after="0"/>
              <w:rPr>
                <w:sz w:val="20"/>
                <w:szCs w:val="20"/>
                <w:color w:val="auto"/>
              </w:rPr>
            </w:pPr>
          </w:p>
        </w:tc>
        <w:tc>
          <w:tcPr>
            <w:tcW w:w="580" w:type="dxa"/>
            <w:vAlign w:val="bottom"/>
            <w:tcBorders>
              <w:top w:val="single" w:sz="8" w:color="auto"/>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SUPPLEMENTARY DISCLOSURE ON CASH FLOWS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Interest received</w:t>
            </w: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line="19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445</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line="19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 to extinguishment of convertible notes see Note 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left="1000" w:right="2060"/>
        <w:spacing w:after="0" w:line="26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77" w:lineRule="exact"/>
        <w:rPr>
          <w:sz w:val="20"/>
          <w:szCs w:val="20"/>
          <w:color w:val="auto"/>
        </w:rPr>
      </w:pPr>
    </w:p>
    <w:p>
      <w:pPr>
        <w:ind w:left="960" w:hanging="317"/>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83" w:lineRule="exact"/>
        <w:rPr>
          <w:rFonts w:ascii="Arial" w:cs="Arial" w:eastAsia="Arial" w:hAnsi="Arial"/>
          <w:sz w:val="18"/>
          <w:szCs w:val="18"/>
          <w:b w:val="1"/>
          <w:bCs w:val="1"/>
          <w:color w:val="auto"/>
        </w:rPr>
      </w:pPr>
    </w:p>
    <w:p>
      <w:pPr>
        <w:ind w:left="960" w:right="100"/>
        <w:spacing w:after="0" w:line="237" w:lineRule="auto"/>
        <w:rPr>
          <w:rFonts w:ascii="Arial" w:cs="Arial" w:eastAsia="Arial" w:hAnsi="Arial"/>
          <w:sz w:val="18"/>
          <w:szCs w:val="18"/>
          <w:b w:val="1"/>
          <w:bCs w:val="1"/>
          <w:color w:val="auto"/>
        </w:rPr>
      </w:pPr>
      <w:r>
        <w:rPr>
          <w:rFonts w:ascii="Arial" w:cs="Arial" w:eastAsia="Arial" w:hAnsi="Arial"/>
          <w:sz w:val="17"/>
          <w:szCs w:val="17"/>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protein expression system (“ProCellEx”). To date, the Company has successfully developed taliglucerase alfa (marketed under the name BioManguinhos alfataliglicerase in Brazil and certain other Latin American countries and Elelyso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the rest of the territories) for the treatment of Gaucher disease that has been approved for marketing in the United States, Brazil, Israel and other markets. The Company has a number of product candidates in varying stages of the clinical development process. The Company’s strategy is to develop proprietary recombinant proteins that are therapeutically superior to existing recombinant proteins currently marketed for the same indications.</w:t>
      </w:r>
    </w:p>
    <w:p>
      <w:pPr>
        <w:spacing w:after="0" w:line="174" w:lineRule="exact"/>
        <w:rPr>
          <w:rFonts w:ascii="Arial" w:cs="Arial" w:eastAsia="Arial" w:hAnsi="Arial"/>
          <w:sz w:val="18"/>
          <w:szCs w:val="18"/>
          <w:b w:val="1"/>
          <w:bCs w:val="1"/>
          <w:color w:val="auto"/>
        </w:rPr>
      </w:pPr>
    </w:p>
    <w:p>
      <w:pPr>
        <w:ind w:left="960" w:right="140"/>
        <w:spacing w:after="0" w:line="264" w:lineRule="auto"/>
        <w:rPr>
          <w:rFonts w:ascii="Arial" w:cs="Arial" w:eastAsia="Arial" w:hAnsi="Arial"/>
          <w:sz w:val="18"/>
          <w:szCs w:val="18"/>
          <w:b w:val="1"/>
          <w:bCs w:val="1"/>
          <w:color w:val="auto"/>
        </w:rPr>
      </w:pPr>
      <w:r>
        <w:rPr>
          <w:rFonts w:ascii="Arial" w:cs="Arial" w:eastAsia="Arial" w:hAnsi="Arial"/>
          <w:sz w:val="17"/>
          <w:szCs w:val="17"/>
          <w:color w:val="auto"/>
        </w:rPr>
        <w:t>On August 25, 2021, the Company completed exchanges (the “Exchanges”) of the Company’s outstanding 7.50% Senior Secured Convertible Notes due 2021 (the “2021 Notes”) with institutional note holders of a substantial majority of the 2021 Notes. The Exchanges involved the exchange of an aggregate of $54.65 million principal amount of the Company’s outstanding 2021 Notes for an aggregate of $28.75 million principal amount of newly issued 7.50% Senior Secured Convertible Notes due 2024 (the “2024 Notes”), $25.90 million in cash, and approximately $1.1 million in cash representing accrued and unpaid interest through the closing date. The initial conversion rate for the 2024 Notes is 563.2216 shares of Common Stock for each $1,000 principal amount of 2024 Notes (equivalent to an initial conversion price of approximately $1.7755 per share of the Common Stock), subject to adjustment in certain circumstances. This initial conversion price represents a premium of approximately 32.5% relative to the closing price of the Common Stock on the NYSE American on August 13, 2021.</w:t>
      </w:r>
    </w:p>
    <w:p>
      <w:pPr>
        <w:spacing w:after="0" w:line="142" w:lineRule="exact"/>
        <w:rPr>
          <w:rFonts w:ascii="Arial" w:cs="Arial" w:eastAsia="Arial" w:hAnsi="Arial"/>
          <w:sz w:val="18"/>
          <w:szCs w:val="18"/>
          <w:b w:val="1"/>
          <w:bCs w:val="1"/>
          <w:color w:val="auto"/>
        </w:rPr>
      </w:pPr>
    </w:p>
    <w:p>
      <w:pPr>
        <w:ind w:left="960" w:right="60"/>
        <w:spacing w:after="0" w:line="264" w:lineRule="auto"/>
        <w:rPr>
          <w:rFonts w:ascii="Arial" w:cs="Arial" w:eastAsia="Arial" w:hAnsi="Arial"/>
          <w:sz w:val="18"/>
          <w:szCs w:val="18"/>
          <w:b w:val="1"/>
          <w:bCs w:val="1"/>
          <w:color w:val="auto"/>
        </w:rPr>
      </w:pPr>
      <w:r>
        <w:rPr>
          <w:rFonts w:ascii="Arial" w:cs="Arial" w:eastAsia="Arial" w:hAnsi="Arial"/>
          <w:sz w:val="17"/>
          <w:szCs w:val="17"/>
          <w:color w:val="auto"/>
        </w:rPr>
        <w:t xml:space="preserve">The most advanced investigational drug in the Company’s product pipeline is pegunigalsidase alfa, or PRX-102, a therapeutic protein candidate for the treatment of Fabry disease, a rare, genetic lysosomal disorder, which is the subject of a phase III clinical program. The PRX-102 phase III clinical program includes three separate studies which are referred to as the </w:t>
      </w:r>
      <w:r>
        <w:rPr>
          <w:rFonts w:ascii="Arial" w:cs="Arial" w:eastAsia="Arial" w:hAnsi="Arial"/>
          <w:sz w:val="17"/>
          <w:szCs w:val="17"/>
          <w:i w:val="1"/>
          <w:iCs w:val="1"/>
          <w:color w:val="auto"/>
        </w:rPr>
        <w:t xml:space="preserve">BALANCE </w:t>
      </w:r>
      <w:r>
        <w:rPr>
          <w:rFonts w:ascii="Arial" w:cs="Arial" w:eastAsia="Arial" w:hAnsi="Arial"/>
          <w:sz w:val="17"/>
          <w:szCs w:val="17"/>
          <w:color w:val="auto"/>
        </w:rPr>
        <w:t>study, the</w:t>
      </w:r>
      <w:r>
        <w:rPr>
          <w:rFonts w:ascii="Arial" w:cs="Arial" w:eastAsia="Arial" w:hAnsi="Arial"/>
          <w:sz w:val="17"/>
          <w:szCs w:val="17"/>
          <w:i w:val="1"/>
          <w:iCs w:val="1"/>
          <w:color w:val="auto"/>
        </w:rPr>
        <w:t xml:space="preserve"> BRIDGE </w:t>
      </w:r>
      <w:r>
        <w:rPr>
          <w:rFonts w:ascii="Arial" w:cs="Arial" w:eastAsia="Arial" w:hAnsi="Arial"/>
          <w:sz w:val="17"/>
          <w:szCs w:val="17"/>
          <w:color w:val="auto"/>
        </w:rPr>
        <w:t>study and the</w:t>
      </w:r>
      <w:r>
        <w:rPr>
          <w:rFonts w:ascii="Arial" w:cs="Arial" w:eastAsia="Arial" w:hAnsi="Arial"/>
          <w:sz w:val="17"/>
          <w:szCs w:val="17"/>
          <w:i w:val="1"/>
          <w:iCs w:val="1"/>
          <w:color w:val="auto"/>
        </w:rPr>
        <w:t xml:space="preserve"> BRIGHT </w:t>
      </w:r>
      <w:r>
        <w:rPr>
          <w:rFonts w:ascii="Arial" w:cs="Arial" w:eastAsia="Arial" w:hAnsi="Arial"/>
          <w:sz w:val="17"/>
          <w:szCs w:val="17"/>
          <w:color w:val="auto"/>
        </w:rPr>
        <w:t>study. The studies are designed to evaluate the potential superiority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PRX-102 over current therapies in a head-to-head study and a switch-over study, evaluate the potential for improved efficacy and better quality of life for patients with Fabry disease and evaluate the safety of our drug/therapy.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BRIGHT </w:t>
      </w:r>
      <w:r>
        <w:rPr>
          <w:rFonts w:ascii="Arial" w:cs="Arial" w:eastAsia="Arial" w:hAnsi="Arial"/>
          <w:sz w:val="17"/>
          <w:szCs w:val="17"/>
          <w:color w:val="auto"/>
        </w:rPr>
        <w:t>studies have been completed, and, in October 2021, the final dosing of the last patient in the</w:t>
      </w:r>
      <w:r>
        <w:rPr>
          <w:rFonts w:ascii="Arial" w:cs="Arial" w:eastAsia="Arial" w:hAnsi="Arial"/>
          <w:sz w:val="17"/>
          <w:szCs w:val="17"/>
          <w:i w:val="1"/>
          <w:iCs w:val="1"/>
          <w:color w:val="auto"/>
        </w:rPr>
        <w:t xml:space="preserve"> BALANCE </w:t>
      </w:r>
      <w:r>
        <w:rPr>
          <w:rFonts w:ascii="Arial" w:cs="Arial" w:eastAsia="Arial" w:hAnsi="Arial"/>
          <w:sz w:val="17"/>
          <w:szCs w:val="17"/>
          <w:color w:val="auto"/>
        </w:rPr>
        <w:t>study was</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See Part 1, Item 2, Management’s Discussion and Analysis of Financial Condition and Results of Operations— Pegunigalsidase Alfa (PRX-102) for the Treatment of Fabry Disease for details regarding the current status of these studies and of available clinical trial results.</w:t>
      </w:r>
    </w:p>
    <w:p>
      <w:pPr>
        <w:spacing w:after="0" w:line="142" w:lineRule="exact"/>
        <w:rPr>
          <w:rFonts w:ascii="Arial" w:cs="Arial" w:eastAsia="Arial" w:hAnsi="Arial"/>
          <w:sz w:val="18"/>
          <w:szCs w:val="18"/>
          <w:b w:val="1"/>
          <w:bCs w:val="1"/>
          <w:color w:val="auto"/>
        </w:rPr>
      </w:pPr>
    </w:p>
    <w:p>
      <w:pPr>
        <w:ind w:left="960"/>
        <w:spacing w:after="0" w:line="271" w:lineRule="auto"/>
        <w:rPr>
          <w:rFonts w:ascii="Arial" w:cs="Arial" w:eastAsia="Arial" w:hAnsi="Arial"/>
          <w:sz w:val="18"/>
          <w:szCs w:val="18"/>
          <w:b w:val="1"/>
          <w:bCs w:val="1"/>
          <w:color w:val="auto"/>
        </w:rPr>
      </w:pPr>
      <w:r>
        <w:rPr>
          <w:rFonts w:ascii="Arial" w:cs="Arial" w:eastAsia="Arial" w:hAnsi="Arial"/>
          <w:sz w:val="16"/>
          <w:szCs w:val="16"/>
          <w:color w:val="auto"/>
        </w:rPr>
        <w:t>On April 28, 2021, the Company, together with its development and commercialization partner for PRX-102, Chiesi Farmaceutici S.p.A. (“Chiesi”), announced that they received a Complete Response Letter (CRL) from the U.S. Food and Drug Administration (the “FDA”) regarding the biologics license application (“BLA”) for PRX-102 for the treatment of adult patients with Fabry disease. The PRX-102 was submitted to the FDA on May 27, 2020 under the FDA’s Accelerated Approval pathway, and was subsequently accepted by the FDA and granted Priority Review designation. The CRL did not report any concerns relating to the potential safety or efficacy of PRX-102 in the submitted data package. In the CRL, the FDA noted that an inspection of the Company’s manufacturing facility in Carmiel, Israel, including the FDA’s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the novel coronavirus disease (“COVID-19”), the FDA reviewed records under Section 704(a)(4) of the Federal Food, Drug, and Cosmetic Act (the “FFDCA”) in lieu of a pre-licensing inspection. In the CRL, the FDA stated that it will communicate remaining issues to the facility in order to seek prompt resolution of any pending items. In addition to the foregoing, in the CRL, the FDA noted that agalsidase beta (Fabrazyme</w:t>
      </w:r>
      <w:r>
        <w:rPr>
          <w:rFonts w:ascii="Arial" w:cs="Arial" w:eastAsia="Arial" w:hAnsi="Arial"/>
          <w:sz w:val="24"/>
          <w:szCs w:val="24"/>
          <w:color w:val="auto"/>
          <w:vertAlign w:val="superscript"/>
        </w:rPr>
        <w:t>®</w:t>
      </w:r>
      <w:r>
        <w:rPr>
          <w:rFonts w:ascii="Arial" w:cs="Arial" w:eastAsia="Arial" w:hAnsi="Arial"/>
          <w:sz w:val="16"/>
          <w:szCs w:val="16"/>
          <w:color w:val="auto"/>
        </w:rPr>
        <w:t>), a therapy used to treat Fabry patients, was recently converted to full approval and is now an “available therapy,” which must be addressed in the context of any potential resubmission of a BLA for PRX-102.</w:t>
      </w:r>
    </w:p>
    <w:p>
      <w:pPr>
        <w:sectPr>
          <w:pgSz w:w="11900" w:h="16838" w:orient="portrait"/>
          <w:cols w:equalWidth="0" w:num="1">
            <w:col w:w="9920"/>
          </w:cols>
          <w:pgMar w:left="980" w:top="657" w:right="99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629348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left="1000" w:right="2060"/>
        <w:spacing w:after="0" w:line="26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7" w:lineRule="exact"/>
        <w:rPr>
          <w:sz w:val="20"/>
          <w:szCs w:val="20"/>
          <w:color w:val="auto"/>
        </w:rPr>
      </w:pPr>
    </w:p>
    <w:p>
      <w:pPr>
        <w:ind w:left="960" w:right="80"/>
        <w:spacing w:after="0" w:line="265" w:lineRule="auto"/>
        <w:rPr>
          <w:sz w:val="20"/>
          <w:szCs w:val="20"/>
          <w:color w:val="auto"/>
        </w:rPr>
      </w:pPr>
      <w:r>
        <w:rPr>
          <w:rFonts w:ascii="Arial" w:cs="Arial" w:eastAsia="Arial" w:hAnsi="Arial"/>
          <w:sz w:val="17"/>
          <w:szCs w:val="17"/>
          <w:color w:val="auto"/>
        </w:rPr>
        <w:t xml:space="preserve">The Company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planned data package for the BLA resubmission, given the changed regulatory landscape in the United States, will include the final two-year analyses of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The Company intends to continue to work collaboratively with the FDA to resolve the issues noted in the CRL and provide a new, alternative drug to Fabry patients.</w:t>
      </w:r>
    </w:p>
    <w:p>
      <w:pPr>
        <w:spacing w:after="0" w:line="145" w:lineRule="exact"/>
        <w:rPr>
          <w:sz w:val="20"/>
          <w:szCs w:val="20"/>
          <w:color w:val="auto"/>
        </w:rPr>
      </w:pPr>
    </w:p>
    <w:p>
      <w:pPr>
        <w:ind w:left="960" w:right="20"/>
        <w:spacing w:after="0" w:line="265" w:lineRule="auto"/>
        <w:rPr>
          <w:sz w:val="20"/>
          <w:szCs w:val="20"/>
          <w:color w:val="auto"/>
        </w:rPr>
      </w:pPr>
      <w:r>
        <w:rPr>
          <w:rFonts w:ascii="Arial" w:cs="Arial" w:eastAsia="Arial" w:hAnsi="Arial"/>
          <w:sz w:val="17"/>
          <w:szCs w:val="17"/>
          <w:color w:val="auto"/>
        </w:rPr>
        <w:t xml:space="preserve">Protalix and Chiesi also announced that a meeting was held with the Rapporteur and Co-Rapporteur of the European Medicines Agency (“EMA”) on October 8, 2021 regarding PRX-102. At the meeting, Chiesi and Protalix discussed the scope of the anticipated Marketing Authorization Application (“MAA”) submission for the European Union, and the Rapporteur and Co-Rapporteur were generally supportive of a planned MAA submission for PRX-102. This is an important step in the necessary pre-submission activities leading up to a MAA submission. Based on the interim analysis of the 12-month data generated from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that the Company announced in June 2021, and in combination with previously reported positive data from 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and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studies, the Company and Chiesi expect to submit an MAA to the EMA for PRX-102 during the first quarter of 2022.</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 addition to PRX-102, the Company’s product pipeline currently includes, among other candidates:</w:t>
      </w:r>
    </w:p>
    <w:p>
      <w:pPr>
        <w:spacing w:after="0" w:line="177" w:lineRule="exact"/>
        <w:rPr>
          <w:sz w:val="20"/>
          <w:szCs w:val="20"/>
          <w:color w:val="auto"/>
        </w:rPr>
      </w:pPr>
    </w:p>
    <w:p>
      <w:pPr>
        <w:ind w:left="1300" w:right="20" w:hanging="313"/>
        <w:spacing w:after="0" w:line="248"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alidornase alfa, or PRX-110, a proprietary plant cell recombinant human Deoxyribonuclease 1, or DNase, which has successfully completed a phase II efficacy and safety study; the Company’s exclusive worldwide license agreement with SarcoMed USA Inc. (“SarcoMed”) with respect to PRX-110 for use in the treatment of any human respiratory disease or condition including, but not limited to, sarcoidosis, pulmonary fibrosis, and other related diseases via inhaled delivery expired during the three months ended September 30, 2021; we are continuing to evaluate potential strategic marketing partnerships and collaboration programs with biotechnology and pharmaceutical companies for this product candidate for various respiratory indications;</w:t>
      </w:r>
    </w:p>
    <w:p>
      <w:pPr>
        <w:spacing w:after="0" w:line="159" w:lineRule="exact"/>
        <w:rPr>
          <w:rFonts w:ascii="Arial" w:cs="Arial" w:eastAsia="Arial" w:hAnsi="Arial"/>
          <w:sz w:val="18"/>
          <w:szCs w:val="18"/>
          <w:color w:val="auto"/>
        </w:rPr>
      </w:pPr>
    </w:p>
    <w:p>
      <w:pPr>
        <w:ind w:left="1300" w:right="220" w:hanging="313"/>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PRX-115, the Company’s plant cell-expressed recombinant PEGylated uricase (urate oxidase) – a chemically modified enzyme to treat refractory gout; and</w:t>
      </w:r>
    </w:p>
    <w:p>
      <w:pPr>
        <w:spacing w:after="0" w:line="154" w:lineRule="exact"/>
        <w:rPr>
          <w:rFonts w:ascii="Arial" w:cs="Arial" w:eastAsia="Arial" w:hAnsi="Arial"/>
          <w:sz w:val="18"/>
          <w:szCs w:val="18"/>
          <w:color w:val="auto"/>
        </w:rPr>
      </w:pPr>
    </w:p>
    <w:p>
      <w:pPr>
        <w:ind w:left="1300" w:right="40" w:hanging="313"/>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PRX-119, the Company’s plant cell-expressed PEGylated recombinant human DNase I product candidate being designed to elongate half-life in the circulation for NETs-related diseases.</w:t>
      </w:r>
    </w:p>
    <w:p>
      <w:pPr>
        <w:spacing w:after="0" w:line="141" w:lineRule="exact"/>
        <w:rPr>
          <w:sz w:val="20"/>
          <w:szCs w:val="20"/>
          <w:color w:val="auto"/>
        </w:rPr>
      </w:pPr>
    </w:p>
    <w:p>
      <w:pPr>
        <w:ind w:left="960" w:right="140"/>
        <w:spacing w:after="0" w:line="255" w:lineRule="auto"/>
        <w:rPr>
          <w:sz w:val="20"/>
          <w:szCs w:val="20"/>
          <w:color w:val="auto"/>
        </w:rPr>
      </w:pPr>
      <w:r>
        <w:rPr>
          <w:rFonts w:ascii="Arial" w:cs="Arial" w:eastAsia="Arial" w:hAnsi="Arial"/>
          <w:sz w:val="18"/>
          <w:szCs w:val="18"/>
          <w:color w:val="auto"/>
        </w:rPr>
        <w:t>Obtaining marketing approval with respect to any product candidate in any country is dependent on the Company’s ability to implement the necessary regulatory steps required to obtain such approvals. The Company cannot reasonably predict the outcome of these activities.</w:t>
      </w:r>
    </w:p>
    <w:p>
      <w:pPr>
        <w:spacing w:after="0" w:line="14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On July 2, 2021, the Company entered into an At The Market Offering Agreement (the “Sales Agreement”) with</w:t>
      </w:r>
    </w:p>
    <w:p>
      <w:pPr>
        <w:spacing w:after="0" w:line="16" w:lineRule="exact"/>
        <w:rPr>
          <w:sz w:val="20"/>
          <w:szCs w:val="20"/>
          <w:color w:val="auto"/>
        </w:rPr>
      </w:pPr>
    </w:p>
    <w:p>
      <w:pPr>
        <w:ind w:left="960"/>
        <w:spacing w:after="0" w:line="258" w:lineRule="auto"/>
        <w:rPr>
          <w:sz w:val="20"/>
          <w:szCs w:val="20"/>
          <w:color w:val="auto"/>
        </w:rPr>
      </w:pPr>
      <w:r>
        <w:rPr>
          <w:rFonts w:ascii="Arial" w:cs="Arial" w:eastAsia="Arial" w:hAnsi="Arial"/>
          <w:sz w:val="16"/>
          <w:szCs w:val="16"/>
          <w:color w:val="auto"/>
        </w:rPr>
        <w:t>H.C. Wainwright &amp; Co., LLC, as the Company’s sales agent (the “Agent”). Pursuant to the terms of the Sales Agreement, the Company may sell from time to time through the Agent shares of its common stock, par value $0.001 per share (the “Common Stock”), having an aggregate offering price of up to $20.0 million (the “ATM Shares”). Upon execution of the Sales Agreement, the Company terminated the ATM Equity Offering</w:t>
      </w:r>
      <w:r>
        <w:rPr>
          <w:rFonts w:ascii="Arial" w:cs="Arial" w:eastAsia="Arial" w:hAnsi="Arial"/>
          <w:sz w:val="24"/>
          <w:szCs w:val="24"/>
          <w:color w:val="auto"/>
          <w:vertAlign w:val="superscript"/>
        </w:rPr>
        <w:t>SM</w:t>
      </w:r>
      <w:r>
        <w:rPr>
          <w:rFonts w:ascii="Arial" w:cs="Arial" w:eastAsia="Arial" w:hAnsi="Arial"/>
          <w:sz w:val="16"/>
          <w:szCs w:val="16"/>
          <w:color w:val="auto"/>
        </w:rPr>
        <w:t xml:space="preserve"> Sales Agreement it had entered into on October 1, 2020 with BofA Securities, Inc. (“BofA Securities”). During the term of the sales agreement with BofA Securities, the Company sold a total of 3,296,123 shares of common stock for total gross proceeds of approximately $13.8 million.</w:t>
      </w:r>
    </w:p>
    <w:p>
      <w:pPr>
        <w:spacing w:after="0" w:line="161" w:lineRule="exact"/>
        <w:rPr>
          <w:sz w:val="20"/>
          <w:szCs w:val="20"/>
          <w:color w:val="auto"/>
        </w:rPr>
      </w:pPr>
    </w:p>
    <w:p>
      <w:pPr>
        <w:ind w:left="960" w:right="20"/>
        <w:spacing w:after="0" w:line="252" w:lineRule="auto"/>
        <w:rPr>
          <w:sz w:val="20"/>
          <w:szCs w:val="20"/>
          <w:color w:val="auto"/>
        </w:rPr>
      </w:pPr>
      <w:r>
        <w:rPr>
          <w:rFonts w:ascii="Arial" w:cs="Arial" w:eastAsia="Arial" w:hAnsi="Arial"/>
          <w:sz w:val="18"/>
          <w:szCs w:val="18"/>
          <w:color w:val="auto"/>
        </w:rPr>
        <w:t>On February 17, 2021, the Company issued and sold 8,749,999 shares of its Common Stock in an underwritten public offering raising gross proceeds of approximately $40.2 million at a price equal to $4.60 per share, before deducting the underwriting discount and estimated expenses of the offering. BofA Securities acted as book-running manager for the offering with Oppenheimer &amp; Co. acting as co-manager.</w:t>
      </w:r>
    </w:p>
    <w:p>
      <w:pPr>
        <w:spacing w:after="0" w:line="151" w:lineRule="exact"/>
        <w:rPr>
          <w:sz w:val="20"/>
          <w:szCs w:val="20"/>
          <w:color w:val="auto"/>
        </w:rPr>
      </w:pPr>
    </w:p>
    <w:p>
      <w:pPr>
        <w:ind w:left="960" w:right="20"/>
        <w:spacing w:after="0" w:line="264" w:lineRule="auto"/>
        <w:rPr>
          <w:sz w:val="20"/>
          <w:szCs w:val="20"/>
          <w:color w:val="auto"/>
        </w:rPr>
      </w:pPr>
      <w:r>
        <w:rPr>
          <w:rFonts w:ascii="Arial" w:cs="Arial" w:eastAsia="Arial" w:hAnsi="Arial"/>
          <w:sz w:val="17"/>
          <w:szCs w:val="17"/>
          <w:color w:val="auto"/>
        </w:rPr>
        <w:t>On October 19, 2017, Protalix Ltd. and Chiesi entered into an Exclusive License and Supply Agreement (the “Chiesi Ex-US Agreement”) pursuant to which Protalix Ltd. granted to Chiesi an exclusive license for all markets outside of the United States to commercialize pegunigalsidase alfa. On July 23, 2018, Protalix Ltd. entered into an Exclusive License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29348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left="1000" w:right="2060"/>
        <w:spacing w:after="0" w:line="26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7" w:lineRule="exact"/>
        <w:rPr>
          <w:sz w:val="20"/>
          <w:szCs w:val="20"/>
          <w:color w:val="auto"/>
        </w:rPr>
      </w:pPr>
    </w:p>
    <w:p>
      <w:pPr>
        <w:ind w:left="960" w:right="280"/>
        <w:spacing w:after="0" w:line="264" w:lineRule="auto"/>
        <w:rPr>
          <w:sz w:val="20"/>
          <w:szCs w:val="20"/>
          <w:color w:val="auto"/>
        </w:rPr>
      </w:pPr>
      <w:r>
        <w:rPr>
          <w:rFonts w:ascii="Arial" w:cs="Arial" w:eastAsia="Arial" w:hAnsi="Arial"/>
          <w:sz w:val="18"/>
          <w:szCs w:val="18"/>
          <w:color w:val="auto"/>
        </w:rPr>
        <w:t>and Supply Agreement with Chiesi (the “Chiesi US Agreement”) with respect to the commercialization of pegunigalsidase alfa in the United States.</w:t>
      </w:r>
    </w:p>
    <w:p>
      <w:pPr>
        <w:spacing w:after="0" w:line="114" w:lineRule="exact"/>
        <w:rPr>
          <w:sz w:val="20"/>
          <w:szCs w:val="20"/>
          <w:color w:val="auto"/>
        </w:rPr>
      </w:pPr>
    </w:p>
    <w:p>
      <w:pPr>
        <w:ind w:left="960" w:right="80"/>
        <w:spacing w:after="0" w:line="264" w:lineRule="auto"/>
        <w:rPr>
          <w:sz w:val="20"/>
          <w:szCs w:val="20"/>
          <w:color w:val="auto"/>
        </w:rPr>
      </w:pPr>
      <w:r>
        <w:rPr>
          <w:rFonts w:ascii="Arial" w:cs="Arial" w:eastAsia="Arial" w:hAnsi="Arial"/>
          <w:sz w:val="17"/>
          <w:szCs w:val="17"/>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capped at $10.0 million per year, and to receive additional payments of up to $320.0 million, in the aggregate, in regulatory and commercial milestone payments. Under the Chiesi US Agreement, Protalix Ltd. is entitled to payments of up to a maximum of $20.0 million to cover development costs for pegunigalsidase alfa, subject to a maximum of $7.5 million per year, and to receive additional payments of up to a maximum of $760.0 million, in the aggregate, in regulatory and commercial milestone payments. To date, Protalix Ltd. has received the full amount of development costs to which it is entitled under the Chiesi Agreements.</w:t>
      </w:r>
    </w:p>
    <w:p>
      <w:pPr>
        <w:spacing w:after="0" w:line="105" w:lineRule="exact"/>
        <w:rPr>
          <w:sz w:val="20"/>
          <w:szCs w:val="20"/>
          <w:color w:val="auto"/>
        </w:rPr>
      </w:pPr>
    </w:p>
    <w:p>
      <w:pPr>
        <w:ind w:left="960" w:right="40"/>
        <w:spacing w:after="0" w:line="309" w:lineRule="auto"/>
        <w:rPr>
          <w:sz w:val="20"/>
          <w:szCs w:val="20"/>
          <w:color w:val="auto"/>
        </w:rPr>
      </w:pPr>
      <w:r>
        <w:rPr>
          <w:rFonts w:ascii="Arial" w:cs="Arial" w:eastAsia="Arial" w:hAnsi="Arial"/>
          <w:sz w:val="15"/>
          <w:szCs w:val="15"/>
          <w:color w:val="auto"/>
        </w:rPr>
        <w:t>Under the terms of both of the Chiesi Agreements, Protalix Ltd. will manufacture all of the pegunigalsidase alfa needed under the agreements, subject to certain exceptions, and Chiesi will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85" w:lineRule="exact"/>
        <w:rPr>
          <w:sz w:val="20"/>
          <w:szCs w:val="20"/>
          <w:color w:val="auto"/>
        </w:rPr>
      </w:pPr>
    </w:p>
    <w:p>
      <w:pPr>
        <w:ind w:left="960" w:right="60"/>
        <w:spacing w:after="0" w:line="249" w:lineRule="auto"/>
        <w:rPr>
          <w:sz w:val="20"/>
          <w:szCs w:val="20"/>
          <w:color w:val="auto"/>
        </w:rPr>
      </w:pPr>
      <w:r>
        <w:rPr>
          <w:rFonts w:ascii="Arial" w:cs="Arial" w:eastAsia="Arial" w:hAnsi="Arial"/>
          <w:sz w:val="18"/>
          <w:szCs w:val="18"/>
          <w:color w:val="auto"/>
        </w:rPr>
        <w:t>On May 13, 2021, the Company signed a binding term sheet with Chiesi pursuant to which the Company and Chiesi amended the Chiesi Agreements in order to provide the Company with near-term capital. Chiesi agreed to make a $10.0 million payment to the Company before the end of the second quarter in exchange for a $25.0 million reduction in a longer term regulatory milestone payment in the Chiesi EX-US Agreement. All other regulatory and commercial milestone payments remain unchanged. The Company received the payment in June 2021. The Company also agreed to negotiate certain manufacturing related matters.</w:t>
      </w:r>
    </w:p>
    <w:p>
      <w:pPr>
        <w:spacing w:after="0" w:line="129" w:lineRule="exact"/>
        <w:rPr>
          <w:sz w:val="20"/>
          <w:szCs w:val="20"/>
          <w:color w:val="auto"/>
        </w:rPr>
      </w:pPr>
    </w:p>
    <w:p>
      <w:pPr>
        <w:ind w:left="960"/>
        <w:spacing w:after="0" w:line="265" w:lineRule="auto"/>
        <w:rPr>
          <w:sz w:val="20"/>
          <w:szCs w:val="20"/>
          <w:color w:val="auto"/>
        </w:rPr>
      </w:pPr>
      <w:r>
        <w:rPr>
          <w:rFonts w:ascii="Arial" w:cs="Arial" w:eastAsia="Arial" w:hAnsi="Arial"/>
          <w:sz w:val="17"/>
          <w:szCs w:val="17"/>
          <w:color w:val="auto"/>
        </w:rPr>
        <w:t>Since its approval by the FDA, taliglucerase alfa has been marketed by Pfizer in accordance with the Pfizer Agreement. In October 2015, Protalix Ltd. and Pfizer entered into an amended exclusive license and supply agreement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06" w:lineRule="exact"/>
        <w:rPr>
          <w:sz w:val="20"/>
          <w:szCs w:val="20"/>
          <w:color w:val="auto"/>
        </w:rPr>
      </w:pPr>
    </w:p>
    <w:p>
      <w:pPr>
        <w:ind w:left="960" w:right="60"/>
        <w:spacing w:after="0" w:line="309" w:lineRule="auto"/>
        <w:rPr>
          <w:sz w:val="20"/>
          <w:szCs w:val="20"/>
          <w:color w:val="auto"/>
        </w:rPr>
      </w:pPr>
      <w:r>
        <w:rPr>
          <w:rFonts w:ascii="Arial" w:cs="Arial" w:eastAsia="Arial" w:hAnsi="Arial"/>
          <w:sz w:val="15"/>
          <w:szCs w:val="15"/>
          <w:color w:val="auto"/>
        </w:rPr>
        <w:t>On June 18, 2013, the Company entered into a Supply and Technology Transfer Agreement (the “Brazil Agreement”) with Fundação Oswaldo Cruz (“Fiocruz”), an arm of the Brazilian Ministry of Health (the “Brazilian MoH”),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under the Brazil Agreement, and patients continue to be treated with BioManguinhos alfataliglicerase in Brazil.</w:t>
      </w:r>
    </w:p>
    <w:p>
      <w:pPr>
        <w:spacing w:after="0" w:line="85" w:lineRule="exact"/>
        <w:rPr>
          <w:sz w:val="20"/>
          <w:szCs w:val="20"/>
          <w:color w:val="auto"/>
        </w:rPr>
      </w:pPr>
    </w:p>
    <w:p>
      <w:pPr>
        <w:ind w:left="960" w:right="100"/>
        <w:spacing w:after="0" w:line="265" w:lineRule="auto"/>
        <w:rPr>
          <w:sz w:val="20"/>
          <w:szCs w:val="20"/>
          <w:color w:val="auto"/>
        </w:rPr>
      </w:pPr>
      <w:r>
        <w:rPr>
          <w:rFonts w:ascii="Arial" w:cs="Arial" w:eastAsia="Arial" w:hAnsi="Arial"/>
          <w:sz w:val="17"/>
          <w:szCs w:val="17"/>
          <w:color w:val="auto"/>
        </w:rPr>
        <w:t>COVID-19, which was declared by the World Health Organization to be a global pandemic on March 11, 2020, has had numerous adverse effects on the global economy. To date, the Company’s clinical trials have not been adversely affected by COVID-19, although certain practices the Company has adopted in its offices and facilities in an effort to promote social distancing have resulted in minor delays in the performance of administrative activities outside of the clinical programs. We continue to face uncertainty as to the degree and duration of that impact going forward. The Company does not know the length of time that the pandemic and related disruptions will continue, the impact of governmental regulations or easement of regulations in response to the strengthening or weakening of the pandemic, or the degree of overall potentially permanent changes in consumer behavior that may be caused by the pandemic.</w:t>
      </w:r>
    </w:p>
    <w:p>
      <w:pPr>
        <w:spacing w:after="0" w:line="115" w:lineRule="exact"/>
        <w:rPr>
          <w:sz w:val="20"/>
          <w:szCs w:val="20"/>
          <w:color w:val="auto"/>
        </w:rPr>
      </w:pPr>
    </w:p>
    <w:p>
      <w:pPr>
        <w:ind w:left="960" w:right="140"/>
        <w:spacing w:after="0" w:line="365" w:lineRule="auto"/>
        <w:rPr>
          <w:sz w:val="20"/>
          <w:szCs w:val="20"/>
          <w:color w:val="auto"/>
        </w:rPr>
      </w:pPr>
      <w:r>
        <w:rPr>
          <w:rFonts w:ascii="Arial" w:cs="Arial" w:eastAsia="Arial" w:hAnsi="Arial"/>
          <w:sz w:val="15"/>
          <w:szCs w:val="15"/>
          <w:color w:val="auto"/>
        </w:rPr>
        <w:t>The Company believes that its cash and cash equivalents and bank deposits as of September 30, 2021 are sufficient to satisfy the Company’s capital needs for at least 12 months from the date that these financial statements are issued.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left="1000" w:right="2060"/>
        <w:spacing w:after="0" w:line="26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1" w:lineRule="exact"/>
        <w:rPr>
          <w:sz w:val="20"/>
          <w:szCs w:val="20"/>
          <w:color w:val="auto"/>
        </w:rPr>
      </w:pPr>
    </w:p>
    <w:p>
      <w:pPr>
        <w:ind w:left="960" w:hanging="317"/>
        <w:spacing w:after="0"/>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56" w:lineRule="exact"/>
        <w:rPr>
          <w:rFonts w:ascii="Arial" w:cs="Arial" w:eastAsia="Arial" w:hAnsi="Arial"/>
          <w:sz w:val="18"/>
          <w:szCs w:val="18"/>
          <w:b w:val="1"/>
          <w:bCs w:val="1"/>
          <w:color w:val="auto"/>
        </w:rPr>
      </w:pPr>
    </w:p>
    <w:p>
      <w:pPr>
        <w:ind w:left="960" w:right="8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79" w:lineRule="exact"/>
        <w:rPr>
          <w:rFonts w:ascii="Arial" w:cs="Arial" w:eastAsia="Arial" w:hAnsi="Arial"/>
          <w:sz w:val="18"/>
          <w:szCs w:val="18"/>
          <w:b w:val="1"/>
          <w:bCs w:val="1"/>
          <w:color w:val="auto"/>
        </w:rPr>
      </w:pPr>
    </w:p>
    <w:p>
      <w:pPr>
        <w:ind w:left="960" w:right="4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These unaudited condensed consolidated financial statements should be read in conjunction with the audited consolidated financial statements in the Annual Report on Form 10-K for the year ended December 31, 2020, filed by the Company with the U.S. Securities and Exchange Commission (the “Commission”). The comparative balance sheet at December 31, 2020 has been derived from the audited financial statements at that date. There have been no material changes in our significant accounting policies as described in our consolidated financial statements for the year ended December 31, 2020.</w:t>
      </w:r>
    </w:p>
    <w:p>
      <w:pPr>
        <w:spacing w:after="0" w:line="144" w:lineRule="exact"/>
        <w:rPr>
          <w:rFonts w:ascii="Arial" w:cs="Arial" w:eastAsia="Arial" w:hAnsi="Arial"/>
          <w:sz w:val="18"/>
          <w:szCs w:val="18"/>
          <w:b w:val="1"/>
          <w:bCs w:val="1"/>
          <w:color w:val="auto"/>
        </w:rPr>
      </w:pPr>
    </w:p>
    <w:p>
      <w:pPr>
        <w:ind w:left="960" w:hanging="317"/>
        <w:spacing w:after="0"/>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3" w:lineRule="exact"/>
        <w:rPr>
          <w:rFonts w:ascii="Arial" w:cs="Arial" w:eastAsia="Arial" w:hAnsi="Arial"/>
          <w:sz w:val="18"/>
          <w:szCs w:val="18"/>
          <w:b w:val="1"/>
          <w:bCs w:val="1"/>
          <w:color w:val="auto"/>
        </w:rPr>
      </w:pPr>
    </w:p>
    <w:p>
      <w:pPr>
        <w:ind w:left="960" w:right="80"/>
        <w:spacing w:after="0" w:line="306" w:lineRule="auto"/>
        <w:rPr>
          <w:rFonts w:ascii="Arial" w:cs="Arial" w:eastAsia="Arial" w:hAnsi="Arial"/>
          <w:sz w:val="18"/>
          <w:szCs w:val="18"/>
          <w:b w:val="1"/>
          <w:bCs w:val="1"/>
          <w:color w:val="auto"/>
        </w:rPr>
      </w:pPr>
      <w:r>
        <w:rPr>
          <w:rFonts w:ascii="Arial" w:cs="Arial" w:eastAsia="Arial" w:hAnsi="Arial"/>
          <w:sz w:val="15"/>
          <w:szCs w:val="15"/>
          <w:color w:val="auto"/>
        </w:rPr>
        <w:t>Basic and diluted loss per share (“LPS”) are computed by dividing net loss by the weighted average number of shares of the Company’s Common Stock attributable to common stockholders outstanding for each period. The calculation of diluted LPS does not include 26,905,842 and 21,405,733 shares of Common Stock underlying outstanding options and shares of Common Stock issuable upon conversion of outstanding 2021 Notes and outstanding warrants for the three and nine months ended September 30, 2020, respectively, and 27,962,842 and 26,847,081 shares of Common Stock underlying outstanding options and shares of Common Stock issuable upon conversion of outstanding 2021 Notes, 2024 Notes and outstanding warrants for the three and nine months ended September 30, 2021, respectively, because their effect would be anti-dilutive.</w:t>
      </w:r>
    </w:p>
    <w:p>
      <w:pPr>
        <w:spacing w:after="0" w:line="150" w:lineRule="exact"/>
        <w:rPr>
          <w:rFonts w:ascii="Arial" w:cs="Arial" w:eastAsia="Arial" w:hAnsi="Arial"/>
          <w:sz w:val="18"/>
          <w:szCs w:val="18"/>
          <w:b w:val="1"/>
          <w:bCs w:val="1"/>
          <w:color w:val="auto"/>
        </w:rPr>
      </w:pPr>
    </w:p>
    <w:p>
      <w:pPr>
        <w:ind w:left="960" w:hanging="317"/>
        <w:spacing w:after="0"/>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3" w:lineRule="exact"/>
        <w:rPr>
          <w:rFonts w:ascii="Arial" w:cs="Arial" w:eastAsia="Arial" w:hAnsi="Arial"/>
          <w:sz w:val="18"/>
          <w:szCs w:val="18"/>
          <w:b w:val="1"/>
          <w:bCs w:val="1"/>
          <w:color w:val="auto"/>
        </w:rPr>
      </w:pPr>
    </w:p>
    <w:p>
      <w:pPr>
        <w:ind w:left="960" w:right="8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59" w:lineRule="exact"/>
        <w:rPr>
          <w:rFonts w:ascii="Arial" w:cs="Arial" w:eastAsia="Arial" w:hAnsi="Arial"/>
          <w:sz w:val="18"/>
          <w:szCs w:val="18"/>
          <w:b w:val="1"/>
          <w:bCs w:val="1"/>
          <w:color w:val="auto"/>
        </w:rPr>
      </w:pPr>
    </w:p>
    <w:p>
      <w:pPr>
        <w:ind w:left="960" w:right="8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Revenues are recorded in the amount of consideration to which the Company expects to be entitled in exchange for performance obligations upon transfer of control to the customer.</w:t>
      </w:r>
    </w:p>
    <w:p>
      <w:pPr>
        <w:spacing w:after="0" w:line="180" w:lineRule="exact"/>
        <w:rPr>
          <w:rFonts w:ascii="Arial" w:cs="Arial" w:eastAsia="Arial" w:hAnsi="Arial"/>
          <w:sz w:val="18"/>
          <w:szCs w:val="18"/>
          <w:b w:val="1"/>
          <w:bCs w:val="1"/>
          <w:color w:val="auto"/>
        </w:rPr>
      </w:pPr>
    </w:p>
    <w:p>
      <w:pPr>
        <w:ind w:left="1280" w:hanging="319"/>
        <w:spacing w:after="0"/>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Revenues from selling products</w:t>
      </w:r>
    </w:p>
    <w:p>
      <w:pPr>
        <w:spacing w:after="0" w:line="177" w:lineRule="exact"/>
        <w:rPr>
          <w:rFonts w:ascii="Arial" w:cs="Arial" w:eastAsia="Arial" w:hAnsi="Arial"/>
          <w:sz w:val="18"/>
          <w:szCs w:val="18"/>
          <w:color w:val="auto"/>
        </w:rPr>
      </w:pPr>
    </w:p>
    <w:p>
      <w:pPr>
        <w:ind w:left="1280" w:right="240"/>
        <w:spacing w:after="0" w:line="264" w:lineRule="auto"/>
        <w:rPr>
          <w:rFonts w:ascii="Arial" w:cs="Arial" w:eastAsia="Arial" w:hAnsi="Arial"/>
          <w:sz w:val="18"/>
          <w:szCs w:val="18"/>
          <w:color w:val="auto"/>
        </w:rPr>
      </w:pPr>
      <w:r>
        <w:rPr>
          <w:rFonts w:ascii="Arial" w:cs="Arial" w:eastAsia="Arial" w:hAnsi="Arial"/>
          <w:sz w:val="18"/>
          <w:szCs w:val="18"/>
          <w:color w:val="auto"/>
        </w:rPr>
        <w:t>The Company recognizes revenues from selling goods at a point in time when control over the product is transferred to customers (upon delivery).</w:t>
      </w:r>
    </w:p>
    <w:p>
      <w:pPr>
        <w:spacing w:after="0" w:line="154" w:lineRule="exact"/>
        <w:rPr>
          <w:rFonts w:ascii="Arial" w:cs="Arial" w:eastAsia="Arial" w:hAnsi="Arial"/>
          <w:sz w:val="18"/>
          <w:szCs w:val="18"/>
          <w:color w:val="auto"/>
        </w:rPr>
      </w:pPr>
    </w:p>
    <w:p>
      <w:pPr>
        <w:ind w:left="1280" w:hanging="319"/>
        <w:spacing w:after="0"/>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 from Chiesi Agreements</w:t>
      </w:r>
    </w:p>
    <w:p>
      <w:pPr>
        <w:spacing w:after="0" w:line="177" w:lineRule="exact"/>
        <w:rPr>
          <w:rFonts w:ascii="Arial" w:cs="Arial" w:eastAsia="Arial" w:hAnsi="Arial"/>
          <w:sz w:val="18"/>
          <w:szCs w:val="18"/>
          <w:color w:val="auto"/>
        </w:rPr>
      </w:pPr>
    </w:p>
    <w:p>
      <w:pPr>
        <w:ind w:left="1280" w:right="240"/>
        <w:spacing w:after="0" w:line="365" w:lineRule="auto"/>
        <w:rPr>
          <w:rFonts w:ascii="Arial" w:cs="Arial" w:eastAsia="Arial" w:hAnsi="Arial"/>
          <w:sz w:val="18"/>
          <w:szCs w:val="18"/>
          <w:color w:val="auto"/>
        </w:rPr>
      </w:pPr>
      <w:r>
        <w:rPr>
          <w:rFonts w:ascii="Arial" w:cs="Arial" w:eastAsia="Arial" w:hAnsi="Arial"/>
          <w:sz w:val="15"/>
          <w:szCs w:val="15"/>
          <w:color w:val="auto"/>
        </w:rPr>
        <w:t>The Company has identified two performance obligations in Chiesi agreements as follows: (1) the license and research and development services and (2) the contingent performance obligation regarding future manufacturing.</w:t>
      </w:r>
    </w:p>
    <w:p>
      <w:pPr>
        <w:spacing w:after="0" w:line="72" w:lineRule="exact"/>
        <w:rPr>
          <w:sz w:val="20"/>
          <w:szCs w:val="20"/>
          <w:color w:val="auto"/>
        </w:rPr>
      </w:pPr>
    </w:p>
    <w:p>
      <w:pPr>
        <w:ind w:left="1280"/>
        <w:spacing w:after="0" w:line="330" w:lineRule="auto"/>
        <w:rPr>
          <w:sz w:val="20"/>
          <w:szCs w:val="20"/>
          <w:color w:val="auto"/>
        </w:rPr>
      </w:pPr>
      <w:r>
        <w:rPr>
          <w:rFonts w:ascii="Arial" w:cs="Arial" w:eastAsia="Arial" w:hAnsi="Arial"/>
          <w:sz w:val="15"/>
          <w:szCs w:val="15"/>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left="1020" w:right="2040"/>
        <w:spacing w:after="0" w:line="26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7" w:lineRule="exact"/>
        <w:rPr>
          <w:sz w:val="20"/>
          <w:szCs w:val="20"/>
          <w:color w:val="auto"/>
        </w:rPr>
      </w:pPr>
    </w:p>
    <w:p>
      <w:pPr>
        <w:ind w:left="1280" w:right="120"/>
        <w:spacing w:after="0" w:line="330" w:lineRule="auto"/>
        <w:rPr>
          <w:sz w:val="20"/>
          <w:szCs w:val="20"/>
          <w:color w:val="auto"/>
        </w:rPr>
      </w:pPr>
      <w:r>
        <w:rPr>
          <w:rFonts w:ascii="Arial" w:cs="Arial" w:eastAsia="Arial" w:hAnsi="Arial"/>
          <w:sz w:val="15"/>
          <w:szCs w:val="15"/>
          <w:color w:val="auto"/>
        </w:rPr>
        <w:t>The future manufacturing is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w:t>
      </w:r>
    </w:p>
    <w:p>
      <w:pPr>
        <w:spacing w:after="0" w:line="97" w:lineRule="exact"/>
        <w:rPr>
          <w:sz w:val="20"/>
          <w:szCs w:val="20"/>
          <w:color w:val="auto"/>
        </w:rPr>
      </w:pPr>
    </w:p>
    <w:p>
      <w:pPr>
        <w:ind w:left="1280" w:right="40"/>
        <w:spacing w:after="0" w:line="265" w:lineRule="auto"/>
        <w:rPr>
          <w:sz w:val="20"/>
          <w:szCs w:val="20"/>
          <w:color w:val="auto"/>
        </w:rPr>
      </w:pPr>
      <w:r>
        <w:rPr>
          <w:rFonts w:ascii="Arial" w:cs="Arial" w:eastAsia="Arial" w:hAnsi="Arial"/>
          <w:sz w:val="17"/>
          <w:szCs w:val="17"/>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w:t>
      </w:r>
    </w:p>
    <w:p>
      <w:pPr>
        <w:spacing w:after="0" w:line="159" w:lineRule="exact"/>
        <w:rPr>
          <w:sz w:val="20"/>
          <w:szCs w:val="20"/>
          <w:color w:val="auto"/>
        </w:rPr>
      </w:pPr>
    </w:p>
    <w:p>
      <w:pPr>
        <w:ind w:left="1280"/>
        <w:spacing w:after="0" w:line="252" w:lineRule="auto"/>
        <w:rPr>
          <w:sz w:val="20"/>
          <w:szCs w:val="20"/>
          <w:color w:val="auto"/>
        </w:rPr>
      </w:pPr>
      <w:r>
        <w:rPr>
          <w:rFonts w:ascii="Arial" w:cs="Arial" w:eastAsia="Arial" w:hAnsi="Arial"/>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The Company used significant judgment when it determined the costs expected to be incurred upon satisfying the identified performance obligation.</w:t>
      </w:r>
    </w:p>
    <w:p>
      <w:pPr>
        <w:spacing w:after="0" w:line="151" w:lineRule="exact"/>
        <w:rPr>
          <w:sz w:val="20"/>
          <w:szCs w:val="20"/>
          <w:color w:val="auto"/>
        </w:rPr>
      </w:pPr>
    </w:p>
    <w:p>
      <w:pPr>
        <w:ind w:left="1280" w:right="100"/>
        <w:spacing w:after="0" w:line="264" w:lineRule="auto"/>
        <w:rPr>
          <w:sz w:val="20"/>
          <w:szCs w:val="20"/>
          <w:color w:val="auto"/>
        </w:rPr>
      </w:pPr>
      <w:r>
        <w:rPr>
          <w:rFonts w:ascii="Arial" w:cs="Arial" w:eastAsia="Arial" w:hAnsi="Arial"/>
          <w:sz w:val="18"/>
          <w:szCs w:val="18"/>
          <w:color w:val="auto"/>
        </w:rPr>
        <w:t>Revenue from additional research and development services ordered by Chiesi is recognized over time using the cost-to-cost method.</w:t>
      </w:r>
    </w:p>
    <w:p>
      <w:pPr>
        <w:spacing w:after="0" w:line="141" w:lineRule="exact"/>
        <w:rPr>
          <w:sz w:val="20"/>
          <w:szCs w:val="20"/>
          <w:color w:val="auto"/>
        </w:rPr>
      </w:pPr>
    </w:p>
    <w:p>
      <w:pPr>
        <w:ind w:left="1280" w:hanging="319"/>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from R&amp;D services</w:t>
      </w:r>
    </w:p>
    <w:p>
      <w:pPr>
        <w:spacing w:after="0" w:line="177" w:lineRule="exact"/>
        <w:rPr>
          <w:rFonts w:ascii="Arial" w:cs="Arial" w:eastAsia="Arial" w:hAnsi="Arial"/>
          <w:sz w:val="18"/>
          <w:szCs w:val="18"/>
          <w:color w:val="auto"/>
        </w:rPr>
      </w:pPr>
    </w:p>
    <w:p>
      <w:pPr>
        <w:ind w:left="1280" w:right="360"/>
        <w:spacing w:after="0" w:line="294" w:lineRule="auto"/>
        <w:rPr>
          <w:rFonts w:ascii="Arial" w:cs="Arial" w:eastAsia="Arial" w:hAnsi="Arial"/>
          <w:sz w:val="18"/>
          <w:szCs w:val="18"/>
          <w:color w:val="auto"/>
        </w:rPr>
      </w:pPr>
      <w:r>
        <w:rPr>
          <w:rFonts w:ascii="Arial" w:cs="Arial" w:eastAsia="Arial" w:hAnsi="Arial"/>
          <w:sz w:val="17"/>
          <w:szCs w:val="17"/>
          <w:color w:val="auto"/>
        </w:rPr>
        <w:t>Revenue from the research and development services is recognized over time using the cost-to-cost method since the customer benefits from the research and development services as the entity performs the service.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at September 30, 2021 and December 31, 2020 consisted of the following:</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574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9"/>
        </w:trPr>
        <w:tc>
          <w:tcPr>
            <w:tcW w:w="57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39"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39"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7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3,170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3,347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4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line="205" w:lineRule="exact"/>
              <w:rPr>
                <w:sz w:val="20"/>
                <w:szCs w:val="20"/>
                <w:color w:val="auto"/>
              </w:rPr>
            </w:pPr>
            <w:r>
              <w:rPr>
                <w:rFonts w:ascii="Arial" w:cs="Arial" w:eastAsia="Arial" w:hAnsi="Arial"/>
                <w:sz w:val="18"/>
                <w:szCs w:val="18"/>
                <w:color w:val="auto"/>
              </w:rPr>
              <w:t>Total inventory</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14,730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13,082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97" w:lineRule="exact"/>
        <w:rPr>
          <w:sz w:val="20"/>
          <w:szCs w:val="20"/>
          <w:color w:val="auto"/>
        </w:rPr>
      </w:pPr>
    </w:p>
    <w:p>
      <w:pPr>
        <w:ind w:left="640" w:right="80"/>
        <w:spacing w:after="0" w:line="255" w:lineRule="auto"/>
        <w:rPr>
          <w:sz w:val="20"/>
          <w:szCs w:val="20"/>
          <w:color w:val="auto"/>
        </w:rPr>
      </w:pPr>
      <w:r>
        <w:rPr>
          <w:rFonts w:ascii="Arial" w:cs="Arial" w:eastAsia="Arial" w:hAnsi="Arial"/>
          <w:sz w:val="18"/>
          <w:szCs w:val="18"/>
          <w:color w:val="auto"/>
        </w:rPr>
        <w:t>The Company measures fair value and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48"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color w:val="auto"/>
        </w:rPr>
        <w:t>The accounting standard establishes a fair value hierarchy that prioritizes observable and unobservable inputs used to measure fair value into three broad levels, which are described below:</w:t>
      </w:r>
    </w:p>
    <w:p>
      <w:pPr>
        <w:spacing w:after="0" w:line="141"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77"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657" w:right="10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left="1000" w:right="2060"/>
        <w:spacing w:after="0" w:line="26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7" w:lineRule="exact"/>
        <w:rPr>
          <w:sz w:val="20"/>
          <w:szCs w:val="20"/>
          <w:color w:val="auto"/>
        </w:rPr>
      </w:pPr>
    </w:p>
    <w:p>
      <w:pPr>
        <w:ind w:left="640" w:right="100"/>
        <w:spacing w:after="0" w:line="365" w:lineRule="auto"/>
        <w:rPr>
          <w:sz w:val="20"/>
          <w:szCs w:val="20"/>
          <w:color w:val="auto"/>
        </w:rPr>
      </w:pPr>
      <w:r>
        <w:rPr>
          <w:rFonts w:ascii="Arial" w:cs="Arial" w:eastAsia="Arial" w:hAnsi="Arial"/>
          <w:sz w:val="15"/>
          <w:szCs w:val="15"/>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72" w:lineRule="exact"/>
        <w:rPr>
          <w:sz w:val="20"/>
          <w:szCs w:val="20"/>
          <w:color w:val="auto"/>
        </w:rPr>
      </w:pPr>
    </w:p>
    <w:p>
      <w:pPr>
        <w:ind w:left="640" w:right="360"/>
        <w:spacing w:after="0" w:line="264" w:lineRule="auto"/>
        <w:rPr>
          <w:sz w:val="20"/>
          <w:szCs w:val="20"/>
          <w:color w:val="auto"/>
        </w:rPr>
      </w:pPr>
      <w:r>
        <w:rPr>
          <w:rFonts w:ascii="Arial" w:cs="Arial" w:eastAsia="Arial" w:hAnsi="Arial"/>
          <w:sz w:val="18"/>
          <w:szCs w:val="18"/>
          <w:color w:val="auto"/>
        </w:rPr>
        <w:t>The fair value of the financial instruments included in the working capital of the Company is usually identical or close to their carrying value.</w:t>
      </w:r>
    </w:p>
    <w:p>
      <w:pPr>
        <w:spacing w:after="0" w:line="154"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As of September 30, 2021, the carrying amounts of short-term deposits approximate their fair values due to the stated interest rates, which approximate market rates.</w:t>
      </w:r>
    </w:p>
    <w:p>
      <w:pPr>
        <w:spacing w:after="0" w:line="141" w:lineRule="exact"/>
        <w:rPr>
          <w:sz w:val="20"/>
          <w:szCs w:val="20"/>
          <w:color w:val="auto"/>
        </w:rPr>
      </w:pPr>
    </w:p>
    <w:p>
      <w:pPr>
        <w:ind w:left="640" w:right="160"/>
        <w:spacing w:after="0" w:line="277" w:lineRule="auto"/>
        <w:rPr>
          <w:sz w:val="20"/>
          <w:szCs w:val="20"/>
          <w:color w:val="auto"/>
        </w:rPr>
      </w:pPr>
      <w:r>
        <w:rPr>
          <w:rFonts w:ascii="Arial" w:cs="Arial" w:eastAsia="Arial" w:hAnsi="Arial"/>
          <w:sz w:val="17"/>
          <w:szCs w:val="17"/>
          <w:color w:val="auto"/>
        </w:rPr>
        <w:t>Based on a Level 3 measurement, as of September 30, 2021, the fair value of the $3.27 million aggregate principal amount of the Company’s outstanding 2021 Notes is approximately $3.4 million and the fair value of the $28.75 million aggregate principal amount of the Company’s outstanding 2024 Notes is approximately $39.8 million.</w:t>
      </w:r>
    </w:p>
    <w:p>
      <w:pPr>
        <w:spacing w:after="0" w:line="171" w:lineRule="exact"/>
        <w:rPr>
          <w:sz w:val="20"/>
          <w:szCs w:val="20"/>
          <w:color w:val="auto"/>
        </w:rPr>
      </w:pPr>
    </w:p>
    <w:p>
      <w:pPr>
        <w:ind w:left="640" w:right="260"/>
        <w:spacing w:after="0" w:line="277" w:lineRule="auto"/>
        <w:rPr>
          <w:sz w:val="20"/>
          <w:szCs w:val="20"/>
          <w:color w:val="auto"/>
        </w:rPr>
      </w:pPr>
      <w:r>
        <w:rPr>
          <w:rFonts w:ascii="Arial" w:cs="Arial" w:eastAsia="Arial" w:hAnsi="Arial"/>
          <w:sz w:val="17"/>
          <w:szCs w:val="17"/>
          <w:color w:val="auto"/>
        </w:rPr>
        <w:t>The Company prepared a valuation of the fair value of the Company’s outstanding 2021 Notes and 2024 Notes (a Level 3 valuation) as of September 30, 2021. The value of these notes was estimated by implementing the binomial model. The liability component was valued based on the Income Approach. The following parameters were used:</w:t>
      </w:r>
    </w:p>
    <w:p>
      <w:pPr>
        <w:spacing w:after="0" w:line="134"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60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2021 Notes</w:t>
            </w:r>
          </w:p>
        </w:tc>
        <w:tc>
          <w:tcPr>
            <w:tcW w:w="3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2024 Notes</w:t>
            </w:r>
          </w:p>
        </w:tc>
        <w:tc>
          <w:tcPr>
            <w:tcW w:w="180" w:type="dxa"/>
            <w:vAlign w:val="bottom"/>
            <w:tcBorders>
              <w:bottom w:val="single" w:sz="8" w:color="CCEEFF"/>
            </w:tcBorders>
          </w:tcPr>
          <w:p>
            <w:pPr>
              <w:spacing w:after="0"/>
              <w:rPr>
                <w:sz w:val="14"/>
                <w:szCs w:val="14"/>
                <w:color w:val="auto"/>
              </w:rPr>
            </w:pPr>
          </w:p>
        </w:tc>
      </w:tr>
      <w:tr>
        <w:trPr>
          <w:trHeight w:val="205"/>
        </w:trPr>
        <w:tc>
          <w:tcPr>
            <w:tcW w:w="60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Stock price (USD)</w:t>
            </w:r>
          </w:p>
        </w:tc>
        <w:tc>
          <w:tcPr>
            <w:tcW w:w="6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7"/>
                <w:szCs w:val="17"/>
                <w:color w:val="auto"/>
              </w:rPr>
            </w:pPr>
          </w:p>
        </w:tc>
      </w:tr>
      <w:tr>
        <w:trPr>
          <w:trHeight w:val="212"/>
        </w:trPr>
        <w:tc>
          <w:tcPr>
            <w:tcW w:w="6040" w:type="dxa"/>
            <w:vAlign w:val="bottom"/>
          </w:tcPr>
          <w:p>
            <w:pPr>
              <w:spacing w:after="0"/>
              <w:rPr>
                <w:sz w:val="20"/>
                <w:szCs w:val="20"/>
                <w:color w:val="auto"/>
              </w:rPr>
            </w:pPr>
            <w:r>
              <w:rPr>
                <w:rFonts w:ascii="Arial" w:cs="Arial" w:eastAsia="Arial" w:hAnsi="Arial"/>
                <w:sz w:val="18"/>
                <w:szCs w:val="18"/>
                <w:color w:val="auto"/>
              </w:rPr>
              <w:t>Expected term</w:t>
            </w:r>
          </w:p>
        </w:tc>
        <w:tc>
          <w:tcPr>
            <w:tcW w:w="68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r>
      <w:tr>
        <w:trPr>
          <w:trHeight w:val="212"/>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2"/>
        </w:trPr>
        <w:tc>
          <w:tcPr>
            <w:tcW w:w="6040" w:type="dxa"/>
            <w:vAlign w:val="bottom"/>
          </w:tcPr>
          <w:p>
            <w:pPr>
              <w:spacing w:after="0"/>
              <w:rPr>
                <w:sz w:val="20"/>
                <w:szCs w:val="20"/>
                <w:color w:val="auto"/>
              </w:rPr>
            </w:pPr>
            <w:r>
              <w:rPr>
                <w:rFonts w:ascii="Arial" w:cs="Arial" w:eastAsia="Arial" w:hAnsi="Arial"/>
                <w:sz w:val="18"/>
                <w:szCs w:val="18"/>
                <w:color w:val="auto"/>
              </w:rPr>
              <w:t>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81.16</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91.77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2"/>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Yield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disaggregation of revenues:</w:t>
      </w:r>
    </w:p>
    <w:p>
      <w:pPr>
        <w:spacing w:after="0" w:line="194" w:lineRule="exact"/>
        <w:rPr>
          <w:sz w:val="20"/>
          <w:szCs w:val="20"/>
          <w:color w:val="auto"/>
        </w:rPr>
      </w:pPr>
    </w:p>
    <w:tbl>
      <w:tblPr>
        <w:tblLayout w:type="fixed"/>
        <w:tblInd w:w="960" w:type="dxa"/>
        <w:tblCellMar>
          <w:top w:w="0" w:type="dxa"/>
          <w:left w:w="0" w:type="dxa"/>
          <w:bottom w:w="0" w:type="dxa"/>
          <w:right w:w="0" w:type="dxa"/>
        </w:tblCellMar>
      </w:tblPr>
      <w:tr>
        <w:trPr>
          <w:trHeight w:val="168"/>
        </w:trPr>
        <w:tc>
          <w:tcPr>
            <w:tcW w:w="320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60" w:type="dxa"/>
            <w:vAlign w:val="bottom"/>
          </w:tcPr>
          <w:p>
            <w:pPr>
              <w:spacing w:after="0"/>
              <w:rPr>
                <w:sz w:val="14"/>
                <w:szCs w:val="14"/>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Three Months Ended September 30,</w:t>
            </w:r>
          </w:p>
        </w:tc>
        <w:tc>
          <w:tcPr>
            <w:tcW w:w="14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39"/>
        </w:trPr>
        <w:tc>
          <w:tcPr>
            <w:tcW w:w="32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39"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39"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3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Pfizer</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3,165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7,883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5,844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20"/>
                <w:szCs w:val="20"/>
                <w:color w:val="auto"/>
              </w:rPr>
            </w:pPr>
            <w:r>
              <w:rPr>
                <w:rFonts w:ascii="Arial" w:cs="Arial" w:eastAsia="Arial" w:hAnsi="Arial"/>
                <w:sz w:val="18"/>
                <w:szCs w:val="18"/>
                <w:color w:val="auto"/>
              </w:rPr>
              <w:t>Brazil</w:t>
            </w:r>
          </w:p>
        </w:tc>
        <w:tc>
          <w:tcPr>
            <w:tcW w:w="40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3,200</w:t>
            </w:r>
          </w:p>
        </w:tc>
        <w:tc>
          <w:tcPr>
            <w:tcW w:w="4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4,188</w:t>
            </w:r>
          </w:p>
        </w:tc>
        <w:tc>
          <w:tcPr>
            <w:tcW w:w="4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Chiesi</w:t>
            </w:r>
          </w:p>
        </w:tc>
        <w:tc>
          <w:tcPr>
            <w:tcW w:w="40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00" w:type="dxa"/>
            <w:vAlign w:val="bottom"/>
            <w:tcBorders>
              <w:bottom w:val="single" w:sz="8" w:color="CCEEFF"/>
            </w:tcBorders>
          </w:tcPr>
          <w:p>
            <w:pPr>
              <w:spacing w:after="0" w:line="205" w:lineRule="exact"/>
              <w:rPr>
                <w:sz w:val="20"/>
                <w:szCs w:val="20"/>
                <w:color w:val="auto"/>
              </w:rPr>
            </w:pPr>
            <w:r>
              <w:rPr>
                <w:rFonts w:ascii="Arial" w:cs="Arial" w:eastAsia="Arial" w:hAnsi="Arial"/>
                <w:sz w:val="18"/>
                <w:szCs w:val="18"/>
                <w:color w:val="auto"/>
              </w:rPr>
              <w:t>Total revenues from selling goods</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4,506</w:t>
            </w:r>
          </w:p>
        </w:tc>
        <w:tc>
          <w:tcPr>
            <w:tcW w:w="2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3,296</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12,260</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11,975</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w w:val="95"/>
              </w:rPr>
              <w:t>Revenues from license and R&amp;D services</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7,548</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7,494</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17,541</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31,428</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640" w:right="200"/>
        <w:spacing w:after="0" w:line="250" w:lineRule="auto"/>
        <w:rPr>
          <w:sz w:val="20"/>
          <w:szCs w:val="20"/>
          <w:color w:val="auto"/>
        </w:rPr>
      </w:pPr>
      <w:r>
        <w:rPr>
          <w:rFonts w:ascii="Arial" w:cs="Arial" w:eastAsia="Arial" w:hAnsi="Arial"/>
          <w:sz w:val="18"/>
          <w:szCs w:val="18"/>
          <w:color w:val="auto"/>
        </w:rPr>
        <w:t>During the nine months ended September 30, 2021 and 2020, the Company recognized revenues of approximately $16.5 million and $31.4 million, respectively, from license and R&amp;D services mainly in respect of the Chiesi Agreements, after taking into consideration change in estimate as detailed below. During the three months ended September 30, 2021 and 2020, the Company recognized revenues of approximately $6.5 million and $7.5 million, respectively, from license and R&amp;D services mainly in respect of the Chiesi Agreements.</w:t>
      </w:r>
    </w:p>
    <w:p>
      <w:pPr>
        <w:spacing w:after="0" w:line="167" w:lineRule="exact"/>
        <w:rPr>
          <w:sz w:val="20"/>
          <w:szCs w:val="20"/>
          <w:color w:val="auto"/>
        </w:rPr>
      </w:pPr>
    </w:p>
    <w:p>
      <w:pPr>
        <w:ind w:left="640" w:right="20"/>
        <w:spacing w:after="0" w:line="330" w:lineRule="auto"/>
        <w:rPr>
          <w:sz w:val="20"/>
          <w:szCs w:val="20"/>
          <w:color w:val="auto"/>
        </w:rPr>
      </w:pPr>
      <w:r>
        <w:rPr>
          <w:rFonts w:ascii="Arial" w:cs="Arial" w:eastAsia="Arial" w:hAnsi="Arial"/>
          <w:sz w:val="15"/>
          <w:szCs w:val="15"/>
          <w:color w:val="auto"/>
        </w:rPr>
        <w:t>During the nine months ended September 30, 2021, and following the CRL received from the FDA, the Company changed its estimate for total costs expected to be incurred until satisfying the performance obligation under the Chiesi Agreements. This resulted in a reduction to accumulated revenues recognized in respect of this performance obligation in the amount of $4.1 million.</w:t>
      </w:r>
    </w:p>
    <w:p>
      <w:pPr>
        <w:spacing w:after="0" w:line="97" w:lineRule="exact"/>
        <w:rPr>
          <w:sz w:val="20"/>
          <w:szCs w:val="20"/>
          <w:color w:val="auto"/>
        </w:rPr>
      </w:pPr>
    </w:p>
    <w:p>
      <w:pPr>
        <w:ind w:left="640"/>
        <w:spacing w:after="0" w:line="267" w:lineRule="auto"/>
        <w:rPr>
          <w:sz w:val="20"/>
          <w:szCs w:val="20"/>
          <w:color w:val="auto"/>
        </w:rPr>
      </w:pPr>
      <w:r>
        <w:rPr>
          <w:rFonts w:ascii="Arial" w:cs="Arial" w:eastAsia="Arial" w:hAnsi="Arial"/>
          <w:sz w:val="17"/>
          <w:szCs w:val="17"/>
          <w:color w:val="auto"/>
        </w:rPr>
        <w:t xml:space="preserve">During the three months ended September 30, 2021, the Company </w:t>
      </w:r>
      <w:r>
        <w:rPr>
          <w:rFonts w:ascii="Arial" w:cs="Arial" w:eastAsia="Arial" w:hAnsi="Arial"/>
          <w:sz w:val="17"/>
          <w:szCs w:val="17"/>
          <w:color w:val="212529"/>
        </w:rPr>
        <w:t>completed its obligations under a feasibility study it entered into</w:t>
      </w:r>
      <w:r>
        <w:rPr>
          <w:rFonts w:ascii="Arial" w:cs="Arial" w:eastAsia="Arial" w:hAnsi="Arial"/>
          <w:sz w:val="17"/>
          <w:szCs w:val="17"/>
          <w:color w:val="auto"/>
        </w:rPr>
        <w:t xml:space="preserve"> </w:t>
      </w:r>
      <w:r>
        <w:rPr>
          <w:rFonts w:ascii="Arial" w:cs="Arial" w:eastAsia="Arial" w:hAnsi="Arial"/>
          <w:sz w:val="17"/>
          <w:szCs w:val="17"/>
          <w:color w:val="212529"/>
        </w:rPr>
        <w:t>with Kirin Holdings Company, Limited (“Kirin”) on March 16, 2020, and the agreement expired, including the</w:t>
      </w: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29348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left="1000" w:right="2060"/>
        <w:spacing w:after="0" w:line="26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7"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color w:val="212529"/>
        </w:rPr>
        <w:t>option to provide additional services. Following the expiration of the option, the Company recognized as revenue during the three-month period ended September 30, 2021 the $1.0 million payment received in March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CONVERTIBLE NOTES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On August 25, 2021, the Company completed the Exchanges of a substantial majority of the Company’s outstanding 2021 Notes</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with certain institutional note holders. The Exchanges involved the exchange of an aggregate of $54.65 million principal amount</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of the Company’s outstanding 2021 Notes for an aggregate of $28.75 million principal amount of newly issued 2024 Notes,</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$25.90 million in cash, and approximately $1.1 million in cash representing accrued and unpaid interest through the issue date.</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initial conversion rate for the 2024 Notes is 563.2216 shares of Common Stock for each $1,000 principal amount of 2024</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Notes (equivalent to an initial conversion price of approximately $1.7755 per share of the Common Stock), subject to adjustment</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certain circumstances, which is based on a 32.5% premium to the closing price of the Common Stock on the NYSE American at</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close of trading on August 13, 2021, the exchange date.</w:t>
      </w:r>
    </w:p>
    <w:p>
      <w:pPr>
        <w:spacing w:after="0" w:line="166" w:lineRule="exact"/>
        <w:rPr>
          <w:sz w:val="20"/>
          <w:szCs w:val="20"/>
          <w:color w:val="auto"/>
        </w:rPr>
      </w:pPr>
    </w:p>
    <w:p>
      <w:pPr>
        <w:ind w:left="640" w:right="20"/>
        <w:spacing w:after="0" w:line="312" w:lineRule="auto"/>
        <w:rPr>
          <w:sz w:val="20"/>
          <w:szCs w:val="20"/>
          <w:color w:val="auto"/>
        </w:rPr>
      </w:pPr>
      <w:r>
        <w:rPr>
          <w:rFonts w:ascii="Arial" w:cs="Arial" w:eastAsia="Arial" w:hAnsi="Arial"/>
          <w:sz w:val="15"/>
          <w:szCs w:val="15"/>
          <w:color w:val="auto"/>
        </w:rPr>
        <w:t>The 2024 Notes were issued pursuant to an indenture entered into between the Company, the guarantors party thereto, The Bank of New York Mellon Trust Company, N.A., as trustee and Wilmington Savings Fund Society, FSB, as collateral agent. Interest on the Notes will be paid semi-annually at a rate of 7.50% per annum. The Notes will mature three years after the issuance thereof, unless earlier purchased, converted, exchanged or redeemed and are guaranteed by the Company’s subsidiaries. The 2024 Notes are secured by perfected liens on all of the assets of the Company and its subsidiaries.</w:t>
      </w:r>
    </w:p>
    <w:p>
      <w:pPr>
        <w:spacing w:after="0" w:line="111" w:lineRule="exact"/>
        <w:rPr>
          <w:sz w:val="20"/>
          <w:szCs w:val="20"/>
          <w:color w:val="auto"/>
        </w:rPr>
      </w:pPr>
    </w:p>
    <w:p>
      <w:pPr>
        <w:ind w:left="640" w:right="20"/>
        <w:spacing w:after="0" w:line="268" w:lineRule="auto"/>
        <w:rPr>
          <w:sz w:val="20"/>
          <w:szCs w:val="20"/>
          <w:color w:val="auto"/>
        </w:rPr>
      </w:pPr>
      <w:r>
        <w:rPr>
          <w:rFonts w:ascii="Arial" w:cs="Arial" w:eastAsia="Arial" w:hAnsi="Arial"/>
          <w:sz w:val="17"/>
          <w:szCs w:val="17"/>
          <w:color w:val="auto"/>
        </w:rPr>
        <w:t>Under the terms of the indentures governing each of the 2021 Notes and 2024 Notes, The Company is required to maintain a minimum cash balance of at least $7.5 million. In addition, under the exchange agreements the Company entered into with each of the institutional note holders that participated in the Exchanges (the “Exchange Agreements”), the Company agreed to maintain unrestricted cash of not less than $3.27 million, which is the amount necessary to redeem or repay at maturity all of the 2021 Notes that remain outstanding following the closing of the Exchanges.</w:t>
      </w:r>
    </w:p>
    <w:p>
      <w:pPr>
        <w:spacing w:after="0" w:line="154" w:lineRule="exact"/>
        <w:rPr>
          <w:sz w:val="20"/>
          <w:szCs w:val="20"/>
          <w:color w:val="auto"/>
        </w:rPr>
      </w:pPr>
    </w:p>
    <w:p>
      <w:pPr>
        <w:ind w:left="640" w:right="240"/>
        <w:spacing w:after="0" w:line="309" w:lineRule="auto"/>
        <w:rPr>
          <w:sz w:val="20"/>
          <w:szCs w:val="20"/>
          <w:color w:val="auto"/>
        </w:rPr>
      </w:pPr>
      <w:r>
        <w:rPr>
          <w:rFonts w:ascii="Arial" w:cs="Arial" w:eastAsia="Arial" w:hAnsi="Arial"/>
          <w:sz w:val="15"/>
          <w:szCs w:val="15"/>
          <w:color w:val="auto"/>
        </w:rPr>
        <w:t>For accounting purposes, as the terms of the 2021 Notes and the 2024 Notes are substantially different, the Exchanges are considered an extinguishment of debt. The Company allocated the fair value of the consideration transferred to the participating note holders between the 2021 Notes and their equity component based on the fair value of the liability component before the extinguishment, and the remainder was allocated to the equity component. As a result, the Company recognized a loss from extinguishment in the statement of operations equal to $0.8 million due to derecognition of the liability component of $54.8 million and the repurchase of the original equity component for $12.0 million.</w:t>
      </w:r>
    </w:p>
    <w:p>
      <w:pPr>
        <w:spacing w:after="0" w:line="112" w:lineRule="exact"/>
        <w:rPr>
          <w:sz w:val="20"/>
          <w:szCs w:val="20"/>
          <w:color w:val="auto"/>
        </w:rPr>
      </w:pPr>
    </w:p>
    <w:p>
      <w:pPr>
        <w:ind w:left="640" w:right="140"/>
        <w:spacing w:after="0" w:line="249" w:lineRule="auto"/>
        <w:rPr>
          <w:sz w:val="20"/>
          <w:szCs w:val="20"/>
          <w:color w:val="auto"/>
        </w:rPr>
      </w:pPr>
      <w:r>
        <w:rPr>
          <w:rFonts w:ascii="Arial" w:cs="Arial" w:eastAsia="Arial" w:hAnsi="Arial"/>
          <w:sz w:val="18"/>
          <w:szCs w:val="18"/>
          <w:color w:val="auto"/>
        </w:rPr>
        <w:t>All of the Company’s outstanding convertible notes are accounted for using the guidance set forth in the Financial Accounting Standards Board Accounting Standards Codification (ASC) 815 requiring that the Company determine whether the embedded conversion option must be separated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w:t>
      </w:r>
    </w:p>
    <w:p>
      <w:pPr>
        <w:spacing w:after="0" w:line="156" w:lineRule="exact"/>
        <w:rPr>
          <w:sz w:val="20"/>
          <w:szCs w:val="20"/>
          <w:color w:val="auto"/>
        </w:rPr>
      </w:pPr>
    </w:p>
    <w:p>
      <w:pPr>
        <w:ind w:left="640" w:right="20"/>
        <w:spacing w:after="0" w:line="330" w:lineRule="auto"/>
        <w:rPr>
          <w:sz w:val="20"/>
          <w:szCs w:val="20"/>
          <w:color w:val="auto"/>
        </w:rPr>
      </w:pPr>
      <w:r>
        <w:rPr>
          <w:rFonts w:ascii="Arial" w:cs="Arial" w:eastAsia="Arial" w:hAnsi="Arial"/>
          <w:sz w:val="15"/>
          <w:szCs w:val="15"/>
          <w:color w:val="auto"/>
        </w:rPr>
        <w:t>The Company accounted for the 2024 Notes as a liability (debt) and equity component (conversion option) as the convertible notes may be settled wholly or partly in cash, at the option of the Company, when converted. The equity component with respect to the cash conversion feature of approximately $12.0 million was recognized in the Company’s additional paid in capital.</w:t>
      </w:r>
    </w:p>
    <w:p>
      <w:pPr>
        <w:spacing w:after="0" w:line="110"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Transaction costs in the amount of approximately $869,000 were allocated to the liability and equity component. The debt discount and debt issuance costs regarding the issuance of the 2024 Notes are deferred and amortized over the convertible notes period using the effective interest rate.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left="1020" w:right="2040"/>
        <w:spacing w:after="0" w:line="26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7"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The Company prepared a valuation of the fair value of the 2024 Notes and 2021 Notes (a Level 3 valuation) as of August 25, 2021. The value was estimated by implementing the binomial model. The liability component was valued based on the Income Approach. The following parameters were used:</w:t>
      </w:r>
    </w:p>
    <w:p>
      <w:pPr>
        <w:spacing w:after="0" w:line="152"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60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2021 Notes</w:t>
            </w:r>
          </w:p>
        </w:tc>
        <w:tc>
          <w:tcPr>
            <w:tcW w:w="3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2024 Notes</w:t>
            </w:r>
          </w:p>
        </w:tc>
        <w:tc>
          <w:tcPr>
            <w:tcW w:w="180" w:type="dxa"/>
            <w:vAlign w:val="bottom"/>
            <w:tcBorders>
              <w:bottom w:val="single" w:sz="8" w:color="CCEEFF"/>
            </w:tcBorders>
          </w:tcPr>
          <w:p>
            <w:pPr>
              <w:spacing w:after="0"/>
              <w:rPr>
                <w:sz w:val="14"/>
                <w:szCs w:val="14"/>
                <w:color w:val="auto"/>
              </w:rPr>
            </w:pPr>
          </w:p>
        </w:tc>
      </w:tr>
      <w:tr>
        <w:trPr>
          <w:trHeight w:val="205"/>
        </w:trPr>
        <w:tc>
          <w:tcPr>
            <w:tcW w:w="60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Stock price (USD)</w:t>
            </w:r>
          </w:p>
        </w:tc>
        <w:tc>
          <w:tcPr>
            <w:tcW w:w="6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7"/>
                <w:szCs w:val="17"/>
                <w:color w:val="auto"/>
              </w:rPr>
            </w:pPr>
          </w:p>
        </w:tc>
      </w:tr>
      <w:tr>
        <w:trPr>
          <w:trHeight w:val="212"/>
        </w:trPr>
        <w:tc>
          <w:tcPr>
            <w:tcW w:w="6040" w:type="dxa"/>
            <w:vAlign w:val="bottom"/>
          </w:tcPr>
          <w:p>
            <w:pPr>
              <w:spacing w:after="0"/>
              <w:rPr>
                <w:sz w:val="20"/>
                <w:szCs w:val="20"/>
                <w:color w:val="auto"/>
              </w:rPr>
            </w:pPr>
            <w:r>
              <w:rPr>
                <w:rFonts w:ascii="Arial" w:cs="Arial" w:eastAsia="Arial" w:hAnsi="Arial"/>
                <w:sz w:val="18"/>
                <w:szCs w:val="18"/>
                <w:color w:val="auto"/>
              </w:rPr>
              <w:t>Expected term</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r>
      <w:tr>
        <w:trPr>
          <w:trHeight w:val="212"/>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2"/>
        </w:trPr>
        <w:tc>
          <w:tcPr>
            <w:tcW w:w="6040" w:type="dxa"/>
            <w:vAlign w:val="bottom"/>
          </w:tcPr>
          <w:p>
            <w:pPr>
              <w:spacing w:after="0"/>
              <w:rPr>
                <w:sz w:val="20"/>
                <w:szCs w:val="20"/>
                <w:color w:val="auto"/>
              </w:rPr>
            </w:pPr>
            <w:r>
              <w:rPr>
                <w:rFonts w:ascii="Arial" w:cs="Arial" w:eastAsia="Arial" w:hAnsi="Arial"/>
                <w:sz w:val="18"/>
                <w:szCs w:val="18"/>
                <w:color w:val="auto"/>
              </w:rPr>
              <w:t>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78.95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91.35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2"/>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Yield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 TRANSACTIONS</w:t>
      </w:r>
    </w:p>
    <w:p>
      <w:pPr>
        <w:spacing w:after="0" w:line="197" w:lineRule="exact"/>
        <w:rPr>
          <w:sz w:val="20"/>
          <w:szCs w:val="20"/>
          <w:color w:val="auto"/>
        </w:rPr>
      </w:pPr>
    </w:p>
    <w:p>
      <w:pPr>
        <w:jc w:val="both"/>
        <w:ind w:left="640" w:right="300"/>
        <w:spacing w:after="0" w:line="300" w:lineRule="auto"/>
        <w:rPr>
          <w:sz w:val="20"/>
          <w:szCs w:val="20"/>
          <w:color w:val="auto"/>
        </w:rPr>
      </w:pPr>
      <w:r>
        <w:rPr>
          <w:rFonts w:ascii="Arial" w:cs="Arial" w:eastAsia="Arial" w:hAnsi="Arial"/>
          <w:sz w:val="15"/>
          <w:szCs w:val="15"/>
          <w:color w:val="auto"/>
        </w:rPr>
        <w:t>On July 25, 2021, the Company granted to a new employee, with the approval of the Company’s compensation committee, 10-year options to purchase 50,000 shares of Common Stock under the Company’s Amended and Restated 2006 Employee Stock Incentive Plan, as amended. The options have an exercise price equal to $1.57 per share and vest over a four-year period in</w:t>
      </w:r>
    </w:p>
    <w:p>
      <w:pPr>
        <w:spacing w:after="0" w:line="1" w:lineRule="exact"/>
        <w:rPr>
          <w:sz w:val="20"/>
          <w:szCs w:val="20"/>
          <w:color w:val="auto"/>
        </w:rPr>
      </w:pPr>
    </w:p>
    <w:p>
      <w:pPr>
        <w:ind w:left="640" w:right="180"/>
        <w:spacing w:after="0" w:line="247" w:lineRule="auto"/>
        <w:rPr>
          <w:sz w:val="20"/>
          <w:szCs w:val="20"/>
          <w:color w:val="auto"/>
        </w:rPr>
      </w:pPr>
      <w:r>
        <w:rPr>
          <w:rFonts w:ascii="Arial" w:cs="Arial" w:eastAsia="Arial" w:hAnsi="Arial"/>
          <w:sz w:val="18"/>
          <w:szCs w:val="18"/>
          <w:color w:val="auto"/>
        </w:rPr>
        <w:t>16 equal quarterly increments. The Company estimated the fair value of the options on the date of grant using the Black-Scholes option-pricing model to be approximately $55,000 based on the following weighted average assumptions: share price equal to $1.57; dividend yield of 0% for all years; expected volatility of 84.3%; risk-free interest rate of 0.88%; and expected life of six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23" w:lineRule="exact"/>
        <w:rPr>
          <w:sz w:val="20"/>
          <w:szCs w:val="20"/>
          <w:color w:val="auto"/>
        </w:rPr>
      </w:pPr>
    </w:p>
    <w:p>
      <w:pPr>
        <w:jc w:val="both"/>
        <w:ind w:left="640" w:right="260"/>
        <w:spacing w:after="0" w:line="330" w:lineRule="auto"/>
        <w:rPr>
          <w:sz w:val="20"/>
          <w:szCs w:val="20"/>
          <w:color w:val="auto"/>
        </w:rPr>
      </w:pPr>
      <w:r>
        <w:rPr>
          <w:rFonts w:ascii="Arial" w:cs="Arial" w:eastAsia="Arial" w:hAnsi="Arial"/>
          <w:sz w:val="15"/>
          <w:szCs w:val="15"/>
          <w:color w:val="auto"/>
        </w:rPr>
        <w:t>On October 13, 2021, the Company collected approximately $1.2 million from expense reimbursements in connection with its collaboration with Chiesi. On October 14, 2021, the Company collected approximately $1.1 million from sales to Pfizer and on October 15, 2021, the Company collected approximately $3.2 million from sales of alfataliglicerase to Fiocruz.</w:t>
      </w:r>
    </w:p>
    <w:p>
      <w:pPr>
        <w:spacing w:after="0" w:line="97" w:lineRule="exact"/>
        <w:rPr>
          <w:sz w:val="20"/>
          <w:szCs w:val="20"/>
          <w:color w:val="auto"/>
        </w:rPr>
      </w:pPr>
    </w:p>
    <w:p>
      <w:pPr>
        <w:jc w:val="both"/>
        <w:ind w:left="640" w:right="240"/>
        <w:spacing w:after="0" w:line="264" w:lineRule="auto"/>
        <w:rPr>
          <w:sz w:val="20"/>
          <w:szCs w:val="20"/>
          <w:color w:val="auto"/>
        </w:rPr>
      </w:pPr>
      <w:r>
        <w:rPr>
          <w:rFonts w:ascii="Arial" w:cs="Arial" w:eastAsia="Arial" w:hAnsi="Arial"/>
          <w:sz w:val="18"/>
          <w:szCs w:val="18"/>
          <w:color w:val="auto"/>
        </w:rPr>
        <w:t>On November 9, 2021, the Company delivered the necessary funds under the indenture governing the 2021 Notes to effectively discharge the remaining outstanding 2021 Notes.</w:t>
      </w:r>
    </w:p>
    <w:p>
      <w:pPr>
        <w:spacing w:after="0" w:line="141" w:lineRule="exact"/>
        <w:rPr>
          <w:sz w:val="20"/>
          <w:szCs w:val="20"/>
          <w:color w:val="auto"/>
        </w:rPr>
      </w:pPr>
    </w:p>
    <w:p>
      <w:pPr>
        <w:ind w:left="640" w:right="80"/>
        <w:spacing w:after="0" w:line="277" w:lineRule="auto"/>
        <w:rPr>
          <w:sz w:val="20"/>
          <w:szCs w:val="20"/>
          <w:color w:val="auto"/>
        </w:rPr>
      </w:pPr>
      <w:r>
        <w:rPr>
          <w:rFonts w:ascii="Arial" w:cs="Arial" w:eastAsia="Arial" w:hAnsi="Arial"/>
          <w:sz w:val="17"/>
          <w:szCs w:val="17"/>
          <w:color w:val="auto"/>
        </w:rPr>
        <w:t>In accordance with ASC 855 “Subsequent Events” the Company evaluated subsequent events through the date the condensed consolidated financial statements were issued. The Company concluded that no other subsequent events have occurred that would require recognition or disclosure in the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657" w:right="10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RISK FACTORS SUMMARY</w:t>
      </w:r>
    </w:p>
    <w:p>
      <w:pPr>
        <w:spacing w:after="0" w:line="179"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2020. Some of the information contained in this discussion and analysis, particularly with respect to our plans and strategy for our business and related financing, includes forward-looking statements within the meanings of Section 27A of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under “Risk Factors” in our Quarterly Report on Form 10-Q for the quarter ended March 31, 2021.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Examples of the risks and uncertainties include, but are not limited to, the following:</w:t>
      </w:r>
    </w:p>
    <w:p>
      <w:pPr>
        <w:spacing w:after="0" w:line="177" w:lineRule="exact"/>
        <w:rPr>
          <w:sz w:val="20"/>
          <w:szCs w:val="20"/>
          <w:color w:val="auto"/>
        </w:rPr>
      </w:pPr>
    </w:p>
    <w:p>
      <w:pPr>
        <w:ind w:left="960" w:hanging="317"/>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timing and progress of the preparation of an updated BLA addressing the CRL for PRX-102;</w:t>
      </w:r>
    </w:p>
    <w:p>
      <w:pPr>
        <w:spacing w:after="0" w:line="190" w:lineRule="exact"/>
        <w:rPr>
          <w:rFonts w:ascii="Arial" w:cs="Arial" w:eastAsia="Arial" w:hAnsi="Arial"/>
          <w:sz w:val="18"/>
          <w:szCs w:val="18"/>
          <w:color w:val="auto"/>
        </w:rPr>
      </w:pPr>
    </w:p>
    <w:p>
      <w:pPr>
        <w:ind w:right="240" w:firstLine="643"/>
        <w:spacing w:after="0" w:line="264" w:lineRule="auto"/>
        <w:tabs>
          <w:tab w:leader="none" w:pos="954"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timing, progress and likelihood of final approval by the FDA of a resubmitted BLA for PRX-102 and, if approved, whether PRX-102 will be commercially successful;</w:t>
      </w:r>
    </w:p>
    <w:p>
      <w:pPr>
        <w:spacing w:after="0" w:line="140" w:lineRule="exact"/>
        <w:rPr>
          <w:rFonts w:ascii="Arial" w:cs="Arial" w:eastAsia="Arial" w:hAnsi="Arial"/>
          <w:sz w:val="18"/>
          <w:szCs w:val="18"/>
          <w:color w:val="auto"/>
        </w:rPr>
      </w:pPr>
    </w:p>
    <w:p>
      <w:pPr>
        <w:ind w:firstLine="643"/>
        <w:spacing w:after="0" w:line="264" w:lineRule="auto"/>
        <w:tabs>
          <w:tab w:leader="none" w:pos="95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the FDA, the EMA or other foreign regulatory authorities may not accept or approve a marketing application filed for PRX-102 or any of our other product candidates;</w:t>
      </w:r>
    </w:p>
    <w:p>
      <w:pPr>
        <w:spacing w:after="0" w:line="140" w:lineRule="exact"/>
        <w:rPr>
          <w:rFonts w:ascii="Arial" w:cs="Arial" w:eastAsia="Arial" w:hAnsi="Arial"/>
          <w:sz w:val="18"/>
          <w:szCs w:val="18"/>
          <w:color w:val="auto"/>
        </w:rPr>
      </w:pPr>
    </w:p>
    <w:p>
      <w:pPr>
        <w:ind w:right="60" w:firstLine="643"/>
        <w:spacing w:after="0" w:line="250" w:lineRule="auto"/>
        <w:tabs>
          <w:tab w:leader="none" w:pos="9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or unwillingness of medical investigators and institutional review boards to follow our clinical protocols; inability to monitor patients adequately during or after treatment; and or lack of sufficient funding to finance our clinical trials;</w:t>
      </w:r>
    </w:p>
    <w:p>
      <w:pPr>
        <w:spacing w:after="0" w:line="167" w:lineRule="exact"/>
        <w:rPr>
          <w:rFonts w:ascii="Arial" w:cs="Arial" w:eastAsia="Arial" w:hAnsi="Arial"/>
          <w:sz w:val="18"/>
          <w:szCs w:val="18"/>
          <w:color w:val="auto"/>
        </w:rPr>
      </w:pPr>
    </w:p>
    <w:p>
      <w:pPr>
        <w:ind w:right="280" w:firstLine="643"/>
        <w:spacing w:after="0" w:line="294" w:lineRule="auto"/>
        <w:tabs>
          <w:tab w:leader="none" w:pos="95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risk that the results of our clinical trials will not support the applicable claims of safety or efficacy and that our product candidates will not have the desired effects or will have undesirable side effects or other unexpected characteristics;</w:t>
      </w:r>
    </w:p>
    <w:p>
      <w:pPr>
        <w:spacing w:after="0" w:line="117" w:lineRule="exact"/>
        <w:rPr>
          <w:rFonts w:ascii="Arial" w:cs="Arial" w:eastAsia="Arial" w:hAnsi="Arial"/>
          <w:sz w:val="17"/>
          <w:szCs w:val="17"/>
          <w:color w:val="auto"/>
        </w:rPr>
      </w:pPr>
    </w:p>
    <w:p>
      <w:pPr>
        <w:ind w:right="120" w:firstLine="643"/>
        <w:spacing w:after="0" w:line="255" w:lineRule="auto"/>
        <w:tabs>
          <w:tab w:leader="none" w:pos="954"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ability to make required payments under our outstanding 2024 Notes or any other indebtedness as they come due and our ability to obtain additional financing and raise capital as necessary should the regulatory approval process become more extended;</w:t>
      </w:r>
    </w:p>
    <w:p>
      <w:pPr>
        <w:spacing w:after="0" w:line="148" w:lineRule="exact"/>
        <w:rPr>
          <w:rFonts w:ascii="Arial" w:cs="Arial" w:eastAsia="Arial" w:hAnsi="Arial"/>
          <w:sz w:val="18"/>
          <w:szCs w:val="18"/>
          <w:color w:val="auto"/>
        </w:rPr>
      </w:pPr>
    </w:p>
    <w:p>
      <w:pPr>
        <w:ind w:right="120" w:firstLine="643"/>
        <w:spacing w:after="0" w:line="264" w:lineRule="auto"/>
        <w:tabs>
          <w:tab w:leader="none" w:pos="954"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the COVID-19 outbreak and variants, which may adversely impact our business, preclinical studies and clinical trials;</w:t>
      </w:r>
    </w:p>
    <w:p>
      <w:pPr>
        <w:spacing w:after="0" w:line="154" w:lineRule="exact"/>
        <w:rPr>
          <w:rFonts w:ascii="Arial" w:cs="Arial" w:eastAsia="Arial" w:hAnsi="Arial"/>
          <w:sz w:val="18"/>
          <w:szCs w:val="18"/>
          <w:color w:val="auto"/>
        </w:rPr>
      </w:pPr>
    </w:p>
    <w:p>
      <w:pPr>
        <w:ind w:left="960" w:hanging="317"/>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evaluation and pursuit of strategic alternatives;</w:t>
      </w:r>
    </w:p>
    <w:p>
      <w:pPr>
        <w:spacing w:after="0" w:line="177" w:lineRule="exact"/>
        <w:rPr>
          <w:rFonts w:ascii="Arial" w:cs="Arial" w:eastAsia="Arial" w:hAnsi="Arial"/>
          <w:sz w:val="18"/>
          <w:szCs w:val="18"/>
          <w:color w:val="auto"/>
        </w:rPr>
      </w:pPr>
    </w:p>
    <w:p>
      <w:pPr>
        <w:ind w:left="960" w:hanging="317"/>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ability to manage our relationship with our collaborators, distributors or partners;</w:t>
      </w:r>
    </w:p>
    <w:p>
      <w:pPr>
        <w:spacing w:after="0" w:line="177" w:lineRule="exact"/>
        <w:rPr>
          <w:rFonts w:ascii="Arial" w:cs="Arial" w:eastAsia="Arial" w:hAnsi="Arial"/>
          <w:sz w:val="18"/>
          <w:szCs w:val="18"/>
          <w:color w:val="auto"/>
        </w:rPr>
      </w:pPr>
    </w:p>
    <w:p>
      <w:pPr>
        <w:ind w:left="960" w:hanging="317"/>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changes to interim, topline or preliminary data from clinical trials that we announce or publish;</w:t>
      </w:r>
    </w:p>
    <w:p>
      <w:pPr>
        <w:spacing w:after="0" w:line="190" w:lineRule="exact"/>
        <w:rPr>
          <w:rFonts w:ascii="Arial" w:cs="Arial" w:eastAsia="Arial" w:hAnsi="Arial"/>
          <w:sz w:val="18"/>
          <w:szCs w:val="18"/>
          <w:color w:val="auto"/>
        </w:rPr>
      </w:pPr>
    </w:p>
    <w:p>
      <w:pPr>
        <w:ind w:right="20" w:firstLine="643"/>
        <w:spacing w:after="0" w:line="264" w:lineRule="auto"/>
        <w:tabs>
          <w:tab w:leader="none" w:pos="954"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40" w:lineRule="exact"/>
        <w:rPr>
          <w:rFonts w:ascii="Arial" w:cs="Arial" w:eastAsia="Arial" w:hAnsi="Arial"/>
          <w:sz w:val="18"/>
          <w:szCs w:val="18"/>
          <w:color w:val="auto"/>
        </w:rPr>
      </w:pPr>
    </w:p>
    <w:p>
      <w:pPr>
        <w:ind w:left="960" w:hanging="317"/>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 of significant lawsuits, including stockholder litigation, which is common in the life sciences sector;</w:t>
      </w:r>
    </w:p>
    <w:p>
      <w:pPr>
        <w:sectPr>
          <w:pgSz w:w="11900" w:h="16838" w:orient="portrait"/>
          <w:cols w:equalWidth="0" w:num="1">
            <w:col w:w="9900"/>
          </w:cols>
          <w:pgMar w:left="980" w:top="657" w:right="101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629348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657" w:right="10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left="960" w:hanging="31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performance by third-party providers of services and supplies;</w:t>
      </w:r>
    </w:p>
    <w:p>
      <w:pPr>
        <w:spacing w:after="0" w:line="177" w:lineRule="exact"/>
        <w:rPr>
          <w:rFonts w:ascii="Arial" w:cs="Arial" w:eastAsia="Arial" w:hAnsi="Arial"/>
          <w:sz w:val="18"/>
          <w:szCs w:val="18"/>
          <w:color w:val="auto"/>
        </w:rPr>
      </w:pPr>
    </w:p>
    <w:p>
      <w:pPr>
        <w:ind w:left="960" w:hanging="31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development of competing therapies and/or technologies by other companies;</w:t>
      </w:r>
    </w:p>
    <w:p>
      <w:pPr>
        <w:spacing w:after="0" w:line="190" w:lineRule="exact"/>
        <w:rPr>
          <w:rFonts w:ascii="Arial" w:cs="Arial" w:eastAsia="Arial" w:hAnsi="Arial"/>
          <w:sz w:val="18"/>
          <w:szCs w:val="18"/>
          <w:color w:val="auto"/>
        </w:rPr>
      </w:pPr>
    </w:p>
    <w:p>
      <w:pPr>
        <w:ind w:left="960" w:hanging="31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supply of drug product to Pfizer;</w:t>
      </w:r>
    </w:p>
    <w:p>
      <w:pPr>
        <w:spacing w:after="0" w:line="177" w:lineRule="exact"/>
        <w:rPr>
          <w:rFonts w:ascii="Arial" w:cs="Arial" w:eastAsia="Arial" w:hAnsi="Arial"/>
          <w:sz w:val="18"/>
          <w:szCs w:val="18"/>
          <w:color w:val="auto"/>
        </w:rPr>
      </w:pPr>
    </w:p>
    <w:p>
      <w:pPr>
        <w:ind w:left="960" w:hanging="317"/>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related to our expectations with respect to the potential commercial value of our product and product candidates;</w:t>
      </w:r>
    </w:p>
    <w:p>
      <w:pPr>
        <w:spacing w:after="0" w:line="188" w:lineRule="exact"/>
        <w:rPr>
          <w:rFonts w:ascii="Arial" w:cs="Arial" w:eastAsia="Arial" w:hAnsi="Arial"/>
          <w:sz w:val="17"/>
          <w:szCs w:val="17"/>
          <w:color w:val="auto"/>
        </w:rPr>
      </w:pPr>
    </w:p>
    <w:p>
      <w:pPr>
        <w:ind w:right="120" w:firstLine="643"/>
        <w:spacing w:after="0" w:line="365" w:lineRule="auto"/>
        <w:tabs>
          <w:tab w:leader="none" w:pos="954" w:val="left"/>
        </w:tabs>
        <w:numPr>
          <w:ilvl w:val="0"/>
          <w:numId w:val="9"/>
        </w:numPr>
        <w:rPr>
          <w:rFonts w:ascii="Arial" w:cs="Arial" w:eastAsia="Arial" w:hAnsi="Arial"/>
          <w:sz w:val="15"/>
          <w:szCs w:val="15"/>
          <w:color w:val="auto"/>
        </w:rPr>
      </w:pPr>
      <w:r>
        <w:rPr>
          <w:rFonts w:ascii="Arial" w:cs="Arial" w:eastAsia="Arial" w:hAnsi="Arial"/>
          <w:sz w:val="15"/>
          <w:szCs w:val="15"/>
          <w:color w:val="auto"/>
        </w:rPr>
        <w:t>risks relating to the compliance by Fiocruz, an arm of the Brazilian MoH, with its purchase obligations under our supply and technology transfer agreement, which may have a material adverse effect on us and may also result in the termination of such agreement;</w:t>
      </w:r>
    </w:p>
    <w:p>
      <w:pPr>
        <w:spacing w:after="0" w:line="84" w:lineRule="exact"/>
        <w:rPr>
          <w:rFonts w:ascii="Arial" w:cs="Arial" w:eastAsia="Arial" w:hAnsi="Arial"/>
          <w:sz w:val="15"/>
          <w:szCs w:val="15"/>
          <w:color w:val="auto"/>
        </w:rPr>
      </w:pPr>
    </w:p>
    <w:p>
      <w:pPr>
        <w:ind w:left="960" w:hanging="31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product liability risks, and risks of securing adequate levels of related insurance coverage;</w:t>
      </w:r>
    </w:p>
    <w:p>
      <w:pPr>
        <w:spacing w:after="0" w:line="177" w:lineRule="exact"/>
        <w:rPr>
          <w:rFonts w:ascii="Arial" w:cs="Arial" w:eastAsia="Arial" w:hAnsi="Arial"/>
          <w:sz w:val="18"/>
          <w:szCs w:val="18"/>
          <w:color w:val="auto"/>
        </w:rPr>
      </w:pPr>
    </w:p>
    <w:p>
      <w:pPr>
        <w:ind w:right="40" w:firstLine="643"/>
        <w:spacing w:after="0" w:line="294" w:lineRule="auto"/>
        <w:tabs>
          <w:tab w:leader="none" w:pos="95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117" w:lineRule="exact"/>
        <w:rPr>
          <w:rFonts w:ascii="Arial" w:cs="Arial" w:eastAsia="Arial" w:hAnsi="Arial"/>
          <w:sz w:val="17"/>
          <w:szCs w:val="17"/>
          <w:color w:val="auto"/>
        </w:rPr>
      </w:pPr>
    </w:p>
    <w:p>
      <w:pPr>
        <w:ind w:left="960" w:hanging="31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changes in healthcare laws, rules and regulations in the United States or elsewhere; and</w:t>
      </w:r>
    </w:p>
    <w:p>
      <w:pPr>
        <w:spacing w:after="0" w:line="190" w:lineRule="exact"/>
        <w:rPr>
          <w:rFonts w:ascii="Arial" w:cs="Arial" w:eastAsia="Arial" w:hAnsi="Arial"/>
          <w:sz w:val="18"/>
          <w:szCs w:val="18"/>
          <w:color w:val="auto"/>
        </w:rPr>
      </w:pPr>
    </w:p>
    <w:p>
      <w:pPr>
        <w:ind w:right="20" w:firstLine="643"/>
        <w:spacing w:after="0" w:line="255" w:lineRule="auto"/>
        <w:tabs>
          <w:tab w:leader="none" w:pos="9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disruption of our operations due to terrorist activities and armed conflict, including as a result of the disruption of the operations of regulatory authorities, our subsidiaries, our manufacturing facilities and our customers, suppliers, distributors, collaborative partners, licensees and clinical trial sites.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Company Developments</w:t>
      </w:r>
    </w:p>
    <w:p>
      <w:pPr>
        <w:spacing w:after="0" w:line="183" w:lineRule="exact"/>
        <w:rPr>
          <w:sz w:val="20"/>
          <w:szCs w:val="20"/>
          <w:color w:val="auto"/>
        </w:rPr>
      </w:pPr>
    </w:p>
    <w:p>
      <w:pPr>
        <w:ind w:right="160" w:firstLine="643"/>
        <w:spacing w:after="0" w:line="264" w:lineRule="auto"/>
        <w:tabs>
          <w:tab w:leader="none" w:pos="9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On October 15, 2021, we, together with Chiesi, announced the final dosing of the last patient in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for the proposed treatment of Fabry disease.</w:t>
      </w:r>
    </w:p>
    <w:p>
      <w:pPr>
        <w:spacing w:after="0" w:line="154" w:lineRule="exact"/>
        <w:rPr>
          <w:rFonts w:ascii="Arial" w:cs="Arial" w:eastAsia="Arial" w:hAnsi="Arial"/>
          <w:sz w:val="18"/>
          <w:szCs w:val="18"/>
          <w:color w:val="auto"/>
        </w:rPr>
      </w:pPr>
    </w:p>
    <w:p>
      <w:pPr>
        <w:ind w:right="60" w:firstLine="643"/>
        <w:spacing w:after="0" w:line="255" w:lineRule="auto"/>
        <w:tabs>
          <w:tab w:leader="none" w:pos="9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October 11, 2021, we, together with Chiesi, provided a regulatory update regarding PRX-102 which included an announcement of the receipt of the official Type A (End-of-Review) meeting minutes from FDA regarding the CRL confirming a potential pathway for resubmission of a BLA for PRX-102.</w:t>
      </w:r>
    </w:p>
    <w:p>
      <w:pPr>
        <w:spacing w:after="0" w:line="148" w:lineRule="exact"/>
        <w:rPr>
          <w:rFonts w:ascii="Arial" w:cs="Arial" w:eastAsia="Arial" w:hAnsi="Arial"/>
          <w:sz w:val="18"/>
          <w:szCs w:val="18"/>
          <w:color w:val="auto"/>
        </w:rPr>
      </w:pPr>
    </w:p>
    <w:p>
      <w:pPr>
        <w:ind w:right="140" w:firstLine="643"/>
        <w:spacing w:after="0" w:line="318" w:lineRule="auto"/>
        <w:tabs>
          <w:tab w:leader="none" w:pos="954"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 August 25, 2021, we completed the Exchanges of a substantial majority of our outstanding 2021 Notes with institutional note holders of a substantial majority of the 2021 Notes. In the Exchanges an aggregate of $54.65 million principal amount of our outstanding 2021 Notes were exchanged for an aggregate of $28.75 million principal amount of newly issued 2024 Notes, $25.90 million in cash and approximately $1.1 million in cash representing accrued and unpaid interest through the closing date.</w:t>
      </w:r>
    </w:p>
    <w:p>
      <w:pPr>
        <w:spacing w:after="0" w:line="106" w:lineRule="exact"/>
        <w:rPr>
          <w:rFonts w:ascii="Arial" w:cs="Arial" w:eastAsia="Arial" w:hAnsi="Arial"/>
          <w:sz w:val="15"/>
          <w:szCs w:val="15"/>
          <w:color w:val="auto"/>
        </w:rPr>
      </w:pPr>
    </w:p>
    <w:p>
      <w:pPr>
        <w:ind w:left="960" w:hanging="317"/>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August 13, 2021, we entered into the Exchange Agreements in connection with the Exchanges.</w:t>
      </w:r>
    </w:p>
    <w:p>
      <w:pPr>
        <w:spacing w:after="0" w:line="19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continue to actively advance all our clinical programs. We are in close contact with our principal investigators and clinical sites and our clinical research organizations, which are primarily located in the United States and Europe, and to date, our clinical trials have not been materially adversely affected by COVID-19. In light of recent developments relating to the COVID-19 pandemic, the focus of healthcare providers and hospitals on fighting the virus, and consistent with the FDA’s updated industry guidance for conducting clinical trials issued on March 18, 2020, we and our contract research organizations have made certain adjustments to the operation of our clinical trials in an effort to ensure the monitoring and safety of patients and minimize risk to trial integrity during the pandemic and generally, and we may need to make further adjustments in the future.</w:t>
      </w:r>
    </w:p>
    <w:p>
      <w:pPr>
        <w:spacing w:after="0" w:line="14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response to the local spread of COVID-19 at the end of March 2020, and with local directives issued in response thereof, we restructured the work day within our facilities to consist of two shifts thereby reducing the number of employees present in the facilities at any time and facilitating their ability to practice social distancing. Employees that were able to work from home were instructed to do so. Such efforts resulted in minor delays in the performance of administrative activities outside of the clinical programs.</w:t>
      </w:r>
    </w:p>
    <w:p>
      <w:pPr>
        <w:spacing w:after="0" w:line="10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In June 2020, after local directives allowed more flexibility with respect to social interactions, we returned to a regular work day. Since then, as the pandemic’s effect locally continued to change, and local Israeli directives continued to evolve to address the changing effects, we returned temporarily to the two-shift work day schedule and to again encourage employees that are able to work from home to do so for parts of September 2020. Our facility currently operates on a regular schedule with adherence to local guidelines.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880"/>
          </w:cols>
          <w:pgMar w:left="980" w:top="657" w:right="10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continue to evaluate the impact of the COVID-19 pandemic and its variants on our business as we learn more and the impact of COVID-19 on our industry becomes more clear. We intend to continuously assess the impact of COVID-19 on our trials, expected timelines and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 Our Proprietary Protein Expression System</w:t>
      </w:r>
    </w:p>
    <w:p>
      <w:pPr>
        <w:spacing w:after="0" w:line="197" w:lineRule="exact"/>
        <w:rPr>
          <w:sz w:val="20"/>
          <w:szCs w:val="20"/>
          <w:color w:val="auto"/>
        </w:rPr>
      </w:pPr>
    </w:p>
    <w:p>
      <w:pPr>
        <w:ind w:right="240" w:firstLine="643"/>
        <w:spacing w:after="0" w:line="268" w:lineRule="auto"/>
        <w:tabs>
          <w:tab w:leader="none" w:pos="9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40" w:lineRule="exact"/>
        <w:rPr>
          <w:rFonts w:ascii="Arial" w:cs="Arial" w:eastAsia="Arial" w:hAnsi="Arial"/>
          <w:sz w:val="17"/>
          <w:szCs w:val="17"/>
          <w:color w:val="auto"/>
        </w:rPr>
      </w:pPr>
    </w:p>
    <w:p>
      <w:pPr>
        <w:ind w:right="40" w:firstLine="643"/>
        <w:spacing w:after="0" w:line="252" w:lineRule="auto"/>
        <w:tabs>
          <w:tab w:leader="none" w:pos="9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50" w:lineRule="exact"/>
        <w:rPr>
          <w:rFonts w:ascii="Arial" w:cs="Arial" w:eastAsia="Arial" w:hAnsi="Arial"/>
          <w:sz w:val="18"/>
          <w:szCs w:val="18"/>
          <w:color w:val="auto"/>
        </w:rPr>
      </w:pPr>
    </w:p>
    <w:p>
      <w:pPr>
        <w:jc w:val="both"/>
        <w:ind w:right="120" w:firstLine="643"/>
        <w:spacing w:after="0" w:line="252" w:lineRule="auto"/>
        <w:tabs>
          <w:tab w:leader="none" w:pos="9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the first and only company to gain FDA approval of a protein produced through plant cell-based expression. Our ProCellEx platform uses flexible polyethylene disposable bioreactors and is optimized for plant cell cultures. As opposed to the large stainless-steel bioreactors commonly used for recombinant protein production, our ProCellEx bioreactors are easy to use and maintain and allow for the major advantage of rapid horizontal scale-up.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057900" cy="2322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7900" cy="232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657" w:right="10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Plant Cell in Suspension Expression System for Therapeutic Proteins Development and Industrial Production: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057900" cy="2616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57900" cy="261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057900" cy="1623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57900" cy="162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Pegunigalsidase Alfa (PRX-102) for the Treatment of Fabry Disease</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PRX-102 is our lead product candidate and we expect it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α-galactosidase-A resulting in the progressive accumulation of abnormal deposits of a fatty substance called globotriaosylceramide, or Gb</w:t>
      </w:r>
      <w:r>
        <w:rPr>
          <w:rFonts w:ascii="Arial" w:cs="Arial" w:eastAsia="Arial" w:hAnsi="Arial"/>
          <w:sz w:val="24"/>
          <w:szCs w:val="24"/>
          <w:color w:val="auto"/>
          <w:vertAlign w:val="subscript"/>
        </w:rPr>
        <w:t>3</w:t>
      </w:r>
      <w:r>
        <w:rPr>
          <w:rFonts w:ascii="Arial" w:cs="Arial" w:eastAsia="Arial" w:hAnsi="Arial"/>
          <w:sz w:val="16"/>
          <w:szCs w:val="16"/>
          <w:color w:val="auto"/>
        </w:rPr>
        <w:t>, in blood vessel walls throughout their body. The abnormal storage of Gb</w:t>
      </w:r>
      <w:r>
        <w:rPr>
          <w:rFonts w:ascii="Arial" w:cs="Arial" w:eastAsia="Arial" w:hAnsi="Arial"/>
          <w:sz w:val="24"/>
          <w:szCs w:val="24"/>
          <w:color w:val="auto"/>
          <w:vertAlign w:val="subscript"/>
        </w:rPr>
        <w:t>3</w:t>
      </w:r>
      <w:r>
        <w:rPr>
          <w:rFonts w:ascii="Arial" w:cs="Arial" w:eastAsia="Arial" w:hAnsi="Arial"/>
          <w:sz w:val="16"/>
          <w:szCs w:val="16"/>
          <w:color w:val="auto"/>
        </w:rPr>
        <w:t xml:space="preserve"> increases with time and, as a result, Gb</w:t>
      </w:r>
      <w:r>
        <w:rPr>
          <w:rFonts w:ascii="Arial" w:cs="Arial" w:eastAsia="Arial" w:hAnsi="Arial"/>
          <w:sz w:val="24"/>
          <w:szCs w:val="24"/>
          <w:color w:val="auto"/>
          <w:vertAlign w:val="subscript"/>
        </w:rPr>
        <w:t>3</w:t>
      </w:r>
      <w:r>
        <w:rPr>
          <w:rFonts w:ascii="Arial" w:cs="Arial" w:eastAsia="Arial" w:hAnsi="Arial"/>
          <w:sz w:val="16"/>
          <w:szCs w:val="16"/>
          <w:color w:val="auto"/>
        </w:rPr>
        <w:t xml:space="preserve"> accumulates, primarily in the blood and in the blood vessel walls. The accumulation leads to a narrowing of the blood vessels, which in turn leads to decreased blood flow and tissue nourishment. The ultimate consequences of Gb</w:t>
      </w:r>
      <w:r>
        <w:rPr>
          <w:rFonts w:ascii="Arial" w:cs="Arial" w:eastAsia="Arial" w:hAnsi="Arial"/>
          <w:sz w:val="24"/>
          <w:szCs w:val="24"/>
          <w:color w:val="auto"/>
          <w:vertAlign w:val="subscript"/>
        </w:rPr>
        <w:t>3</w:t>
      </w:r>
      <w:r>
        <w:rPr>
          <w:rFonts w:ascii="Arial" w:cs="Arial" w:eastAsia="Arial" w:hAnsi="Arial"/>
          <w:sz w:val="16"/>
          <w:szCs w:val="16"/>
          <w:color w:val="auto"/>
        </w:rPr>
        <w:t xml:space="preserve"> deposition range from episodes of pain and impaired peripheral sensation to end-organ failure, particularly of the kidneys, but also of the heart and the cerebrovascular system. Fabry disease occurs in one person per 40,000 to 60,000 males. The global market for Fabry disease is forecasted to be approximately $1.9 billion in 2021 (Global Data) and to continue to grow at a CAGR of approximately 9.5% (Global Data).</w:t>
      </w:r>
    </w:p>
    <w:p>
      <w:pPr>
        <w:spacing w:after="0" w:line="163" w:lineRule="exact"/>
        <w:rPr>
          <w:sz w:val="20"/>
          <w:szCs w:val="20"/>
          <w:color w:val="auto"/>
        </w:rPr>
      </w:pPr>
    </w:p>
    <w:p>
      <w:pPr>
        <w:jc w:val="both"/>
        <w:ind w:right="260"/>
        <w:spacing w:after="0" w:line="298" w:lineRule="auto"/>
        <w:rPr>
          <w:sz w:val="20"/>
          <w:szCs w:val="20"/>
          <w:color w:val="auto"/>
        </w:rPr>
      </w:pPr>
      <w:r>
        <w:rPr>
          <w:rFonts w:ascii="Arial" w:cs="Arial" w:eastAsia="Arial" w:hAnsi="Arial"/>
          <w:sz w:val="15"/>
          <w:szCs w:val="15"/>
          <w:color w:val="auto"/>
        </w:rPr>
        <w:t>A BLA for PRX-102 for the treatment of adult patients with Fabry disease was submitted to the FDA on May 27, 2020 under the FDA’s Accelerated Approval pathway, which was subsequently accepted by the FDA and granted Priority Review designation. The initial BLA submission included a comprehensive set of preclinical, clinical and manufacturing data compiled from our completed phase I/II clinical trial of PRX-102, including the related extension study succeeding our phase I/II clinical trial, interim clinical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29348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from our phase III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switch-over study and safety data from our on-going clinical studies of PRX-102 in patients receiving 1 mg/kg every other week.</w:t>
      </w:r>
    </w:p>
    <w:p>
      <w:pPr>
        <w:spacing w:after="0" w:line="141"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On April 28, 2021, we, together with Chiesi, announced the receipt of a CRL from the FDA regarding the BLA. The CRL did not report any concerns relating to the potential safety or efficacy of PRX-102 in the submitted data package. In the CRL, the FDA noted that an inspection of Protalix’s manufacturing facility in Carmiel, Israel, including a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w:t>
      </w:r>
    </w:p>
    <w:p>
      <w:pPr>
        <w:spacing w:after="0" w:line="1" w:lineRule="exact"/>
        <w:rPr>
          <w:sz w:val="20"/>
          <w:szCs w:val="20"/>
          <w:color w:val="auto"/>
        </w:rPr>
      </w:pPr>
    </w:p>
    <w:p>
      <w:pPr>
        <w:jc w:val="both"/>
        <w:ind w:right="60" w:firstLine="7"/>
        <w:spacing w:after="0" w:line="247" w:lineRule="auto"/>
        <w:tabs>
          <w:tab w:leader="none" w:pos="2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the FFDCA in lieu of a pre-licensing inspection. In the CRL, the FDA stated that it will communicate remaining issues to the facility in order to seek prompt resolution of any pending items. In addition to the foregoing, in the CRL, the FDA noted that Fabrazyme, a therapy used to treat Fabry patients, was recently converted to full approval and is now an “available therapy,” which must be addressed in the context of any potential resubmission of a BLA for PRX-102.</w:t>
      </w:r>
    </w:p>
    <w:p>
      <w:pPr>
        <w:spacing w:after="0" w:line="170" w:lineRule="exact"/>
        <w:rPr>
          <w:sz w:val="20"/>
          <w:szCs w:val="20"/>
          <w:color w:val="auto"/>
        </w:rPr>
      </w:pPr>
    </w:p>
    <w:p>
      <w:pPr>
        <w:ind w:right="220"/>
        <w:spacing w:after="0" w:line="309" w:lineRule="auto"/>
        <w:rPr>
          <w:sz w:val="20"/>
          <w:szCs w:val="20"/>
          <w:color w:val="auto"/>
        </w:rPr>
      </w:pPr>
      <w:r>
        <w:rPr>
          <w:rFonts w:ascii="Arial" w:cs="Arial" w:eastAsia="Arial" w:hAnsi="Arial"/>
          <w:sz w:val="15"/>
          <w:szCs w:val="15"/>
          <w:color w:val="auto"/>
        </w:rPr>
        <w:t xml:space="preserve">We and Chiesi participated in a Type A (End of Review) meeting with the FDA on September 9, 2021 to discuss the FDA’s requirements for a BLA resubmission. As part of the meeting minutes provided by the FDA, which included the preliminary comments and meeting discussion, the FDA, in principle, agreed that the clinical data package proposed to the FDA for a BLA resubmission has the potential to support a traditional approval of PRX-102 for the treatment of Fabry disease. The planned data package for the BLA resubmission, given the changed regulatory landscape in the United States, will include the final two-year analyses of the </w:t>
      </w:r>
      <w:r>
        <w:rPr>
          <w:rFonts w:ascii="Arial" w:cs="Arial" w:eastAsia="Arial" w:hAnsi="Arial"/>
          <w:sz w:val="15"/>
          <w:szCs w:val="15"/>
          <w:i w:val="1"/>
          <w:iCs w:val="1"/>
          <w:color w:val="auto"/>
        </w:rPr>
        <w:t>BALANCE</w:t>
      </w:r>
      <w:r>
        <w:rPr>
          <w:rFonts w:ascii="Arial" w:cs="Arial" w:eastAsia="Arial" w:hAnsi="Arial"/>
          <w:sz w:val="15"/>
          <w:szCs w:val="15"/>
          <w:color w:val="auto"/>
        </w:rPr>
        <w:t xml:space="preserve"> study. We intend to continue to work collaboratively with the FDA resolve the issues noted in the CRL and provide a new, alternative drug to Fabry patients.</w:t>
      </w:r>
    </w:p>
    <w:p>
      <w:pPr>
        <w:spacing w:after="0" w:line="112"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 xml:space="preserve">In addition, we and Chiesi also held a meeting with the Rapporteur and Co-Rapporteur of the EMA on October 8, 2021 regarding the submission plans for an MAA with the EMA. At the meeting, we and Chiesi discussed the scope of the anticipated MAA for the European Union, and the Rapporteur and Co-Rapporteur were generally supportive of a planned MAA submission for PRX-102. This is an important step in the necessary pre-submission activities leading up to a planned MAA submission. Based on the interim analysis of the 12-month data generated from the </w:t>
      </w:r>
      <w:r>
        <w:rPr>
          <w:rFonts w:ascii="Arial" w:cs="Arial" w:eastAsia="Arial" w:hAnsi="Arial"/>
          <w:sz w:val="15"/>
          <w:szCs w:val="15"/>
          <w:i w:val="1"/>
          <w:iCs w:val="1"/>
          <w:color w:val="auto"/>
        </w:rPr>
        <w:t>BALANCE</w:t>
      </w:r>
      <w:r>
        <w:rPr>
          <w:rFonts w:ascii="Arial" w:cs="Arial" w:eastAsia="Arial" w:hAnsi="Arial"/>
          <w:sz w:val="15"/>
          <w:szCs w:val="15"/>
          <w:color w:val="auto"/>
        </w:rPr>
        <w:t xml:space="preserve"> study that we announced in June 2021, and in combination with previously reported positive data from the </w:t>
      </w:r>
      <w:r>
        <w:rPr>
          <w:rFonts w:ascii="Arial" w:cs="Arial" w:eastAsia="Arial" w:hAnsi="Arial"/>
          <w:sz w:val="15"/>
          <w:szCs w:val="15"/>
          <w:i w:val="1"/>
          <w:iCs w:val="1"/>
          <w:color w:val="auto"/>
        </w:rPr>
        <w:t>BRIGHT</w:t>
      </w:r>
      <w:r>
        <w:rPr>
          <w:rFonts w:ascii="Arial" w:cs="Arial" w:eastAsia="Arial" w:hAnsi="Arial"/>
          <w:sz w:val="15"/>
          <w:szCs w:val="15"/>
          <w:color w:val="auto"/>
        </w:rPr>
        <w:t xml:space="preserve"> and </w:t>
      </w:r>
      <w:r>
        <w:rPr>
          <w:rFonts w:ascii="Arial" w:cs="Arial" w:eastAsia="Arial" w:hAnsi="Arial"/>
          <w:sz w:val="15"/>
          <w:szCs w:val="15"/>
          <w:i w:val="1"/>
          <w:iCs w:val="1"/>
          <w:color w:val="auto"/>
        </w:rPr>
        <w:t>BRIDGE</w:t>
      </w:r>
      <w:r>
        <w:rPr>
          <w:rFonts w:ascii="Arial" w:cs="Arial" w:eastAsia="Arial" w:hAnsi="Arial"/>
          <w:sz w:val="15"/>
          <w:szCs w:val="15"/>
          <w:color w:val="auto"/>
        </w:rPr>
        <w:t xml:space="preserve"> studies, we and Chiesi expect to submit an MAA to the EMA for PRX-102 during the first quarter of 2022.</w:t>
      </w:r>
    </w:p>
    <w:p>
      <w:pPr>
        <w:spacing w:after="0" w:line="112"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In December 2017, the European Commission granted Orphan Drug Designation for PRX-102 for the treatment of Fabry disease. Orphan Drug Designation for PRX-102 qualifies Chiesi for access to a centralized marketing authorization procedure, including applications for inspections and for protocol assistance. If the orphan drug designation is maintained at the time PRX-102 is approved for marketing in the European Union, if at all, we expect that PRX-102 will benefit from 10 years of market exclusivity within the European Union. The market exclusivity will not have any effect on Fabry disease treatments already approved at that time.</w:t>
      </w:r>
    </w:p>
    <w:p>
      <w:pPr>
        <w:spacing w:after="0" w:line="124" w:lineRule="exact"/>
        <w:rPr>
          <w:sz w:val="20"/>
          <w:szCs w:val="20"/>
          <w:color w:val="auto"/>
        </w:rPr>
      </w:pPr>
    </w:p>
    <w:p>
      <w:pPr>
        <w:ind w:right="640"/>
        <w:spacing w:after="0" w:line="365" w:lineRule="auto"/>
        <w:rPr>
          <w:sz w:val="20"/>
          <w:szCs w:val="20"/>
          <w:color w:val="auto"/>
        </w:rPr>
      </w:pPr>
      <w:r>
        <w:rPr>
          <w:rFonts w:ascii="Arial" w:cs="Arial" w:eastAsia="Arial" w:hAnsi="Arial"/>
          <w:sz w:val="15"/>
          <w:szCs w:val="15"/>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Key Trials and Design</w:t>
      </w:r>
    </w:p>
    <w:p>
      <w:pPr>
        <w:spacing w:after="0" w:line="17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Our phase III clinical program of PRX-102 for the treatment of Fabry disease includes three individual studies;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the </w:t>
      </w:r>
      <w:r>
        <w:rPr>
          <w:rFonts w:ascii="Arial" w:cs="Arial" w:eastAsia="Arial" w:hAnsi="Arial"/>
          <w:sz w:val="17"/>
          <w:szCs w:val="17"/>
          <w:i w:val="1"/>
          <w:iCs w:val="1"/>
          <w:color w:val="auto"/>
        </w:rPr>
        <w:t xml:space="preserve">BRIDGE </w:t>
      </w:r>
      <w:r>
        <w:rPr>
          <w:rFonts w:ascii="Arial" w:cs="Arial" w:eastAsia="Arial" w:hAnsi="Arial"/>
          <w:sz w:val="17"/>
          <w:szCs w:val="17"/>
          <w:color w:val="auto"/>
        </w:rPr>
        <w:t>study and the</w:t>
      </w:r>
      <w:r>
        <w:rPr>
          <w:rFonts w:ascii="Arial" w:cs="Arial" w:eastAsia="Arial" w:hAnsi="Arial"/>
          <w:sz w:val="17"/>
          <w:szCs w:val="17"/>
          <w:i w:val="1"/>
          <w:iCs w:val="1"/>
          <w:color w:val="auto"/>
        </w:rPr>
        <w:t xml:space="preserve"> BRIGHT </w:t>
      </w:r>
      <w:r>
        <w:rPr>
          <w:rFonts w:ascii="Arial" w:cs="Arial" w:eastAsia="Arial" w:hAnsi="Arial"/>
          <w:sz w:val="17"/>
          <w:szCs w:val="17"/>
          <w:color w:val="auto"/>
        </w:rPr>
        <w:t>study. Enrollment has been completed in all three studies, and the final dosing of the last patient in the</w:t>
      </w:r>
      <w:r>
        <w:rPr>
          <w:rFonts w:ascii="Arial" w:cs="Arial" w:eastAsia="Arial" w:hAnsi="Arial"/>
          <w:sz w:val="17"/>
          <w:szCs w:val="17"/>
          <w:i w:val="1"/>
          <w:iCs w:val="1"/>
          <w:color w:val="auto"/>
        </w:rPr>
        <w:t xml:space="preserve"> BALANCE </w:t>
      </w:r>
      <w:r>
        <w:rPr>
          <w:rFonts w:ascii="Arial" w:cs="Arial" w:eastAsia="Arial" w:hAnsi="Arial"/>
          <w:sz w:val="17"/>
          <w:szCs w:val="17"/>
          <w:color w:val="auto"/>
        </w:rPr>
        <w:t>study took place in October 2021. In 2015, we completed a phase I/II clinical trial of PRX-102. In the phase III clinical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 are studying two alternative doses and regimens for PRX-102; 1 mg/kg every two weeks, with the potential for improved efficacy and safety offering a potential alternative to existing enzyme replacement therapies, and 2 mg/kg every four weeks, which has the potential to lower treatment burden versus existing treatments and potentially provide a better quality of life for a subset of Fabry patients. Final results from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study were released in December 2020 and topline results from 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study were released in February 2021. Interim one-year data from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was released in June 2021.</w:t>
      </w:r>
    </w:p>
    <w:p>
      <w:pPr>
        <w:spacing w:after="0" w:line="155" w:lineRule="exact"/>
        <w:rPr>
          <w:sz w:val="20"/>
          <w:szCs w:val="20"/>
          <w:color w:val="auto"/>
        </w:rPr>
      </w:pPr>
    </w:p>
    <w:p>
      <w:pPr>
        <w:ind w:right="200"/>
        <w:spacing w:after="0" w:line="298" w:lineRule="auto"/>
        <w:rPr>
          <w:sz w:val="20"/>
          <w:szCs w:val="20"/>
          <w:color w:val="auto"/>
        </w:rPr>
      </w:pPr>
      <w:r>
        <w:rPr>
          <w:rFonts w:ascii="Arial" w:cs="Arial" w:eastAsia="Arial" w:hAnsi="Arial"/>
          <w:sz w:val="15"/>
          <w:szCs w:val="15"/>
          <w:color w:val="auto"/>
        </w:rPr>
        <w:t xml:space="preserve">Patients that completed the phase I/II clinical trial were offered, and patients that complete the </w:t>
      </w:r>
      <w:r>
        <w:rPr>
          <w:rFonts w:ascii="Arial" w:cs="Arial" w:eastAsia="Arial" w:hAnsi="Arial"/>
          <w:sz w:val="15"/>
          <w:szCs w:val="15"/>
          <w:i w:val="1"/>
          <w:iCs w:val="1"/>
          <w:color w:val="auto"/>
        </w:rPr>
        <w:t>BALANCE, BRIDGE</w:t>
      </w:r>
      <w:r>
        <w:rPr>
          <w:rFonts w:ascii="Arial" w:cs="Arial" w:eastAsia="Arial" w:hAnsi="Arial"/>
          <w:sz w:val="15"/>
          <w:szCs w:val="15"/>
          <w:color w:val="auto"/>
        </w:rPr>
        <w:t xml:space="preserve"> and </w:t>
      </w:r>
      <w:r>
        <w:rPr>
          <w:rFonts w:ascii="Arial" w:cs="Arial" w:eastAsia="Arial" w:hAnsi="Arial"/>
          <w:sz w:val="15"/>
          <w:szCs w:val="15"/>
          <w:i w:val="1"/>
          <w:iCs w:val="1"/>
          <w:color w:val="auto"/>
        </w:rPr>
        <w:t>BRIGHT</w:t>
      </w:r>
      <w:r>
        <w:rPr>
          <w:rFonts w:ascii="Arial" w:cs="Arial" w:eastAsia="Arial" w:hAnsi="Arial"/>
          <w:sz w:val="15"/>
          <w:szCs w:val="15"/>
          <w:color w:val="auto"/>
        </w:rPr>
        <w:t xml:space="preserve"> studies are offered, the opportunity to continue PRX-102 treatment as part of a long-term open-label extension study. Currently, 106 subjects that participated in the our PRX-102 clinical program have opted, with the advice of the treating physician, to continue PRX-102 treatment in one of our long-term extension studies; 10 subjects that completed an extension study from the phase I/II clinical trial, 18 subjects that completed the </w:t>
      </w:r>
      <w:r>
        <w:rPr>
          <w:rFonts w:ascii="Arial" w:cs="Arial" w:eastAsia="Arial" w:hAnsi="Arial"/>
          <w:sz w:val="15"/>
          <w:szCs w:val="15"/>
          <w:i w:val="1"/>
          <w:iCs w:val="1"/>
          <w:color w:val="auto"/>
        </w:rPr>
        <w:t>BRIDGE</w:t>
      </w:r>
      <w:r>
        <w:rPr>
          <w:rFonts w:ascii="Arial" w:cs="Arial" w:eastAsia="Arial" w:hAnsi="Arial"/>
          <w:sz w:val="15"/>
          <w:szCs w:val="15"/>
          <w:color w:val="auto"/>
        </w:rPr>
        <w:t xml:space="preserve"> study; 69 subjects that completed the </w:t>
      </w:r>
      <w:r>
        <w:rPr>
          <w:rFonts w:ascii="Arial" w:cs="Arial" w:eastAsia="Arial" w:hAnsi="Arial"/>
          <w:sz w:val="15"/>
          <w:szCs w:val="15"/>
          <w:i w:val="1"/>
          <w:iCs w:val="1"/>
          <w:color w:val="auto"/>
        </w:rPr>
        <w:t>BALANCE</w:t>
      </w:r>
      <w:r>
        <w:rPr>
          <w:rFonts w:ascii="Arial" w:cs="Arial" w:eastAsia="Arial" w:hAnsi="Arial"/>
          <w:sz w:val="15"/>
          <w:szCs w:val="15"/>
          <w:color w:val="auto"/>
        </w:rPr>
        <w:t xml:space="preserve"> study; and 29 subjects that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2934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right="160"/>
        <w:spacing w:after="0" w:line="365" w:lineRule="auto"/>
        <w:rPr>
          <w:sz w:val="20"/>
          <w:szCs w:val="20"/>
          <w:color w:val="auto"/>
        </w:rPr>
      </w:pPr>
      <w:r>
        <w:rPr>
          <w:rFonts w:ascii="Arial" w:cs="Arial" w:eastAsia="Arial" w:hAnsi="Arial"/>
          <w:sz w:val="15"/>
          <w:szCs w:val="15"/>
          <w:color w:val="auto"/>
        </w:rPr>
        <w:t xml:space="preserve">completed the </w:t>
      </w:r>
      <w:r>
        <w:rPr>
          <w:rFonts w:ascii="Arial" w:cs="Arial" w:eastAsia="Arial" w:hAnsi="Arial"/>
          <w:sz w:val="15"/>
          <w:szCs w:val="15"/>
          <w:i w:val="1"/>
          <w:iCs w:val="1"/>
          <w:color w:val="auto"/>
        </w:rPr>
        <w:t>BRIGHT</w:t>
      </w:r>
      <w:r>
        <w:rPr>
          <w:rFonts w:ascii="Arial" w:cs="Arial" w:eastAsia="Arial" w:hAnsi="Arial"/>
          <w:sz w:val="15"/>
          <w:szCs w:val="15"/>
          <w:color w:val="auto"/>
        </w:rPr>
        <w:t xml:space="preserve"> study. Of the 29 subjects that completed the </w:t>
      </w:r>
      <w:r>
        <w:rPr>
          <w:rFonts w:ascii="Arial" w:cs="Arial" w:eastAsia="Arial" w:hAnsi="Arial"/>
          <w:sz w:val="15"/>
          <w:szCs w:val="15"/>
          <w:i w:val="1"/>
          <w:iCs w:val="1"/>
          <w:color w:val="auto"/>
        </w:rPr>
        <w:t>BRIGHT</w:t>
      </w:r>
      <w:r>
        <w:rPr>
          <w:rFonts w:ascii="Arial" w:cs="Arial" w:eastAsia="Arial" w:hAnsi="Arial"/>
          <w:sz w:val="15"/>
          <w:szCs w:val="15"/>
          <w:color w:val="auto"/>
        </w:rPr>
        <w:t xml:space="preserve"> study that are enrolled in a long-term extension study, 27 of them are being treated with 2 mg/kg of PRX-102 every 4 weeks and two are being treated with 1 mg/kg every two weeks.</w:t>
      </w:r>
    </w:p>
    <w:p>
      <w:pPr>
        <w:spacing w:after="0" w:line="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February 2020, we, together with Chiesi, announced an agreement with the FDA for the Initial Pediatric Study Plan (iPSP) for PRX-102. The joint announcement was made after completion of discussions with the FDA and receipt of confirmation from the FDA in an official “Agreement Letter” which outlines an agreed-upon approach to evaluate the safety and efficacy of PRX-102 in pediatric Fabry patients in a clinical trial to be performed by Chiesi with our collaborative efforts.</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Phase III BALANCE Study</w:t>
      </w:r>
    </w:p>
    <w:p>
      <w:pPr>
        <w:spacing w:after="0" w:line="177"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BALANCE</w:t>
      </w:r>
      <w:r>
        <w:rPr>
          <w:rFonts w:ascii="Arial" w:cs="Arial" w:eastAsia="Arial" w:hAnsi="Arial"/>
          <w:sz w:val="15"/>
          <w:szCs w:val="15"/>
          <w:color w:val="auto"/>
        </w:rPr>
        <w:t xml:space="preserve"> study is a 24-month, randomized, double blind, active control study of PRX-102 in Fabry patients with impaired renal function. We have completed enrollment of 78 patients in the trial, which is designed to evaluate the safety and efficacy of PRX-102 compared to agalsidase beta (Fabrazyme) on renal function in Fabry patients with progressing kidney disease previously treated with Fabrazyme infused once every two weeks. On October 15, 2021, we announced the last dosing of the last patient in the </w:t>
      </w:r>
      <w:r>
        <w:rPr>
          <w:rFonts w:ascii="Arial" w:cs="Arial" w:eastAsia="Arial" w:hAnsi="Arial"/>
          <w:sz w:val="15"/>
          <w:szCs w:val="15"/>
          <w:i w:val="1"/>
          <w:iCs w:val="1"/>
          <w:color w:val="auto"/>
        </w:rPr>
        <w:t>BALANCE</w:t>
      </w:r>
      <w:r>
        <w:rPr>
          <w:rFonts w:ascii="Arial" w:cs="Arial" w:eastAsia="Arial" w:hAnsi="Arial"/>
          <w:sz w:val="15"/>
          <w:szCs w:val="15"/>
          <w:color w:val="auto"/>
        </w:rPr>
        <w:t xml:space="preserve"> study. Patients previously treated with Fabrazyme for approximately one year and on a stable dose for at least six months were screened and then randomized on a 2:1 ratio to 1 mg/kg of PRX-102 or 1 mg/kg of Fabrazyme. Randomization is being stratified by urinary protein to creatinine ratio (UPCR) of &lt; or ≥ 1 g/g by spot urine sample. The study was designed such that no more than 50% of the patients enrolled in the study would be female. Approximately 40% of the enrolled patients were female.</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The primary endpoint of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is the comparison in the annualized rate of decline of eGFR slope between Fabrazyme and PRX-102. eGFR is considered a reliable and accepted test to measure the level of kidney function and stage of kidney disease. Additional parameters being evaluated include: cardiac assessment,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(a biomarker for monitoring Fabry patients during therapy), pain, quality of life, immunogenicity, Fabry clinical events and pharmacokinetic and other parameters.</w:t>
      </w:r>
    </w:p>
    <w:p>
      <w:pPr>
        <w:spacing w:after="0" w:line="1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 xml:space="preserve">In June 2021, we, together with Chiesi, announced topline results from an interim analysis of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The primary endpoint of the interim analysis is the comparison of mean annualized changes (slope) of the eGFR</w:t>
      </w:r>
      <w:r>
        <w:rPr>
          <w:rFonts w:ascii="Arial" w:cs="Arial" w:eastAsia="Arial" w:hAnsi="Arial"/>
          <w:sz w:val="25"/>
          <w:szCs w:val="25"/>
          <w:color w:val="auto"/>
          <w:vertAlign w:val="subscript"/>
        </w:rPr>
        <w:t>(CKD-EPI)</w:t>
      </w:r>
      <w:r>
        <w:rPr>
          <w:rFonts w:ascii="Arial" w:cs="Arial" w:eastAsia="Arial" w:hAnsi="Arial"/>
          <w:sz w:val="17"/>
          <w:szCs w:val="17"/>
          <w:color w:val="auto"/>
        </w:rPr>
        <w:t xml:space="preserve"> after completion of at least 12 months of treatment between the two treatment arms (Fabrazyme and PRX-102). The interim efficacy analysis was conducted on two pre-defined analysis sets: Intention to Treat (ITT), consisting of all randomized patients who received at least one dose (77 patients), considered as the primary analysis for this interim review; and the Per Protocol (PP), consisting of all patients who completed at least 12 months of treatment with no major protocol violations (74 patients). The patient population (ITT analysis set) of the study is comprised of 47 males (61%) and 30 females (39%) with a mean age of 44.3 years.</w:t>
      </w:r>
    </w:p>
    <w:p>
      <w:pPr>
        <w:spacing w:after="0" w:line="154"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initial top-line results show that the lower boundary of the confidence interval for the mean difference between the two treatments was below the non-inferiority margin pre-specified for this interim analysis in the ITT analysis set and above such limit in the PP analysis set. At the time of this analysis, two patients discontinued participation due to treatment emergent adverse events (TEAEs). Of these two patients, one discontinued participation due to a related adverse event. No deaths were registered. Overall, safety data appears favorable and consistent with what was observed in previous clinical studies with PRX-102. Unblinded final data is anticipated to be released in the second quarter of 2022 after all remaining patients have completed the 24-month treatment period.</w:t>
      </w:r>
    </w:p>
    <w:p>
      <w:pPr>
        <w:spacing w:after="0" w:line="11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The planned data package for the BLA resubmission, given the changed regulatory landscape in the United States, will include the final two-year analyses of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Phase III BRIDGE Study</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BRIDGE</w:t>
      </w:r>
      <w:r>
        <w:rPr>
          <w:rFonts w:ascii="Arial" w:cs="Arial" w:eastAsia="Arial" w:hAnsi="Arial"/>
          <w:sz w:val="15"/>
          <w:szCs w:val="15"/>
          <w:color w:val="auto"/>
        </w:rPr>
        <w:t xml:space="preserve"> study was a 12-month open-label, single arm switch-over study evaluating the safety and efficacy of pegunigalsidase alfa,</w:t>
      </w:r>
    </w:p>
    <w:p>
      <w:pPr>
        <w:spacing w:after="0" w:line="5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1 mg/kg infused every two weeks, in up to 22 Fabry patients. The trial, which is was completed in December 2019, enrolled patients then being treated with agalsidase alfa, marketed by Takeda Pharmaceutical Company Limited (acquired Shire Plc) as Replagal</w:t>
      </w:r>
      <w:r>
        <w:rPr>
          <w:rFonts w:ascii="Arial" w:cs="Arial" w:eastAsia="Arial" w:hAnsi="Arial"/>
          <w:sz w:val="26"/>
          <w:szCs w:val="26"/>
          <w:color w:val="auto"/>
          <w:vertAlign w:val="superscript"/>
        </w:rPr>
        <w:t>®</w:t>
      </w:r>
      <w:r>
        <w:rPr>
          <w:rFonts w:ascii="Arial" w:cs="Arial" w:eastAsia="Arial" w:hAnsi="Arial"/>
          <w:sz w:val="18"/>
          <w:szCs w:val="18"/>
          <w:color w:val="auto"/>
        </w:rPr>
        <w:t>, for at least two years and on a stable dose for at least six months. Patients were screened and evaluated over three months while continuing Replagal treatment. Following the screening period, each patient was enrolled and switched from Replagal treatment to receive intravenous (IV) infusions of PRX-102 1 mg/kg every two weeks for 12 months.</w:t>
      </w:r>
    </w:p>
    <w:p>
      <w:pPr>
        <w:spacing w:after="0" w:line="164" w:lineRule="exact"/>
        <w:rPr>
          <w:sz w:val="20"/>
          <w:szCs w:val="20"/>
          <w:color w:val="auto"/>
        </w:rPr>
      </w:pPr>
    </w:p>
    <w:p>
      <w:pPr>
        <w:ind w:right="180"/>
        <w:spacing w:after="0" w:line="222" w:lineRule="auto"/>
        <w:rPr>
          <w:sz w:val="20"/>
          <w:szCs w:val="20"/>
          <w:color w:val="auto"/>
        </w:rPr>
      </w:pPr>
      <w:r>
        <w:rPr>
          <w:rFonts w:ascii="Arial" w:cs="Arial" w:eastAsia="Arial" w:hAnsi="Arial"/>
          <w:sz w:val="17"/>
          <w:szCs w:val="17"/>
          <w:color w:val="auto"/>
        </w:rPr>
        <w:t xml:space="preserve">Final results of the data generated in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study showed substantial improvement in renal function as measured by mean annualized estimated Glomerular Filtration Rate, or eGFR, slope in both male and female patients who were switched from agalsidase alfa to PRX-102.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 -5.90 mL/min/1.73m</w:t>
      </w:r>
      <w:r>
        <w:rPr>
          <w:rFonts w:ascii="Arial" w:cs="Arial" w:eastAsia="Arial" w:hAnsi="Arial"/>
          <w:sz w:val="25"/>
          <w:szCs w:val="25"/>
          <w:color w:val="auto"/>
          <w:vertAlign w:val="superscript"/>
        </w:rPr>
        <w:t>2</w:t>
      </w:r>
      <w:r>
        <w:rPr>
          <w:rFonts w:ascii="Arial" w:cs="Arial" w:eastAsia="Arial" w:hAnsi="Arial"/>
          <w:sz w:val="17"/>
          <w:szCs w:val="17"/>
          <w:color w:val="auto"/>
        </w:rPr>
        <w:t>/year while on agalsidase alfa to -1.19 mL/min/1.73m</w:t>
      </w:r>
      <w:r>
        <w:rPr>
          <w:rFonts w:ascii="Arial" w:cs="Arial" w:eastAsia="Arial" w:hAnsi="Arial"/>
          <w:sz w:val="25"/>
          <w:szCs w:val="25"/>
          <w:color w:val="auto"/>
          <w:vertAlign w:val="superscript"/>
        </w:rPr>
        <w:t>2</w:t>
      </w:r>
      <w:r>
        <w:rPr>
          <w:rFonts w:ascii="Arial" w:cs="Arial" w:eastAsia="Arial" w:hAnsi="Arial"/>
          <w:sz w:val="17"/>
          <w:szCs w:val="17"/>
          <w:color w:val="auto"/>
        </w:rPr>
        <w:t>/year on PRX-102 in all patients. Male patients improved from -6.36 mL/min/1.73m</w:t>
      </w:r>
      <w:r>
        <w:rPr>
          <w:rFonts w:ascii="Arial" w:cs="Arial" w:eastAsia="Arial" w:hAnsi="Arial"/>
          <w:sz w:val="25"/>
          <w:szCs w:val="25"/>
          <w:color w:val="auto"/>
          <w:vertAlign w:val="superscript"/>
        </w:rPr>
        <w:t>2</w:t>
      </w:r>
      <w:r>
        <w:rPr>
          <w:rFonts w:ascii="Arial" w:cs="Arial" w:eastAsia="Arial" w:hAnsi="Arial"/>
          <w:sz w:val="17"/>
          <w:szCs w:val="17"/>
          <w:color w:val="auto"/>
        </w:rPr>
        <w:t>/year to -1.73 mL/min/1.73m</w:t>
      </w:r>
      <w:r>
        <w:rPr>
          <w:rFonts w:ascii="Arial" w:cs="Arial" w:eastAsia="Arial" w:hAnsi="Arial"/>
          <w:sz w:val="25"/>
          <w:szCs w:val="25"/>
          <w:color w:val="auto"/>
          <w:vertAlign w:val="superscript"/>
        </w:rPr>
        <w:t>2</w:t>
      </w:r>
      <w:r>
        <w:rPr>
          <w:rFonts w:ascii="Arial" w:cs="Arial" w:eastAsia="Arial" w:hAnsi="Arial"/>
          <w:sz w:val="17"/>
          <w:szCs w:val="17"/>
          <w:color w:val="auto"/>
        </w:rPr>
        <w:t>/year and female patients improved from -5.03 mL/min/1.73m</w:t>
      </w:r>
      <w:r>
        <w:rPr>
          <w:rFonts w:ascii="Arial" w:cs="Arial" w:eastAsia="Arial" w:hAnsi="Arial"/>
          <w:sz w:val="25"/>
          <w:szCs w:val="25"/>
          <w:color w:val="auto"/>
          <w:vertAlign w:val="superscript"/>
        </w:rPr>
        <w:t>2</w:t>
      </w:r>
      <w:r>
        <w:rPr>
          <w:rFonts w:ascii="Arial" w:cs="Arial" w:eastAsia="Arial" w:hAnsi="Arial"/>
          <w:sz w:val="17"/>
          <w:szCs w:val="17"/>
          <w:color w:val="auto"/>
        </w:rPr>
        <w:t>/year to -0.21 mL/min/1.73m</w:t>
      </w:r>
      <w:r>
        <w:rPr>
          <w:rFonts w:ascii="Arial" w:cs="Arial" w:eastAsia="Arial" w:hAnsi="Arial"/>
          <w:sz w:val="25"/>
          <w:szCs w:val="25"/>
          <w:color w:val="auto"/>
          <w:vertAlign w:val="superscript"/>
        </w:rPr>
        <w:t>2</w:t>
      </w:r>
      <w:r>
        <w:rPr>
          <w:rFonts w:ascii="Arial" w:cs="Arial" w:eastAsia="Arial" w:hAnsi="Arial"/>
          <w:sz w:val="17"/>
          <w:szCs w:val="17"/>
          <w:color w:val="auto"/>
        </w:rPr>
        <w:t>/year. Following</w:t>
      </w:r>
    </w:p>
    <w:p>
      <w:pPr>
        <w:sectPr>
          <w:pgSz w:w="11900" w:h="16838" w:orient="portrait"/>
          <w:cols w:equalWidth="0" w:num="1">
            <w:col w:w="9900"/>
          </w:cols>
          <w:pgMar w:left="980" w:top="657" w:right="1019" w:bottom="1440" w:gutter="0" w:footer="0" w:header="0"/>
        </w:sectPr>
      </w:pP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629348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657" w:right="10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switch to PRX-102, there was a decrease in patients with progressing or fast progressing kidney disease, and most patients achieved a stable status post-switch.</w:t>
      </w:r>
    </w:p>
    <w:p>
      <w:pPr>
        <w:spacing w:after="0" w:line="141"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 xml:space="preserve">PRX-102 was well-tolerated in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study, with all adverse events being transient in nature without sequelae. Of the 22 patients enrolled in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study, the majority of treatment emergent adverse events were mild or moderate in severity, with two patients (9.1%) withdrawing from the therapy due to hypersensitivity reaction that was resolved. The most common moderate treatment emergent adverse events were nasopharyngitis, headache and dyspnea.</w:t>
      </w:r>
    </w:p>
    <w:p>
      <w:pPr>
        <w:spacing w:after="0" w:line="15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An immunogenicity assessment indicated that four out of 20 patients (20%) developed persistent antidrug antibodies over the course of the study, of which two had neutralizing activity.</w:t>
      </w:r>
    </w:p>
    <w:p>
      <w:pPr>
        <w:spacing w:after="0" w:line="141" w:lineRule="exact"/>
        <w:rPr>
          <w:sz w:val="20"/>
          <w:szCs w:val="20"/>
          <w:color w:val="auto"/>
        </w:rPr>
      </w:pPr>
    </w:p>
    <w:p>
      <w:pPr>
        <w:ind w:right="340"/>
        <w:spacing w:after="0" w:line="212" w:lineRule="auto"/>
        <w:rPr>
          <w:sz w:val="20"/>
          <w:szCs w:val="20"/>
          <w:color w:val="auto"/>
        </w:rPr>
      </w:pPr>
      <w:r>
        <w:rPr>
          <w:rFonts w:ascii="Arial" w:cs="Arial" w:eastAsia="Arial" w:hAnsi="Arial"/>
          <w:sz w:val="17"/>
          <w:szCs w:val="17"/>
          <w:color w:val="auto"/>
        </w:rPr>
        <w:t>Baseline characteristics of the 20 patients that completed the study, ranging from ages 28 to 60 years, were as follows: mean eGFR 75.87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males, and 86.14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females and plasma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were 51.81 nM and 13.81 nM in males and females, respectively. While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remain slightly high, particularly within the male cohort, continuous reduction in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was observed of 19.55 nM (32.35%) in males and 4.57 nM (29.81%) in females.</w:t>
      </w:r>
    </w:p>
    <w:p>
      <w:pPr>
        <w:spacing w:after="0" w:line="15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Data from the interim analysis of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which were first announced in February 2020, were used to support the PRX-102 BLA filing with the FDA, and we anticipate that the final analysis will be used to support the planned MAA submission to the EMA and the BLA resubmission.</w:t>
      </w:r>
    </w:p>
    <w:p>
      <w:pPr>
        <w:spacing w:after="0" w:line="16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Phase III BRIGHT Study</w:t>
      </w:r>
    </w:p>
    <w:p>
      <w:pPr>
        <w:spacing w:after="0" w:line="17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study was a 12-month, open-label, switch-over study designed to evaluate the safety, efficacy and pharmacokinetics of PRX-102 via IV infusions of 2 mg/kg administered every 4 weeks. The trial, which was completed in June 2020, enrolled up to 30 patients with Fabry disease previously treated with a commercially available ERT (Fabrazyme or Replagal), for at least three years and on a stable dose administered every two weeks. To determine eligibility for participation in the study, candidates were screened to identify and select Fabry patients with stable kidney disease. Patients who matched the criteria were enrolled in the study and switched from their current treatment of IV infusions every 2 weeks to 2 mg/kg of PRX-102 every 4 weeks for 12 months. Patients participating in the study were evaluated, among other disease parameters, to determine if their kidney disease had not further deteriorated while being treated with the 4-week dosing regimen as measured by eGFR and Lyso-Gb</w:t>
      </w:r>
      <w:r>
        <w:rPr>
          <w:rFonts w:ascii="Arial" w:cs="Arial" w:eastAsia="Arial" w:hAnsi="Arial"/>
          <w:sz w:val="25"/>
          <w:szCs w:val="25"/>
          <w:color w:val="auto"/>
          <w:vertAlign w:val="subscript"/>
        </w:rPr>
        <w:t>3</w:t>
      </w:r>
      <w:r>
        <w:rPr>
          <w:rFonts w:ascii="Arial" w:cs="Arial" w:eastAsia="Arial" w:hAnsi="Arial"/>
          <w:sz w:val="17"/>
          <w:szCs w:val="17"/>
          <w:color w:val="auto"/>
        </w:rPr>
        <w:t>, as well as other parameters. In addition, participating patients were evaluated to assess the safety and tolerability of PRX-102.</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announced topline results from 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study in February 2021. The topline results indicate that 2 mg/kg of PRX-102 administered by intravenous infusion every four weeks was found to be well tolerated among treated patients, and stable clinical presentation was maintained in adult Fabry patients. No new patients developed treatment-induced anti-drug antibodies, or ADA, following the switch to PRX-102 treatment.</w:t>
      </w:r>
    </w:p>
    <w:p>
      <w:pPr>
        <w:spacing w:after="0" w:line="164"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BRIGHT</w:t>
      </w:r>
      <w:r>
        <w:rPr>
          <w:rFonts w:ascii="Arial" w:cs="Arial" w:eastAsia="Arial" w:hAnsi="Arial"/>
          <w:sz w:val="15"/>
          <w:szCs w:val="15"/>
          <w:color w:val="auto"/>
        </w:rPr>
        <w:t xml:space="preserve"> study enrolled 24 adult males and 6 adult females. The most common Fabry disease symptoms were acroparesthesia, heat intolerance, angiokeratomas and hypohydrosis. All 30 patients received at least one dose of PRX-102, and 29 patients (mean [SD] age was 40.5 [11.3] years, ranging from 19 to 58 years) completed the 12-month study. Of these 29 patients, 28 received the intended regimen of</w:t>
      </w:r>
    </w:p>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2 mg/kg every four weeks throughout the study, while one patient was switched to PRX-102 1 mg/kg every two weeks per protocol. One patient withdrew from the study after the first infusion due to a traffic accident.</w:t>
      </w:r>
    </w:p>
    <w:p>
      <w:pPr>
        <w:spacing w:after="0" w:line="15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Following screening, patients were enrolled and switched from their then current ERT to IV infusions of 2 mg/kg of PRX-102 every four weeks for 52 weeks (a total of 14 infusions). First infusions of PRX-102 were administered under controlled conditions at the investigation site. Based on the protocol-specified criteria, patients were able to receive their PRX-102 infusions at a home care setup once the Investigator and Sponsor Medical Monitor agreed that it was safe to do so. Safety and efficacy exploratory endpoints were assessed throughout the 52-week study.</w:t>
      </w:r>
    </w:p>
    <w:p>
      <w:pPr>
        <w:spacing w:after="0" w:line="6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Study outcome measures showed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concentrations remained stable during the study with a mean change of 3.01 nM from baseline (19.36 nM) to Week 52 (22.23 nM). Mean absolute change of eGFR values were stable during the 52-week treatment period, with a mean change from baseline of -1.27 mL/min/1.73m</w:t>
      </w:r>
      <w:r>
        <w:rPr>
          <w:rFonts w:ascii="Arial" w:cs="Arial" w:eastAsia="Arial" w:hAnsi="Arial"/>
          <w:sz w:val="26"/>
          <w:szCs w:val="26"/>
          <w:color w:val="auto"/>
          <w:vertAlign w:val="superscript"/>
        </w:rPr>
        <w:t>2</w:t>
      </w:r>
      <w:r>
        <w:rPr>
          <w:rFonts w:ascii="Arial" w:cs="Arial" w:eastAsia="Arial" w:hAnsi="Arial"/>
          <w:sz w:val="18"/>
          <w:szCs w:val="18"/>
          <w:color w:val="auto"/>
        </w:rPr>
        <w:t>.</w:t>
      </w:r>
    </w:p>
    <w:p>
      <w:pPr>
        <w:spacing w:after="0" w:line="4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BPI,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ectPr>
          <w:pgSz w:w="11900" w:h="16838" w:orient="portrait"/>
          <w:cols w:equalWidth="0" w:num="1">
            <w:col w:w="9920"/>
          </w:cols>
          <w:pgMar w:left="980" w:top="657" w:right="99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629348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COVID-19 Impact on PRX-102 Clinical Trials</w:t>
      </w:r>
    </w:p>
    <w:p>
      <w:pPr>
        <w:spacing w:after="0" w:line="17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date, the COVID-19 pandemic has had a minimal effect on the performance of the phase III clinical trials of PRX-102 as many of the patients were already treated in home care settings. In a minimal amount of cases, patients that completed a trial were not able to be transferred into an extension study due to the pandemic restrictions, and, accordingly, the main trial was prolonged for the patients to permit the continuation of treatment.</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Phase I/II Study</w:t>
      </w:r>
    </w:p>
    <w:p>
      <w:pPr>
        <w:spacing w:after="0" w:line="17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 xml:space="preserve">Our phase I/II clinical trial of PRX-102, which we completed in 2015, was a worldwide, multi-center, open-label, dose ranging study designed to evaluate the safety, tolerability, pharmacokinetics, immunogenicity and efficacy parameters of PRX-102 in adult Fabry patients. Sixteen adult, naïve Fabry patients (9 male and 7 female) completed the trial, each in one of three dosing groups, 0.2 mg/kg, 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studies of PRX-102.</w:t>
      </w:r>
    </w:p>
    <w:p>
      <w:pPr>
        <w:spacing w:after="0" w:line="65"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The adult symptomatic, ERT-naïve Fabry disease patients enrolled in the phase I/II study were evaluated for Gb</w:t>
      </w:r>
      <w:r>
        <w:rPr>
          <w:rFonts w:ascii="Arial" w:cs="Arial" w:eastAsia="Arial" w:hAnsi="Arial"/>
          <w:sz w:val="24"/>
          <w:szCs w:val="24"/>
          <w:color w:val="auto"/>
          <w:vertAlign w:val="subscript"/>
        </w:rPr>
        <w:t>3</w:t>
      </w:r>
      <w:r>
        <w:rPr>
          <w:rFonts w:ascii="Arial" w:cs="Arial" w:eastAsia="Arial" w:hAnsi="Arial"/>
          <w:sz w:val="16"/>
          <w:szCs w:val="16"/>
          <w:color w:val="auto"/>
        </w:rPr>
        <w:t xml:space="preserve"> levels in kidney biopsies and for plasma Lyso-Gb</w:t>
      </w:r>
      <w:r>
        <w:rPr>
          <w:rFonts w:ascii="Arial" w:cs="Arial" w:eastAsia="Arial" w:hAnsi="Arial"/>
          <w:sz w:val="24"/>
          <w:szCs w:val="24"/>
          <w:color w:val="auto"/>
          <w:vertAlign w:val="subscript"/>
        </w:rPr>
        <w:t>3</w:t>
      </w:r>
      <w:r>
        <w:rPr>
          <w:rFonts w:ascii="Arial" w:cs="Arial" w:eastAsia="Arial" w:hAnsi="Arial"/>
          <w:sz w:val="16"/>
          <w:szCs w:val="16"/>
          <w:color w:val="auto"/>
        </w:rPr>
        <w:t xml:space="preserve"> concentration by the quantitative BLISS methodology. Biopsies were available from 14 patients. The outcome of</w:t>
      </w:r>
    </w:p>
    <w:p>
      <w:pPr>
        <w:spacing w:after="0" w:line="2" w:lineRule="exact"/>
        <w:rPr>
          <w:sz w:val="20"/>
          <w:szCs w:val="20"/>
          <w:color w:val="auto"/>
        </w:rPr>
      </w:pPr>
    </w:p>
    <w:p>
      <w:pPr>
        <w:ind w:right="100" w:firstLine="7"/>
        <w:spacing w:after="0" w:line="207" w:lineRule="auto"/>
        <w:tabs>
          <w:tab w:leader="none" w:pos="141" w:val="left"/>
        </w:tabs>
        <w:numPr>
          <w:ilvl w:val="0"/>
          <w:numId w:val="13"/>
        </w:numPr>
        <w:rPr>
          <w:rFonts w:ascii="Arial" w:cs="Arial" w:eastAsia="Arial" w:hAnsi="Arial"/>
          <w:sz w:val="17"/>
          <w:szCs w:val="17"/>
          <w:color w:val="auto"/>
        </w:rPr>
      </w:pPr>
      <w:r>
        <w:rPr>
          <w:rFonts w:ascii="Arial" w:cs="Arial" w:eastAsia="Arial" w:hAnsi="Arial"/>
          <w:sz w:val="17"/>
          <w:szCs w:val="17"/>
          <w:color w:val="auto"/>
        </w:rPr>
        <w:t>50% reduction in the average number of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inclusions burden and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 the circulation. A high correlation was found between the two Fabry disease biomarkers, reduction of kidney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inclusions and the reduction of plasma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over six months of treatment.</w:t>
      </w:r>
    </w:p>
    <w:p>
      <w:pPr>
        <w:spacing w:after="0" w:line="160"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5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Results show that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decreased approximately 90% from baseline. Renal function remained stable with mean eGRF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39" w:lineRule="exact"/>
        <w:rPr>
          <w:sz w:val="20"/>
          <w:szCs w:val="20"/>
          <w:color w:val="auto"/>
        </w:rPr>
      </w:pPr>
    </w:p>
    <w:p>
      <w:pPr>
        <w:jc w:val="both"/>
        <w:ind w:right="320"/>
        <w:spacing w:after="0" w:line="318" w:lineRule="auto"/>
        <w:rPr>
          <w:sz w:val="20"/>
          <w:szCs w:val="20"/>
          <w:color w:val="auto"/>
        </w:rPr>
      </w:pPr>
      <w:r>
        <w:rPr>
          <w:rFonts w:ascii="Arial" w:cs="Arial" w:eastAsia="Arial" w:hAnsi="Arial"/>
          <w:sz w:val="15"/>
          <w:szCs w:val="15"/>
          <w:color w:val="auto"/>
        </w:rPr>
        <w:t>The majority of adverse events were mild-to-moderate in severity, and transient in nature. During the first 12 months of treatment, only three of 16 patients (less than 19%) formed anti-drug antibodies (ADA),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Commercialization Agreements with Chiesi Farmaceutici</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was entitled to development cost reimbursements of up to $45.0 million, up to more than $1.0 billion in potential milestone payments and tiered royalties of 15% - 35% (ex-US) and 15% - 40% (US). To date, Protalix Ltd. has received the complete amount of development costs to which it is entitled under the two Agreements.</w:t>
      </w:r>
    </w:p>
    <w:p>
      <w:pPr>
        <w:spacing w:after="0" w:line="141"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ectPr>
          <w:pgSz w:w="11900" w:h="16838" w:orient="portrait"/>
          <w:cols w:equalWidth="0" w:num="1">
            <w:col w:w="9920"/>
          </w:cols>
          <w:pgMar w:left="980" w:top="657" w:right="999"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62934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subject to a maximum of $7.5 million per year. Protalix Ltd. is also eligible to receive additional payments of up to a maximum of $760.0 million, in the aggregate, in regulatory and commercial milestone payments. Chiesi is also required to make tiered payments of 15% to 40% of its net sales under the Chiesi US Agreement to Protalix Ltd., depending on the amount of annual sales, subject to certain terms and conditions, as consideration for product supply.</w:t>
      </w:r>
    </w:p>
    <w:p>
      <w:pPr>
        <w:spacing w:after="0" w:line="145"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On May 13, 2021, we signed a binding term sheet with Chiesi pursuant to which we amended the Chiesi Agreements in order to provide us with near-term capital. Chiesi agreed to make a $10.0 million milestone payment to us before the end of the second quarter in exchange for a $25.0 million reduction in a longer term regulatory milestone payment in the Chiesi EX-US Agreement. All other regulatory and commercial milestone payments remain unchanged. We also agreed to negotiate certain manufacturing related matters.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Elelyso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Gaucher Disease</w:t>
      </w:r>
    </w:p>
    <w:p>
      <w:pPr>
        <w:spacing w:after="0" w:line="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Elelyso (taliglucerase alfa), our first commercial product, was approved by the FDA in 2012 for injection as an enzyme replacement therapy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over 20 markets.</w:t>
      </w:r>
    </w:p>
    <w:p>
      <w:pPr>
        <w:spacing w:after="0" w:line="137"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and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18" w:lineRule="exact"/>
        <w:rPr>
          <w:sz w:val="20"/>
          <w:szCs w:val="20"/>
          <w:color w:val="auto"/>
        </w:rPr>
      </w:pPr>
    </w:p>
    <w:p>
      <w:pPr>
        <w:ind w:right="760"/>
        <w:spacing w:after="0" w:line="223" w:lineRule="auto"/>
        <w:rPr>
          <w:sz w:val="20"/>
          <w:szCs w:val="20"/>
          <w:color w:val="auto"/>
        </w:rPr>
      </w:pPr>
      <w:r>
        <w:rPr>
          <w:rFonts w:ascii="Arial" w:cs="Arial" w:eastAsia="Arial" w:hAnsi="Arial"/>
          <w:sz w:val="18"/>
          <w:szCs w:val="18"/>
          <w:color w:val="auto"/>
        </w:rPr>
        <w:t>Gaucher disease is a $1.5 billion global annual therapeutic market that includes Sanofi’s Cerezyme</w:t>
      </w:r>
      <w:r>
        <w:rPr>
          <w:rFonts w:ascii="Arial" w:cs="Arial" w:eastAsia="Arial" w:hAnsi="Arial"/>
          <w:sz w:val="26"/>
          <w:szCs w:val="26"/>
          <w:color w:val="auto"/>
          <w:vertAlign w:val="superscript"/>
        </w:rPr>
        <w:t>®</w:t>
      </w:r>
      <w:r>
        <w:rPr>
          <w:rFonts w:ascii="Arial" w:cs="Arial" w:eastAsia="Arial" w:hAnsi="Arial"/>
          <w:sz w:val="18"/>
          <w:szCs w:val="18"/>
          <w:color w:val="auto"/>
        </w:rPr>
        <w:t>, Shire’s (acquired by Takeda Pharmaceutical Company Limited) Vpriv</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Sanofi’s Cerdelga</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Commercialization Agreements for Elelyso</w:t>
      </w:r>
    </w:p>
    <w:p>
      <w:pPr>
        <w:spacing w:after="0" w:line="17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first 10-year period after the execution of our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w:t>
      </w:r>
    </w:p>
    <w:p>
      <w:pPr>
        <w:spacing w:after="0" w:line="151" w:lineRule="exact"/>
        <w:rPr>
          <w:sz w:val="20"/>
          <w:szCs w:val="20"/>
          <w:color w:val="auto"/>
        </w:rPr>
      </w:pPr>
    </w:p>
    <w:p>
      <w:pPr>
        <w:ind w:right="760"/>
        <w:spacing w:after="0" w:line="255" w:lineRule="auto"/>
        <w:rPr>
          <w:sz w:val="20"/>
          <w:szCs w:val="20"/>
          <w:color w:val="auto"/>
        </w:rPr>
      </w:pPr>
      <w:r>
        <w:rPr>
          <w:rFonts w:ascii="Arial" w:cs="Arial" w:eastAsia="Arial" w:hAnsi="Arial"/>
          <w:sz w:val="18"/>
          <w:szCs w:val="18"/>
          <w:color w:val="auto"/>
        </w:rPr>
        <w:t>We maintain distribution rights to Elelyso in Brazil (marketed in Brazil as BioManguinhos alfataliglicerase) through a supply and technology transfer agreement with Fiocruz, an arm of the Brazilian MoH. In 2020, we generated $8.0 million from sales of BioManguinhos alfataliglicerase to the Brazilian MoH.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Alidornase Alfa (PRX-110)</w:t>
      </w:r>
    </w:p>
    <w:p>
      <w:pPr>
        <w:spacing w:after="0" w:line="19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Alidornase alfa is our chemically-modified plant cell expressed recombinant human DNase I, administered via inhalation. Recombinant human DNase I enzymatically cleaves DNA but its activity is inhibited by actin, which is present in the blood and other target organs. PRX-110 is designed to be less susceptible to actin inhibition and have higher affinity to DNA, thus enhancing enzymatic activity. In-vitro studies have shown PRX-110 to have a highly improved catalytic efficiency and affinity to DNA, compared to dornase alfa (Pulmozyme</w:t>
      </w:r>
      <w:r>
        <w:rPr>
          <w:rFonts w:ascii="Arial" w:cs="Arial" w:eastAsia="Arial" w:hAnsi="Arial"/>
          <w:sz w:val="25"/>
          <w:szCs w:val="25"/>
          <w:color w:val="auto"/>
          <w:vertAlign w:val="superscript"/>
        </w:rPr>
        <w:t>®</w:t>
      </w:r>
      <w:r>
        <w:rPr>
          <w:rFonts w:ascii="Arial" w:cs="Arial" w:eastAsia="Arial" w:hAnsi="Arial"/>
          <w:sz w:val="17"/>
          <w:szCs w:val="17"/>
          <w:color w:val="auto"/>
        </w:rPr>
        <w:t>, currently the only commercially available DNase therapy), even more so in the presence of actin. In February 2021, we entered into an exclusive worldwide license agreement with SarcoMed with respect to PRX-110 for use in the treatment of any human respiratory disease or condition including, but not limited to, sarcoidosis, pulmonary fibrosis, and other related diseases via inhaled delivery. The license agreement expired during the three months ended September 30, 2021. We are continuing to evaluate potential strategic marketing partnerships and collaboration programs with biotechnology and pharmaceutical companies for this product candidate for various respiratory indications.</w:t>
      </w:r>
    </w:p>
    <w:p>
      <w:pPr>
        <w:sectPr>
          <w:pgSz w:w="11900" w:h="16838" w:orient="portrait"/>
          <w:cols w:equalWidth="0" w:num="1">
            <w:col w:w="9920"/>
          </w:cols>
          <w:pgMar w:left="980" w:top="657" w:right="99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629348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PRX-115</w:t>
      </w:r>
    </w:p>
    <w:p>
      <w:pPr>
        <w:spacing w:after="0" w:line="177" w:lineRule="exact"/>
        <w:rPr>
          <w:sz w:val="20"/>
          <w:szCs w:val="20"/>
          <w:color w:val="auto"/>
        </w:rPr>
      </w:pPr>
    </w:p>
    <w:p>
      <w:pPr>
        <w:ind w:right="200"/>
        <w:spacing w:after="0" w:line="302" w:lineRule="auto"/>
        <w:rPr>
          <w:sz w:val="20"/>
          <w:szCs w:val="20"/>
          <w:color w:val="auto"/>
        </w:rPr>
      </w:pPr>
      <w:r>
        <w:rPr>
          <w:rFonts w:ascii="Arial" w:cs="Arial" w:eastAsia="Arial" w:hAnsi="Arial"/>
          <w:sz w:val="15"/>
          <w:szCs w:val="15"/>
          <w:color w:val="auto"/>
        </w:rPr>
        <w:t>PRX-115 is our plant cell-expressed recombinant PEGylated uricase (urate oxidase) – a chemically modified enzyme under development for the potential treatment of refractory gout. Gout is the most common inflammatory arthritis in the United States, affecting an estimated</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Currently available urate-lowering therapies, or ULTs, can be effective in treating gout. Refractory gout patients are those whom, despite treatment with existing ULTs, have high flare frequency, consistent tophi, and the inability to maintain therapeutic goals of urate levels. An estimated approximately 2% of the gout population is considered to have chronic refractory disease and are in need of other therapeutic options. One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for treatment of chronic gout refractory to conventional therapy (no longer approved in the European Union) and</w:t>
      </w:r>
    </w:p>
    <w:p>
      <w:pPr>
        <w:spacing w:after="0" w:line="2" w:lineRule="exact"/>
        <w:rPr>
          <w:sz w:val="20"/>
          <w:szCs w:val="20"/>
          <w:color w:val="auto"/>
        </w:rPr>
      </w:pPr>
    </w:p>
    <w:p>
      <w:pPr>
        <w:ind w:right="40" w:firstLine="7"/>
        <w:spacing w:after="0" w:line="224"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Elitek</w:t>
      </w:r>
      <w:r>
        <w:rPr>
          <w:rFonts w:ascii="Arial" w:cs="Arial" w:eastAsia="Arial" w:hAnsi="Arial"/>
          <w:sz w:val="26"/>
          <w:szCs w:val="26"/>
          <w:color w:val="auto"/>
          <w:vertAlign w:val="superscript"/>
        </w:rPr>
        <w:t>®</w:t>
      </w:r>
      <w:r>
        <w:rPr>
          <w:rFonts w:ascii="Arial" w:cs="Arial" w:eastAsia="Arial" w:hAnsi="Arial"/>
          <w:sz w:val="18"/>
          <w:szCs w:val="18"/>
          <w:color w:val="auto"/>
        </w:rPr>
        <w:t>, indicated for the treatment of tumor lysis syndrome but not gout. Both have a black box warning for anaphylaxis, induce strong immunogenic reactions and have other major side-effects. We use ProCellEx to express an optimized recombinant uricase enzyme under development for the potential treatment of refractory gout which we are designing to have an improved half-life, reduced immunogenicity and potentially longer term efficacy.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PRX-119</w:t>
      </w:r>
    </w:p>
    <w:p>
      <w:pPr>
        <w:spacing w:after="0" w:line="177" w:lineRule="exact"/>
        <w:rPr>
          <w:sz w:val="20"/>
          <w:szCs w:val="20"/>
          <w:color w:val="auto"/>
        </w:rPr>
      </w:pPr>
    </w:p>
    <w:p>
      <w:pPr>
        <w:ind w:right="180"/>
        <w:spacing w:after="0" w:line="306" w:lineRule="auto"/>
        <w:rPr>
          <w:sz w:val="20"/>
          <w:szCs w:val="20"/>
          <w:color w:val="auto"/>
        </w:rPr>
      </w:pPr>
      <w:r>
        <w:rPr>
          <w:rFonts w:ascii="Arial" w:cs="Arial" w:eastAsia="Arial" w:hAnsi="Arial"/>
          <w:sz w:val="15"/>
          <w:szCs w:val="15"/>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7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A key element of our overall strategy is to establish a broad portfolio of patents to protect our proprietary technology, proprietary product and product candidates and their methods of use. As of September 30, 2021, we hold a broad portfolio of over 90 patents in Europe, the United States, Israel and additional countries worldwide, as well as over 30 pending patent applications.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91"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We continuously work on the further development of our ProCellEx plant cell expression technology and bioreactor system. In addition, we are working on the development of new products, each in different initial stages of development, for specific products for which there are unmet needs in terms of efficacy and safety. Our development strategy focuses on the utilization of different modification approaches and development improvements, customized for each protein product, in all stages of expression and development.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appearing in this Quarterly Report. There have been no material changes to our critical accounting policies since we filed our Annual Report on Form 10-K for the year ended December 31, 2020.</w:t>
      </w:r>
    </w:p>
    <w:p>
      <w:pPr>
        <w:spacing w:after="0" w:line="162"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29348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basis for making judgments about the carrying value of assets and liabilities that are not readily apparent from other sources. Actual results may differ from these estimates under different assumptions or conditions.</w:t>
      </w:r>
    </w:p>
    <w:p>
      <w:pPr>
        <w:spacing w:after="0" w:line="14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full extent to which the COVID-19 pandemic will directly or indirectly impact our financial condition, liquidity, or results of operations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customers and markets.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the three months ended September 30,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Selling Goods</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We recorded revenues from selling goods of $4.5 million during the three months ended September 30, 2021, an increase of $1.2 million, or 36%, compared to revenues of $3.3 million for the three months ended September 30, 2020. The increase of $3.2 million in sales to Brazil, resulting from timing differences, was partially offset by a decrease of $2.0 million in sales to Pfizer.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7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recorded revenues from license and R&amp;D services of $7.5 million for the three months ended September 30, 2021 and September 30, 2020. Revenues from license and R&amp;D services are comprised primarily of revenues we recognized in connection with the Chiesi Agreements. A revenue increase of $1.0 million recognized from the Kirin feasibility study was offset by a $1.0 million decrease in revenue generated under the Chiesi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7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Cost of goods sold was $3.7 million for the three months ended September 30, 2021, an increase of $0.8 million, or 28%, from cost of goods sold of $2.9 million for the three months ended September 30, 2020. The increase in cost of goods sold was primarily the result of higher sales.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1" w:lineRule="exact"/>
        <w:rPr>
          <w:sz w:val="20"/>
          <w:szCs w:val="20"/>
          <w:color w:val="auto"/>
        </w:rPr>
      </w:pPr>
    </w:p>
    <w:p>
      <w:pPr>
        <w:jc w:val="both"/>
        <w:ind w:right="100"/>
        <w:spacing w:after="0" w:line="330" w:lineRule="auto"/>
        <w:rPr>
          <w:sz w:val="20"/>
          <w:szCs w:val="20"/>
          <w:color w:val="auto"/>
        </w:rPr>
      </w:pPr>
      <w:r>
        <w:rPr>
          <w:rFonts w:ascii="Arial" w:cs="Arial" w:eastAsia="Arial" w:hAnsi="Arial"/>
          <w:sz w:val="15"/>
          <w:szCs w:val="15"/>
          <w:color w:val="auto"/>
        </w:rPr>
        <w:t xml:space="preserve">Research and development expenses were $7.3 million for the three months ended September 30, 2021, a decrease of $0.4 million, or 5%, compared to $7.7 million of research and development expenses for the three months ended September 30, 2020. The decrease is primarily the result of the completion of two out of the three phase III clinical trials of PRX-102 and reduced costs related to the </w:t>
      </w:r>
      <w:r>
        <w:rPr>
          <w:rFonts w:ascii="Arial" w:cs="Arial" w:eastAsia="Arial" w:hAnsi="Arial"/>
          <w:sz w:val="15"/>
          <w:szCs w:val="15"/>
          <w:i w:val="1"/>
          <w:iCs w:val="1"/>
          <w:color w:val="auto"/>
        </w:rPr>
        <w:t>BALANCE</w:t>
      </w:r>
      <w:r>
        <w:rPr>
          <w:rFonts w:ascii="Arial" w:cs="Arial" w:eastAsia="Arial" w:hAnsi="Arial"/>
          <w:sz w:val="15"/>
          <w:szCs w:val="15"/>
          <w:color w:val="auto"/>
        </w:rPr>
        <w:t xml:space="preserve"> study.</w:t>
      </w:r>
    </w:p>
    <w:p>
      <w:pPr>
        <w:spacing w:after="0" w:line="9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Selling, general and administrative expenses were $3.0 million for the three months ended September 30, 2021, an increase of $0.2 million, or 7%, compared to $2.8 million for the three months ended September 30, 2020. The increase is primarily the result of an increase of $0.4 million in corporate costs mainly related to insurance and a $0.2 million increase in sales and marketing costs, partially offset by a decrease of $0.5 million in share-based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77" w:lineRule="exact"/>
        <w:rPr>
          <w:sz w:val="20"/>
          <w:szCs w:val="20"/>
          <w:color w:val="auto"/>
        </w:rPr>
      </w:pPr>
    </w:p>
    <w:p>
      <w:pPr>
        <w:ind w:right="440"/>
        <w:spacing w:after="0" w:line="365" w:lineRule="auto"/>
        <w:rPr>
          <w:sz w:val="20"/>
          <w:szCs w:val="20"/>
          <w:color w:val="auto"/>
        </w:rPr>
      </w:pPr>
      <w:r>
        <w:rPr>
          <w:rFonts w:ascii="Arial" w:cs="Arial" w:eastAsia="Arial" w:hAnsi="Arial"/>
          <w:sz w:val="15"/>
          <w:szCs w:val="15"/>
          <w:color w:val="auto"/>
        </w:rPr>
        <w:t>Financial expenses, net were $2.3 million for the three months ended September 30, 2021 and $1.9 million for the three months ended September 30, 2020. The increase resulted primarily from loss on extinguishment related to the Exchanges of our 2021 Notes.</w:t>
      </w:r>
    </w:p>
    <w:p>
      <w:pPr>
        <w:spacing w:after="0" w:line="85" w:lineRule="exact"/>
        <w:rPr>
          <w:sz w:val="20"/>
          <w:szCs w:val="20"/>
          <w:color w:val="auto"/>
        </w:rPr>
      </w:pPr>
    </w:p>
    <w:p>
      <w:pPr>
        <w:ind w:right="2920"/>
        <w:spacing w:after="0" w:line="445" w:lineRule="auto"/>
        <w:rPr>
          <w:sz w:val="20"/>
          <w:szCs w:val="20"/>
          <w:color w:val="auto"/>
        </w:rPr>
      </w:pPr>
      <w:r>
        <w:rPr>
          <w:rFonts w:ascii="Arial" w:cs="Arial" w:eastAsia="Arial" w:hAnsi="Arial"/>
          <w:sz w:val="18"/>
          <w:szCs w:val="18"/>
          <w:b w:val="1"/>
          <w:bCs w:val="1"/>
          <w:i w:val="1"/>
          <w:iCs w:val="1"/>
          <w:color w:val="auto"/>
        </w:rPr>
        <w:t xml:space="preserve">Nine months ended September 30, 2021 compared to the nine months ended September 30, 2020 </w:t>
      </w:r>
      <w:r>
        <w:rPr>
          <w:rFonts w:ascii="Arial" w:cs="Arial" w:eastAsia="Arial" w:hAnsi="Arial"/>
          <w:sz w:val="18"/>
          <w:szCs w:val="18"/>
          <w:i w:val="1"/>
          <w:iCs w:val="1"/>
          <w:color w:val="auto"/>
        </w:rPr>
        <w:t>Revenues from Selling Goods</w:t>
      </w:r>
    </w:p>
    <w:p>
      <w:pPr>
        <w:spacing w:after="0" w:line="1"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We recorded revenues from selling goods of $12.3 million during the nine months ended September 30, 2021, an increase of $0.3 million, or 3%, compared to revenues of $12.0 million for the nine months ended September 30, 2020. The increase of</w:t>
      </w: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29348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right="300"/>
        <w:spacing w:after="0" w:line="453" w:lineRule="auto"/>
        <w:rPr>
          <w:sz w:val="20"/>
          <w:szCs w:val="20"/>
          <w:color w:val="auto"/>
        </w:rPr>
      </w:pPr>
      <w:r>
        <w:rPr>
          <w:rFonts w:ascii="Arial" w:cs="Arial" w:eastAsia="Arial" w:hAnsi="Arial"/>
          <w:sz w:val="18"/>
          <w:szCs w:val="18"/>
          <w:color w:val="auto"/>
        </w:rPr>
        <w:t xml:space="preserve">$2.0 million in sales to Pfizer was partially offset by a decrease of $1.8 million in sales to Brazil, both resulting from timing differences. </w:t>
      </w:r>
      <w:r>
        <w:rPr>
          <w:rFonts w:ascii="Arial" w:cs="Arial" w:eastAsia="Arial" w:hAnsi="Arial"/>
          <w:sz w:val="18"/>
          <w:szCs w:val="18"/>
          <w:i w:val="1"/>
          <w:iCs w:val="1"/>
          <w:color w:val="auto"/>
        </w:rPr>
        <w:t>Revenues from License and R&amp;D Services</w:t>
      </w:r>
    </w:p>
    <w:p>
      <w:pPr>
        <w:spacing w:after="0"/>
        <w:rPr>
          <w:sz w:val="20"/>
          <w:szCs w:val="20"/>
          <w:color w:val="auto"/>
        </w:rPr>
      </w:pPr>
      <w:r>
        <w:rPr>
          <w:rFonts w:ascii="Arial" w:cs="Arial" w:eastAsia="Arial" w:hAnsi="Arial"/>
          <w:sz w:val="15"/>
          <w:szCs w:val="15"/>
          <w:color w:val="auto"/>
        </w:rPr>
        <w:t>We recorded revenues from license and R&amp;D services of $17.5 million for the nine months ended September 30, 2021, a decrease of</w:t>
      </w:r>
    </w:p>
    <w:p>
      <w:pPr>
        <w:spacing w:after="0" w:line="5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$13.9 million, or 44%, compared to revenues of $31.4 million for the nine months ended September 30, 2020. Revenues from license and R&amp;D services are comprised primarily of revenues we recognized in connection with the Chiesi Agreements. The decrease resulted primarily from revenues recognized in connection with the progress of our clinical trials that have been completed during 2020 and includes a $4.1 million reduction to accumulated revenues recognized due to updated costs estimation throughout the trials until completion. The decrease was partially offset by an increase of $1.0 million of revenues recognized in connection with the Kirin feasibility study.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7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Cost of goods sold was $13.2 million for the nine months ended September 30, 2021, an increase of $5.1 million, or 63%, from cost of goods sold of $8.1 million for the nine months ended September 30, 2020. The increase in cost of goods sold was primarily the result of certain one-time manufacturing costs incurred while preparing for the then anticipated FDA approval of the PRX-102 BLA and higher manufacturing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7" w:lineRule="exact"/>
        <w:rPr>
          <w:sz w:val="20"/>
          <w:szCs w:val="20"/>
          <w:color w:val="auto"/>
        </w:rPr>
      </w:pPr>
    </w:p>
    <w:p>
      <w:pPr>
        <w:jc w:val="both"/>
        <w:ind w:right="40"/>
        <w:spacing w:after="0" w:line="330" w:lineRule="auto"/>
        <w:rPr>
          <w:sz w:val="20"/>
          <w:szCs w:val="20"/>
          <w:color w:val="auto"/>
        </w:rPr>
      </w:pPr>
      <w:r>
        <w:rPr>
          <w:rFonts w:ascii="Arial" w:cs="Arial" w:eastAsia="Arial" w:hAnsi="Arial"/>
          <w:sz w:val="15"/>
          <w:szCs w:val="15"/>
          <w:color w:val="auto"/>
        </w:rPr>
        <w:t xml:space="preserve">Research and development expenses were $22.1 million for the nine months ended September 30, 2021, a decrease of $5.1 million, or 19%, compared to $27.2 million of research and development expenses for the nine months ended September 30, 2020. The decrease is primarily the result of the completion of two out of the three phase III clinical trials of PRX-102 and reduced costs related to the </w:t>
      </w:r>
      <w:r>
        <w:rPr>
          <w:rFonts w:ascii="Arial" w:cs="Arial" w:eastAsia="Arial" w:hAnsi="Arial"/>
          <w:sz w:val="15"/>
          <w:szCs w:val="15"/>
          <w:i w:val="1"/>
          <w:iCs w:val="1"/>
          <w:color w:val="auto"/>
        </w:rPr>
        <w:t>BALANCE</w:t>
      </w:r>
      <w:r>
        <w:rPr>
          <w:rFonts w:ascii="Arial" w:cs="Arial" w:eastAsia="Arial" w:hAnsi="Arial"/>
          <w:sz w:val="15"/>
          <w:szCs w:val="15"/>
          <w:color w:val="auto"/>
        </w:rPr>
        <w:t xml:space="preserve"> study.</w:t>
      </w:r>
    </w:p>
    <w:p>
      <w:pPr>
        <w:spacing w:after="0" w:line="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Selling, general and administrative expenses were $9.3 million for the nine months ended September 30, 2021, an increase of $1.1 million, or 13%, compared to $8.2 million for the nine months ended September 30, 2020. The increase resulted primarily from an increase in corporate costs of $1.4 million related mainly to insurance and funding which was partially offset by $0.3 million decrease in share-based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91" w:lineRule="exact"/>
        <w:rPr>
          <w:sz w:val="20"/>
          <w:szCs w:val="20"/>
          <w:color w:val="auto"/>
        </w:rPr>
      </w:pPr>
    </w:p>
    <w:p>
      <w:pPr>
        <w:jc w:val="both"/>
        <w:ind w:right="240"/>
        <w:spacing w:after="0" w:line="252" w:lineRule="auto"/>
        <w:rPr>
          <w:sz w:val="20"/>
          <w:szCs w:val="20"/>
          <w:color w:val="auto"/>
        </w:rPr>
      </w:pPr>
      <w:r>
        <w:rPr>
          <w:rFonts w:ascii="Arial" w:cs="Arial" w:eastAsia="Arial" w:hAnsi="Arial"/>
          <w:sz w:val="18"/>
          <w:szCs w:val="18"/>
          <w:color w:val="auto"/>
        </w:rPr>
        <w:t>Financial expenses net were $6.2 million for the nine months ended September 30, 2021, a decrease of $0.6 million, or 9%, compared to financial expenses net of $6.8 million for the nine months ended September 30, 2020. The decrease resulted primarily from a decrease in expenses related to our outstanding convertible notes equal to $1.3 million offset by a $0.8 million loss on extinguishment related to the Exchanges of our 2021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sources of liquidity include our cash balances and bank deposits. At September 30, 2021, we had $10.6 million in cash and cash equivalents and $38.0 million in short-term bank deposits. We have primarily financed our operations through equity and debt financings, business collaborations, and grants funding.</w:t>
      </w:r>
    </w:p>
    <w:p>
      <w:pPr>
        <w:spacing w:after="0" w:line="16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During the nine months ended September 30, 2021, we raised gross proceeds equal to approximately $8.8 million from sales of common stock under our ATM program through the sale of 1,867,552 shares of our common stock. In addition, we raised gross proceeds of approximately $40.2 million from a public offering of our common stock before deducting the underwriting discount and estimated expenses of the offering. In connection with the offering, we issued 8,749,999 shares of our common stock at a purchase price per share of $4.60.</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On August 25, 2021, we completed the Exchanges of our outstanding 2021 Notes with institutional note holders of a substantial majority of the 2021 Notes. The Exchanges involved the exchange of an aggregate of $54.65 million principal amount of 2021 Notes for an aggregate of $28.75 million principal amount of newly issued 2024 Notes, $25.90 million in cash and approximately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29348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$1.1 million in cash representing accrued and unpaid interest through the closing date. The initial conversion rate of the 2024 Notes is 563.2216 shares of our common stock per $1,000 principal amount of 2024 Notes, which is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are currently outstanding. The maturity date of the 2021 Notes is November 15, 2021, on which date we are required to settle all the then outstanding 2021 Notes and pay all accrued but unpaid interest thereon. On November 9, 2021, we delivered the necessary funds under the indenture governing the 2021 Notes to effectively discharge the remaining outstanding 2021 Notes.</w:t>
      </w:r>
    </w:p>
    <w:p>
      <w:pPr>
        <w:spacing w:after="0" w:line="14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2024 Notes were issued pursuant to an indenture entered into between us, the guarantors party thereto, The Bank of New York Mellon Trust Company, N.A., as trustee and Wilmington Savings Fund Society, FSB, as collateral agent. Interest on the Notes are payable semi-annually at a rate of 7.50% per annum. The 2024 Notes will mature three years after the issuance thereof, unless earlier purchased, converted, exchanged or redeemed and will be guaranteed by our subsidiaries. The 2024 Notes are secured by perfected liens on all of our assets, including those of our subsidiaries.</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that our cash and cash equivalents and bank deposits as of September 30, 2021 are sufficient to satisfy our capital needs for at least 12 months from the date that these financial statements are issued.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Net cash used in operations was $5.2 million for the nine months ended September 30, 2021. In response to the COVID-19 pandemic, a higher number of subjects in our ongoing clinical trials opted for home care treatments over in-site treatments which resulted in an immaterial amount of additional expenses. The net loss for the nine months ended September 30, 2021 of $20.9 million was increased by a $4.1 million increase in accounts receivable and other assets and $1.6 million increase in inventories, and was partially offset by a</w:t>
      </w:r>
    </w:p>
    <w:p>
      <w:pPr>
        <w:spacing w:after="0" w:line="3"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$13.9 million increase in contracts liability, a $2.6 million of amortization of debt issuance costs and debt discount, $2.0 million in share-based compensation and $1.1 million increase in accounts payable and accruals. Net cash used in investing activities for the nine months ended September 30, 2021 was $18.5 million and consisted primarily of a net increase in bank deposits. Net cash provided by financing activities was $16.1 million resulting from the sale of common stock under our former ATM program and from our public offering of common stock, net of the convertible notes and promissory note payments.</w:t>
      </w:r>
    </w:p>
    <w:p>
      <w:pPr>
        <w:spacing w:after="0" w:line="15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Net cash used in operations was $18.6 million for the nine months ended September 30, 2020. In response to the COVID-19 pandemic, a higher number of subjects in our ongoing clinical trials opted for home care treatments over in-site treatments which resulted in an immaterial amount of additional expenses. The net loss for the nine months ended September 30, 2020 of $6.9 million was increased by a $15.1 million decrease in contracts liability and a $5.1 million increase in inventories, partially offset by an increase of $3.3 million in accounts payable and accruals, $2.5 million amortization of debt issuance costs and debt discount and a $2.1 million in share-based compensation. Net cash used in investing activities for the nine months ended September 30, 2020 was $27.5 million and consisted primarily of an increase in bank deposits. Net cash provided by financing activities was $41.8 million resulting from our issuance of common stock and warrants on March 18,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177"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As a result of our significant research and development expenditures and the lack of significant revenue from sales of taliglucerase alfa, we have generated operating losses from our continuing operations since our inception. Our outstanding 2021 Notes and 2024 Notes are secured by a perfected lien on all of our assets. Under the terms of the indentures governing the 2021 Notes and 2024 Notes, we are required to maintain a minimum cash balance of at least $7.5 million. In addition, under the Exchange Agreements, we agreed to maintain an amount of unrestricted cash that is not less than the amount necessary to redeem or repay at maturity all of the 2021 Notes that remain outstanding following the closing of the Exchanges. After the closing of the Exchanges, an aggregate principal amount of $3.27 million of the 2021 Notes remained outstanding, which notes are required to be repaid not later than November 15, 2021.</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expect to continue to incur significant expenditures in the near future as we increase our research and developments efforts with respect to our product candidates given the receipt of the CRL from the FDA discussed above, we expect to incur additional expenses in connection with any resubmission. We cannot anticipate the costs or the timing of the occurrence of such costs. In addition, to the extent we need to obtain additional financing in connection with this process or with any additional clinical testing that may be required, it may be more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 advisors and fees for service providers in connection with our research and development efforts and (v) payment of interest on our outstanding 2024 Notes. We believe that the funds currently available to us are sufficient to satisfy our capital needs for at least 12 months.</w:t>
      </w:r>
    </w:p>
    <w:p>
      <w:pPr>
        <w:sectPr>
          <w:pgSz w:w="11900" w:h="16838" w:orient="portrait"/>
          <w:cols w:equalWidth="0" w:num="1">
            <w:col w:w="9900"/>
          </w:cols>
          <w:pgMar w:left="980" w:top="657" w:right="1019" w:bottom="1440" w:gutter="0" w:footer="0" w:header="0"/>
        </w:sectPr>
      </w:pP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629348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657" w:right="10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right="340"/>
        <w:spacing w:after="0" w:line="365" w:lineRule="auto"/>
        <w:rPr>
          <w:sz w:val="20"/>
          <w:szCs w:val="20"/>
          <w:color w:val="auto"/>
        </w:rPr>
      </w:pPr>
      <w:r>
        <w:rPr>
          <w:rFonts w:ascii="Arial" w:cs="Arial" w:eastAsia="Arial" w:hAnsi="Arial"/>
          <w:sz w:val="15"/>
          <w:szCs w:val="15"/>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72" w:lineRule="exact"/>
        <w:rPr>
          <w:sz w:val="20"/>
          <w:szCs w:val="20"/>
          <w:color w:val="auto"/>
        </w:rPr>
      </w:pPr>
    </w:p>
    <w:p>
      <w:pPr>
        <w:ind w:left="980" w:hanging="311"/>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efforts, combined with those of Chiesi, to file for resubmission with the FDA and to commercialize PRX-102;</w:t>
      </w:r>
    </w:p>
    <w:p>
      <w:pPr>
        <w:spacing w:after="0" w:line="190" w:lineRule="exact"/>
        <w:rPr>
          <w:rFonts w:ascii="Arial" w:cs="Arial" w:eastAsia="Arial" w:hAnsi="Arial"/>
          <w:sz w:val="18"/>
          <w:szCs w:val="18"/>
          <w:color w:val="auto"/>
        </w:rPr>
      </w:pPr>
    </w:p>
    <w:p>
      <w:pPr>
        <w:ind w:left="980" w:hanging="311"/>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progress in commercializing BioManguinhos alfataliglicerase in Brazil;</w:t>
      </w:r>
    </w:p>
    <w:p>
      <w:pPr>
        <w:spacing w:after="0" w:line="177" w:lineRule="exact"/>
        <w:rPr>
          <w:rFonts w:ascii="Arial" w:cs="Arial" w:eastAsia="Arial" w:hAnsi="Arial"/>
          <w:sz w:val="18"/>
          <w:szCs w:val="18"/>
          <w:color w:val="auto"/>
        </w:rPr>
      </w:pPr>
    </w:p>
    <w:p>
      <w:pPr>
        <w:ind w:left="980" w:right="480" w:hanging="311"/>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and cost of discovery and preclinical development and laboratory testing and clinical trials for our product candidates;</w:t>
      </w:r>
    </w:p>
    <w:p>
      <w:pPr>
        <w:spacing w:after="0" w:line="140" w:lineRule="exact"/>
        <w:rPr>
          <w:rFonts w:ascii="Arial" w:cs="Arial" w:eastAsia="Arial" w:hAnsi="Arial"/>
          <w:sz w:val="18"/>
          <w:szCs w:val="18"/>
          <w:color w:val="auto"/>
        </w:rPr>
      </w:pPr>
    </w:p>
    <w:p>
      <w:pPr>
        <w:ind w:left="980" w:hanging="311"/>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90" w:lineRule="exact"/>
        <w:rPr>
          <w:rFonts w:ascii="Arial" w:cs="Arial" w:eastAsia="Arial" w:hAnsi="Arial"/>
          <w:sz w:val="18"/>
          <w:szCs w:val="18"/>
          <w:color w:val="auto"/>
        </w:rPr>
      </w:pPr>
    </w:p>
    <w:p>
      <w:pPr>
        <w:ind w:left="980" w:right="60" w:hanging="311"/>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other intellectual property rights; and</w:t>
      </w:r>
    </w:p>
    <w:p>
      <w:pPr>
        <w:spacing w:after="0" w:line="140" w:lineRule="exact"/>
        <w:rPr>
          <w:rFonts w:ascii="Arial" w:cs="Arial" w:eastAsia="Arial" w:hAnsi="Arial"/>
          <w:sz w:val="18"/>
          <w:szCs w:val="18"/>
          <w:color w:val="auto"/>
        </w:rPr>
      </w:pPr>
    </w:p>
    <w:p>
      <w:pPr>
        <w:ind w:left="980" w:hanging="311"/>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any litigation claims.</w:t>
      </w:r>
    </w:p>
    <w:p>
      <w:pPr>
        <w:spacing w:after="0" w:line="177"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We expect to finance our future cash needs through corporate collaborations, licensing or similar arrangements, public or private equity offerings and/or debt financings. We currently do not have any commitments for future external funding, except with respect to the development-related payments and milestone payments that may become payable under the Chiesi Agreements. On July 2, 2021, we entered into the Sales Agreement in connection with a new ATM program pursuant to which we may sell from time to time through the Agent ATM Shares having an aggregate offering price of up to $20.0 million. On the same date, we terminated our former ATM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Currency Fluctuations</w:t>
      </w:r>
    </w:p>
    <w:p>
      <w:pPr>
        <w:spacing w:after="0" w:line="18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Currency fluctuations could affect us through increased or decreased acquisition costs for certain goods and services. We do not believe currency fluctuations have had a material effect on our results of operations during the nine months ended September 30, 2021 and September 30,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of each of September 30, 2021 and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223" w:lineRule="exact"/>
        <w:rPr>
          <w:sz w:val="20"/>
          <w:szCs w:val="20"/>
          <w:color w:val="auto"/>
        </w:rPr>
      </w:pPr>
    </w:p>
    <w:p>
      <w:pPr>
        <w:ind w:right="160"/>
        <w:spacing w:after="0" w:line="309" w:lineRule="auto"/>
        <w:rPr>
          <w:sz w:val="20"/>
          <w:szCs w:val="20"/>
          <w:color w:val="auto"/>
        </w:rPr>
      </w:pPr>
      <w:r>
        <w:rPr>
          <w:rFonts w:ascii="Arial" w:cs="Arial" w:eastAsia="Arial" w:hAnsi="Arial"/>
          <w:sz w:val="15"/>
          <w:szCs w:val="15"/>
          <w:color w:val="auto"/>
        </w:rPr>
        <w:t>The currency of the primary economic environment in which our operations are conducted is the U.S. dollar. Most of our revenues and approximately 52% of our expenses and capital expenditures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52"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Approximately 43%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3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70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68"/>
        </w:trPr>
        <w:tc>
          <w:tcPr>
            <w:tcW w:w="5200" w:type="dxa"/>
            <w:vAlign w:val="bottom"/>
          </w:tcPr>
          <w:p>
            <w:pPr>
              <w:spacing w:after="0"/>
              <w:rPr>
                <w:sz w:val="14"/>
                <w:szCs w:val="14"/>
                <w:color w:val="auto"/>
              </w:rPr>
            </w:pPr>
          </w:p>
        </w:tc>
        <w:tc>
          <w:tcPr>
            <w:tcW w:w="170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39"/>
        </w:trPr>
        <w:tc>
          <w:tcPr>
            <w:tcW w:w="5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39"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8"/>
              <w:spacing w:after="0" w:line="13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2"/>
                <w:szCs w:val="12"/>
                <w:color w:val="auto"/>
              </w:rPr>
            </w:pPr>
          </w:p>
        </w:tc>
      </w:tr>
      <w:tr>
        <w:trPr>
          <w:trHeight w:val="205"/>
        </w:trPr>
        <w:tc>
          <w:tcPr>
            <w:tcW w:w="52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Average rate for period</w:t>
            </w:r>
          </w:p>
        </w:tc>
        <w:tc>
          <w:tcPr>
            <w:tcW w:w="70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3.255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8"/>
              <w:spacing w:after="0" w:line="205" w:lineRule="exact"/>
              <w:rPr>
                <w:sz w:val="20"/>
                <w:szCs w:val="20"/>
                <w:color w:val="auto"/>
              </w:rPr>
            </w:pPr>
            <w:r>
              <w:rPr>
                <w:rFonts w:ascii="Arial" w:cs="Arial" w:eastAsia="Arial" w:hAnsi="Arial"/>
                <w:sz w:val="18"/>
                <w:szCs w:val="18"/>
                <w:color w:val="auto"/>
              </w:rPr>
              <w:t>3.479</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2"/>
              <w:spacing w:after="0" w:line="205" w:lineRule="exact"/>
              <w:rPr>
                <w:sz w:val="20"/>
                <w:szCs w:val="20"/>
                <w:color w:val="auto"/>
              </w:rPr>
            </w:pPr>
            <w:r>
              <w:rPr>
                <w:rFonts w:ascii="Arial" w:cs="Arial" w:eastAsia="Arial" w:hAnsi="Arial"/>
                <w:sz w:val="18"/>
                <w:szCs w:val="18"/>
                <w:color w:val="auto"/>
              </w:rPr>
              <w:t>3.442</w:t>
            </w:r>
          </w:p>
        </w:tc>
        <w:tc>
          <w:tcPr>
            <w:tcW w:w="140" w:type="dxa"/>
            <w:vAlign w:val="bottom"/>
            <w:shd w:val="clear" w:color="auto" w:fill="CCEEFF"/>
          </w:tcPr>
          <w:p>
            <w:pPr>
              <w:spacing w:after="0"/>
              <w:rPr>
                <w:sz w:val="17"/>
                <w:szCs w:val="17"/>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Rate at period-end</w:t>
            </w:r>
          </w:p>
        </w:tc>
        <w:tc>
          <w:tcPr>
            <w:tcW w:w="700" w:type="dxa"/>
            <w:vAlign w:val="bottom"/>
          </w:tcPr>
          <w:p>
            <w:pPr>
              <w:ind w:left="180"/>
              <w:spacing w:after="0"/>
              <w:rPr>
                <w:sz w:val="20"/>
                <w:szCs w:val="20"/>
                <w:color w:val="auto"/>
              </w:rPr>
            </w:pPr>
            <w:r>
              <w:rPr>
                <w:rFonts w:ascii="Arial" w:cs="Arial" w:eastAsia="Arial" w:hAnsi="Arial"/>
                <w:sz w:val="18"/>
                <w:szCs w:val="18"/>
                <w:color w:val="auto"/>
              </w:rPr>
              <w:t>3.229</w:t>
            </w:r>
          </w:p>
        </w:tc>
        <w:tc>
          <w:tcPr>
            <w:tcW w:w="1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8"/>
                <w:szCs w:val="18"/>
                <w:color w:val="auto"/>
              </w:rPr>
              <w:t>3.441</w:t>
            </w:r>
          </w:p>
        </w:tc>
        <w:tc>
          <w:tcPr>
            <w:tcW w:w="160" w:type="dxa"/>
            <w:vAlign w:val="bottom"/>
          </w:tcPr>
          <w:p>
            <w:pPr>
              <w:spacing w:after="0"/>
              <w:rPr>
                <w:sz w:val="19"/>
                <w:szCs w:val="19"/>
                <w:color w:val="auto"/>
              </w:rPr>
            </w:pPr>
          </w:p>
        </w:tc>
        <w:tc>
          <w:tcPr>
            <w:tcW w:w="880" w:type="dxa"/>
            <w:vAlign w:val="bottom"/>
          </w:tcPr>
          <w:p>
            <w:pPr>
              <w:jc w:val="right"/>
              <w:ind w:right="142"/>
              <w:spacing w:after="0"/>
              <w:rPr>
                <w:sz w:val="20"/>
                <w:szCs w:val="20"/>
                <w:color w:val="auto"/>
              </w:rPr>
            </w:pPr>
            <w:r>
              <w:rPr>
                <w:rFonts w:ascii="Arial" w:cs="Arial" w:eastAsia="Arial" w:hAnsi="Arial"/>
                <w:sz w:val="18"/>
                <w:szCs w:val="18"/>
                <w:color w:val="auto"/>
              </w:rPr>
              <w:t>3.215</w:t>
            </w:r>
          </w:p>
        </w:tc>
        <w:tc>
          <w:tcPr>
            <w:tcW w:w="140" w:type="dxa"/>
            <w:vAlign w:val="bottom"/>
          </w:tcPr>
          <w:p>
            <w:pPr>
              <w:spacing w:after="0"/>
              <w:rPr>
                <w:sz w:val="19"/>
                <w:szCs w:val="19"/>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ectPr>
          <w:pgSz w:w="11900" w:h="16838" w:orient="portrait"/>
          <w:cols w:equalWidth="0" w:num="1">
            <w:col w:w="9860"/>
          </w:cols>
          <w:pgMar w:left="980" w:top="657" w:right="1059" w:bottom="1440" w:gutter="0" w:footer="0" w:header="0"/>
        </w:sectPr>
      </w:pP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629348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860"/>
          </w:cols>
          <w:pgMar w:left="980" w:top="657" w:right="10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42"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8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7"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2021 that have materially affected, or that are reasonably likely to materially affect, our internal control over financial reporting.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00"/>
          </w:cols>
          <w:pgMar w:left="980" w:top="657" w:right="10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3"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Except as set forth below, there have been no material changes to the risk factors previously disclosed in our Annual Report on Form 10-K for the year ended December 31, 2020 and in our Quarterly Report for the three-month period ended March 31, 2021.</w:t>
      </w:r>
    </w:p>
    <w:p>
      <w:pPr>
        <w:spacing w:after="0" w:line="15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If any holder of our 2024 Notes converts such notes prior to our receipt of stockholder approval to issue 20% or more of our total outstanding common stock in connection with our compliance with the terms of such notes, we may be obligated to settle a significant portion or all of such converted notes in cash.</w:t>
      </w:r>
    </w:p>
    <w:p>
      <w:pPr>
        <w:spacing w:after="0" w:line="186" w:lineRule="exact"/>
        <w:rPr>
          <w:sz w:val="20"/>
          <w:szCs w:val="20"/>
          <w:color w:val="auto"/>
        </w:rPr>
      </w:pPr>
    </w:p>
    <w:p>
      <w:pPr>
        <w:ind w:right="340"/>
        <w:spacing w:after="0" w:line="309" w:lineRule="auto"/>
        <w:rPr>
          <w:sz w:val="20"/>
          <w:szCs w:val="20"/>
          <w:color w:val="auto"/>
        </w:rPr>
      </w:pPr>
      <w:r>
        <w:rPr>
          <w:rFonts w:ascii="Arial" w:cs="Arial" w:eastAsia="Arial" w:hAnsi="Arial"/>
          <w:sz w:val="15"/>
          <w:szCs w:val="15"/>
          <w:color w:val="auto"/>
        </w:rPr>
        <w:t>Under the terms of the indenture for the 2024 Notes, we agreed to solicit stockholder approval prior to issuing 20% or more of our outstanding shares of common stock, calculated as of the date we entered into the exchange agreements in connection with the issuance of the 2024 Notes, in compliance with certain listing standards of the NYSE American. Unless and until we obtain such stockholder approval, we may be required to settle all conversions of the 2024 Notes substantially or entirely in cash. Absent such approval, we are left with limited financial and corporate flexibility with respect to our ability to satisfy obligations under the indenture with shares of our common stock which may have a material adverse effect on our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0" w:type="dxa"/>
            <w:vAlign w:val="bottom"/>
            <w:gridSpan w:val="3"/>
          </w:tcPr>
          <w:p>
            <w:pPr>
              <w:jc w:val="center"/>
              <w:ind w:right="614"/>
              <w:spacing w:after="0"/>
              <w:rPr>
                <w:sz w:val="20"/>
                <w:szCs w:val="20"/>
                <w:color w:val="auto"/>
              </w:rPr>
            </w:pPr>
            <w:r>
              <w:rPr>
                <w:rFonts w:ascii="Arial" w:cs="Arial" w:eastAsia="Arial" w:hAnsi="Arial"/>
                <w:sz w:val="14"/>
                <w:szCs w:val="14"/>
                <w:b w:val="1"/>
                <w:bCs w:val="1"/>
                <w:color w:val="auto"/>
                <w:w w:val="91"/>
              </w:rPr>
              <w:t>Incorporated by Reference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 or Furnished</w:t>
            </w: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860" w:type="dxa"/>
            <w:vAlign w:val="bottom"/>
          </w:tcPr>
          <w:p>
            <w:pPr>
              <w:jc w:val="right"/>
              <w:ind w:right="156"/>
              <w:spacing w:after="0" w:line="156"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60" w:type="dxa"/>
            <w:vAlign w:val="bottom"/>
            <w:gridSpan w:val="5"/>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5"/>
        </w:trPr>
        <w:tc>
          <w:tcPr>
            <w:tcW w:w="860" w:type="dxa"/>
            <w:vAlign w:val="bottom"/>
          </w:tcPr>
          <w:p>
            <w:pPr>
              <w:jc w:val="right"/>
              <w:ind w:right="556"/>
              <w:spacing w:after="0" w:line="185" w:lineRule="exact"/>
              <w:rPr>
                <w:sz w:val="20"/>
                <w:szCs w:val="20"/>
                <w:color w:val="auto"/>
              </w:rPr>
            </w:pPr>
            <w:r>
              <w:rPr>
                <w:rFonts w:ascii="Arial" w:cs="Arial" w:eastAsia="Arial" w:hAnsi="Arial"/>
                <w:sz w:val="18"/>
                <w:szCs w:val="18"/>
                <w:color w:val="auto"/>
                <w:w w:val="79"/>
              </w:rPr>
              <w:t>3.1</w:t>
            </w:r>
          </w:p>
        </w:tc>
        <w:tc>
          <w:tcPr>
            <w:tcW w:w="3600" w:type="dxa"/>
            <w:vAlign w:val="bottom"/>
            <w:gridSpan w:val="7"/>
          </w:tcPr>
          <w:p>
            <w:pPr>
              <w:spacing w:after="0" w:line="185" w:lineRule="exact"/>
              <w:rPr>
                <w:rFonts w:ascii="Arial" w:cs="Arial" w:eastAsia="Arial" w:hAnsi="Arial"/>
                <w:sz w:val="18"/>
                <w:szCs w:val="18"/>
                <w:color w:val="0000EE"/>
              </w:rPr>
            </w:pPr>
            <w:hyperlink r:id="rId49">
              <w:r>
                <w:rPr>
                  <w:rFonts w:ascii="Arial" w:cs="Arial" w:eastAsia="Arial" w:hAnsi="Arial"/>
                  <w:sz w:val="18"/>
                  <w:szCs w:val="18"/>
                  <w:color w:val="0000EE"/>
                </w:rPr>
                <w:t>Certificate of Incorporation of the Company</w:t>
              </w:r>
            </w:hyperlink>
          </w:p>
        </w:tc>
        <w:tc>
          <w:tcPr>
            <w:tcW w:w="740" w:type="dxa"/>
            <w:vAlign w:val="bottom"/>
          </w:tcPr>
          <w:p>
            <w:pPr>
              <w:jc w:val="center"/>
              <w:spacing w:after="0" w:line="185" w:lineRule="exact"/>
              <w:rPr>
                <w:sz w:val="20"/>
                <w:szCs w:val="20"/>
                <w:color w:val="auto"/>
              </w:rPr>
            </w:pPr>
            <w:r>
              <w:rPr>
                <w:rFonts w:ascii="Arial" w:cs="Arial" w:eastAsia="Arial" w:hAnsi="Arial"/>
                <w:sz w:val="18"/>
                <w:szCs w:val="18"/>
                <w:color w:val="auto"/>
                <w:w w:val="99"/>
              </w:rPr>
              <w:t>8-K</w:t>
            </w:r>
          </w:p>
        </w:tc>
        <w:tc>
          <w:tcPr>
            <w:tcW w:w="920" w:type="dxa"/>
            <w:vAlign w:val="bottom"/>
          </w:tcPr>
          <w:p>
            <w:pPr>
              <w:ind w:left="60"/>
              <w:spacing w:after="0" w:line="185" w:lineRule="exact"/>
              <w:rPr>
                <w:sz w:val="20"/>
                <w:szCs w:val="20"/>
                <w:color w:val="auto"/>
              </w:rPr>
            </w:pPr>
            <w:r>
              <w:rPr>
                <w:rFonts w:ascii="Arial" w:cs="Arial" w:eastAsia="Arial" w:hAnsi="Arial"/>
                <w:sz w:val="18"/>
                <w:szCs w:val="18"/>
                <w:color w:val="auto"/>
                <w:w w:val="97"/>
              </w:rPr>
              <w:t>001-33357</w:t>
            </w:r>
          </w:p>
        </w:tc>
        <w:tc>
          <w:tcPr>
            <w:tcW w:w="880" w:type="dxa"/>
            <w:vAlign w:val="bottom"/>
          </w:tcPr>
          <w:p>
            <w:pPr>
              <w:jc w:val="center"/>
              <w:spacing w:after="0" w:line="185" w:lineRule="exact"/>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line="185" w:lineRule="exact"/>
              <w:rPr>
                <w:sz w:val="20"/>
                <w:szCs w:val="20"/>
                <w:color w:val="auto"/>
              </w:rPr>
            </w:pPr>
            <w:r>
              <w:rPr>
                <w:rFonts w:ascii="Arial" w:cs="Arial" w:eastAsia="Arial" w:hAnsi="Arial"/>
                <w:sz w:val="18"/>
                <w:szCs w:val="18"/>
                <w:color w:val="auto"/>
                <w:w w:val="92"/>
              </w:rPr>
              <w:t>April 1, 2016</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tcPr>
          <w:p>
            <w:pPr>
              <w:jc w:val="right"/>
              <w:ind w:right="556"/>
              <w:spacing w:after="0"/>
              <w:rPr>
                <w:sz w:val="20"/>
                <w:szCs w:val="20"/>
                <w:color w:val="auto"/>
              </w:rPr>
            </w:pPr>
            <w:r>
              <w:rPr>
                <w:rFonts w:ascii="Arial" w:cs="Arial" w:eastAsia="Arial" w:hAnsi="Arial"/>
                <w:sz w:val="18"/>
                <w:szCs w:val="18"/>
                <w:color w:val="auto"/>
                <w:w w:val="79"/>
              </w:rPr>
              <w:t>3.2</w:t>
            </w:r>
          </w:p>
        </w:tc>
        <w:tc>
          <w:tcPr>
            <w:tcW w:w="3500" w:type="dxa"/>
            <w:vAlign w:val="bottom"/>
            <w:tcBorders>
              <w:bottom w:val="single" w:sz="8" w:color="0000EE"/>
            </w:tcBorders>
            <w:gridSpan w:val="6"/>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Amendment to Certificate of Incorporation of the</w:t>
              </w:r>
            </w:hyperlink>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920" w:type="dxa"/>
            <w:vAlign w:val="bottom"/>
          </w:tcPr>
          <w:p>
            <w:pPr>
              <w:ind w:left="60"/>
              <w:spacing w:after="0"/>
              <w:rPr>
                <w:sz w:val="20"/>
                <w:szCs w:val="20"/>
                <w:color w:val="auto"/>
              </w:rPr>
            </w:pPr>
            <w:r>
              <w:rPr>
                <w:rFonts w:ascii="Arial" w:cs="Arial" w:eastAsia="Arial" w:hAnsi="Arial"/>
                <w:sz w:val="18"/>
                <w:szCs w:val="18"/>
                <w:color w:val="auto"/>
                <w:w w:val="97"/>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July 1, 2016</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860" w:type="dxa"/>
            <w:vAlign w:val="bottom"/>
          </w:tcPr>
          <w:p>
            <w:pPr>
              <w:spacing w:after="0"/>
              <w:rPr>
                <w:sz w:val="16"/>
                <w:szCs w:val="16"/>
                <w:color w:val="auto"/>
              </w:rPr>
            </w:pPr>
          </w:p>
        </w:tc>
        <w:tc>
          <w:tcPr>
            <w:tcW w:w="3600" w:type="dxa"/>
            <w:vAlign w:val="bottom"/>
            <w:gridSpan w:val="7"/>
          </w:tcPr>
          <w:p>
            <w:pPr>
              <w:spacing w:after="0" w:line="192" w:lineRule="exact"/>
              <w:rPr>
                <w:rFonts w:ascii="Arial" w:cs="Arial" w:eastAsia="Arial" w:hAnsi="Arial"/>
                <w:sz w:val="18"/>
                <w:szCs w:val="18"/>
                <w:color w:val="0000EE"/>
              </w:rPr>
            </w:pPr>
            <w:hyperlink r:id="rId50">
              <w:r>
                <w:rPr>
                  <w:rFonts w:ascii="Arial" w:cs="Arial" w:eastAsia="Arial" w:hAnsi="Arial"/>
                  <w:sz w:val="18"/>
                  <w:szCs w:val="18"/>
                  <w:color w:val="0000EE"/>
                </w:rPr>
                <w:t>Company</w:t>
              </w:r>
            </w:hyperlink>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tcPr>
          <w:p>
            <w:pPr>
              <w:jc w:val="right"/>
              <w:ind w:right="556"/>
              <w:spacing w:after="0"/>
              <w:rPr>
                <w:sz w:val="20"/>
                <w:szCs w:val="20"/>
                <w:color w:val="auto"/>
              </w:rPr>
            </w:pPr>
            <w:r>
              <w:rPr>
                <w:rFonts w:ascii="Arial" w:cs="Arial" w:eastAsia="Arial" w:hAnsi="Arial"/>
                <w:sz w:val="18"/>
                <w:szCs w:val="18"/>
                <w:color w:val="auto"/>
                <w:w w:val="79"/>
              </w:rPr>
              <w:t>3.3</w:t>
            </w:r>
          </w:p>
        </w:tc>
        <w:tc>
          <w:tcPr>
            <w:tcW w:w="4340" w:type="dxa"/>
            <w:vAlign w:val="bottom"/>
            <w:gridSpan w:val="8"/>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 xml:space="preserve">Second Amendment to Certificate of Incorporation </w:t>
              </w:r>
            </w:hyperlink>
            <w:r>
              <w:rPr>
                <w:rFonts w:ascii="Arial" w:cs="Arial" w:eastAsia="Arial" w:hAnsi="Arial"/>
                <w:sz w:val="18"/>
                <w:szCs w:val="18"/>
                <w:color w:val="000000"/>
                <w:w w:val="92"/>
              </w:rPr>
              <w:t>Def</w:t>
            </w:r>
            <w:r>
              <w:rPr>
                <w:rFonts w:ascii="Arial" w:cs="Arial" w:eastAsia="Arial" w:hAnsi="Arial"/>
                <w:sz w:val="18"/>
                <w:szCs w:val="18"/>
                <w:color w:val="0000EE"/>
                <w:w w:val="92"/>
              </w:rPr>
              <w:t xml:space="preserve"> </w:t>
            </w:r>
            <w:r>
              <w:rPr>
                <w:rFonts w:ascii="Arial" w:cs="Arial" w:eastAsia="Arial" w:hAnsi="Arial"/>
                <w:sz w:val="18"/>
                <w:szCs w:val="18"/>
                <w:color w:val="000000"/>
                <w:w w:val="92"/>
              </w:rPr>
              <w:t>14A</w:t>
            </w:r>
          </w:p>
        </w:tc>
        <w:tc>
          <w:tcPr>
            <w:tcW w:w="920" w:type="dxa"/>
            <w:vAlign w:val="bottom"/>
          </w:tcPr>
          <w:p>
            <w:pPr>
              <w:ind w:left="60"/>
              <w:spacing w:after="0"/>
              <w:rPr>
                <w:sz w:val="20"/>
                <w:szCs w:val="20"/>
                <w:color w:val="auto"/>
              </w:rPr>
            </w:pPr>
            <w:r>
              <w:rPr>
                <w:rFonts w:ascii="Arial" w:cs="Arial" w:eastAsia="Arial" w:hAnsi="Arial"/>
                <w:sz w:val="18"/>
                <w:szCs w:val="18"/>
                <w:color w:val="auto"/>
                <w:w w:val="97"/>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October 17, 2018</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860" w:type="dxa"/>
            <w:vAlign w:val="bottom"/>
          </w:tcPr>
          <w:p>
            <w:pPr>
              <w:spacing w:after="0"/>
              <w:rPr>
                <w:sz w:val="16"/>
                <w:szCs w:val="16"/>
                <w:color w:val="auto"/>
              </w:rPr>
            </w:pPr>
          </w:p>
        </w:tc>
        <w:tc>
          <w:tcPr>
            <w:tcW w:w="114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8"/>
              </w:rPr>
            </w:pPr>
            <w:hyperlink r:id="rId51">
              <w:r>
                <w:rPr>
                  <w:rFonts w:ascii="Arial" w:cs="Arial" w:eastAsia="Arial" w:hAnsi="Arial"/>
                  <w:sz w:val="18"/>
                  <w:szCs w:val="18"/>
                  <w:color w:val="0000EE"/>
                  <w:w w:val="88"/>
                </w:rPr>
                <w:t>of the Company</w:t>
              </w:r>
            </w:hyperlink>
          </w:p>
        </w:tc>
        <w:tc>
          <w:tcPr>
            <w:tcW w:w="2460" w:type="dxa"/>
            <w:vAlign w:val="bottom"/>
            <w:tcBorders>
              <w:top w:val="single" w:sz="8" w:color="0000EE"/>
            </w:tcBorders>
            <w:gridSpan w:val="5"/>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0" w:type="dxa"/>
            <w:vAlign w:val="bottom"/>
          </w:tcPr>
          <w:p>
            <w:pPr>
              <w:jc w:val="right"/>
              <w:ind w:right="556"/>
              <w:spacing w:after="0"/>
              <w:rPr>
                <w:sz w:val="20"/>
                <w:szCs w:val="20"/>
                <w:color w:val="auto"/>
              </w:rPr>
            </w:pPr>
            <w:r>
              <w:rPr>
                <w:rFonts w:ascii="Arial" w:cs="Arial" w:eastAsia="Arial" w:hAnsi="Arial"/>
                <w:sz w:val="18"/>
                <w:szCs w:val="18"/>
                <w:color w:val="auto"/>
                <w:w w:val="79"/>
              </w:rPr>
              <w:t>3.4</w:t>
            </w:r>
          </w:p>
        </w:tc>
        <w:tc>
          <w:tcPr>
            <w:tcW w:w="3480" w:type="dxa"/>
            <w:vAlign w:val="bottom"/>
            <w:tcBorders>
              <w:bottom w:val="single" w:sz="8" w:color="0000EE"/>
            </w:tcBorders>
            <w:gridSpan w:val="5"/>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Third Amendment to Certificate of Incorporation</w:t>
              </w:r>
            </w:hyperlink>
          </w:p>
        </w:tc>
        <w:tc>
          <w:tcPr>
            <w:tcW w:w="120" w:type="dxa"/>
            <w:vAlign w:val="bottom"/>
            <w:gridSpan w:val="2"/>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ind w:left="60"/>
              <w:spacing w:after="0"/>
              <w:rPr>
                <w:sz w:val="20"/>
                <w:szCs w:val="20"/>
                <w:color w:val="auto"/>
              </w:rPr>
            </w:pPr>
            <w:r>
              <w:rPr>
                <w:rFonts w:ascii="Arial" w:cs="Arial" w:eastAsia="Arial" w:hAnsi="Arial"/>
                <w:sz w:val="18"/>
                <w:szCs w:val="18"/>
                <w:color w:val="auto"/>
                <w:w w:val="97"/>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December 19, 2019</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860" w:type="dxa"/>
            <w:vAlign w:val="bottom"/>
          </w:tcPr>
          <w:p>
            <w:pPr>
              <w:spacing w:after="0"/>
              <w:rPr>
                <w:sz w:val="16"/>
                <w:szCs w:val="16"/>
                <w:color w:val="auto"/>
              </w:rPr>
            </w:pPr>
          </w:p>
        </w:tc>
        <w:tc>
          <w:tcPr>
            <w:tcW w:w="1140" w:type="dxa"/>
            <w:vAlign w:val="bottom"/>
            <w:tcBorders>
              <w:bottom w:val="single" w:sz="8" w:color="0000EE"/>
            </w:tcBorders>
            <w:gridSpan w:val="2"/>
          </w:tcPr>
          <w:p>
            <w:pPr>
              <w:spacing w:after="0" w:line="192" w:lineRule="exact"/>
              <w:rPr>
                <w:rFonts w:ascii="Arial" w:cs="Arial" w:eastAsia="Arial" w:hAnsi="Arial"/>
                <w:sz w:val="18"/>
                <w:szCs w:val="18"/>
                <w:color w:val="0000EE"/>
                <w:w w:val="88"/>
              </w:rPr>
            </w:pPr>
            <w:hyperlink r:id="rId52">
              <w:r>
                <w:rPr>
                  <w:rFonts w:ascii="Arial" w:cs="Arial" w:eastAsia="Arial" w:hAnsi="Arial"/>
                  <w:sz w:val="18"/>
                  <w:szCs w:val="18"/>
                  <w:color w:val="0000EE"/>
                  <w:w w:val="88"/>
                </w:rPr>
                <w:t>of the Company</w:t>
              </w:r>
            </w:hyperlink>
          </w:p>
        </w:tc>
        <w:tc>
          <w:tcPr>
            <w:tcW w:w="2460" w:type="dxa"/>
            <w:vAlign w:val="bottom"/>
            <w:gridSpan w:val="5"/>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0" w:type="dxa"/>
            <w:vAlign w:val="bottom"/>
          </w:tcPr>
          <w:p>
            <w:pPr>
              <w:jc w:val="right"/>
              <w:ind w:right="556"/>
              <w:spacing w:after="0"/>
              <w:rPr>
                <w:sz w:val="20"/>
                <w:szCs w:val="20"/>
                <w:color w:val="auto"/>
              </w:rPr>
            </w:pPr>
            <w:r>
              <w:rPr>
                <w:rFonts w:ascii="Arial" w:cs="Arial" w:eastAsia="Arial" w:hAnsi="Arial"/>
                <w:sz w:val="18"/>
                <w:szCs w:val="18"/>
                <w:color w:val="auto"/>
                <w:w w:val="79"/>
              </w:rPr>
              <w:t>3.5</w:t>
            </w:r>
          </w:p>
        </w:tc>
        <w:tc>
          <w:tcPr>
            <w:tcW w:w="3600" w:type="dxa"/>
            <w:vAlign w:val="bottom"/>
            <w:gridSpan w:val="7"/>
          </w:tcPr>
          <w:p>
            <w:pPr>
              <w:spacing w:after="0"/>
              <w:rPr>
                <w:rFonts w:ascii="Arial" w:cs="Arial" w:eastAsia="Arial" w:hAnsi="Arial"/>
                <w:sz w:val="18"/>
                <w:szCs w:val="18"/>
                <w:color w:val="0000EE"/>
              </w:rPr>
            </w:pPr>
            <w:hyperlink r:id="rId53">
              <w:r>
                <w:rPr>
                  <w:rFonts w:ascii="Arial" w:cs="Arial" w:eastAsia="Arial" w:hAnsi="Arial"/>
                  <w:sz w:val="18"/>
                  <w:szCs w:val="18"/>
                  <w:color w:val="0000EE"/>
                </w:rPr>
                <w:t>Bylaws of the Company</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ind w:left="60"/>
              <w:spacing w:after="0"/>
              <w:rPr>
                <w:sz w:val="20"/>
                <w:szCs w:val="20"/>
                <w:color w:val="auto"/>
              </w:rPr>
            </w:pPr>
            <w:r>
              <w:rPr>
                <w:rFonts w:ascii="Arial" w:cs="Arial" w:eastAsia="Arial" w:hAnsi="Arial"/>
                <w:sz w:val="18"/>
                <w:szCs w:val="18"/>
                <w:color w:val="auto"/>
                <w:w w:val="97"/>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April 1, 2016</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tcPr>
          <w:p>
            <w:pPr>
              <w:jc w:val="right"/>
              <w:ind w:right="556"/>
              <w:spacing w:after="0"/>
              <w:rPr>
                <w:sz w:val="20"/>
                <w:szCs w:val="20"/>
                <w:color w:val="auto"/>
              </w:rPr>
            </w:pPr>
            <w:r>
              <w:rPr>
                <w:rFonts w:ascii="Arial" w:cs="Arial" w:eastAsia="Arial" w:hAnsi="Arial"/>
                <w:sz w:val="18"/>
                <w:szCs w:val="18"/>
                <w:color w:val="auto"/>
                <w:w w:val="79"/>
              </w:rPr>
              <w:t>4.1</w:t>
            </w:r>
          </w:p>
        </w:tc>
        <w:tc>
          <w:tcPr>
            <w:tcW w:w="3600" w:type="dxa"/>
            <w:vAlign w:val="bottom"/>
            <w:gridSpan w:val="7"/>
          </w:tcPr>
          <w:p>
            <w:pPr>
              <w:spacing w:after="0"/>
              <w:rPr>
                <w:rFonts w:ascii="Arial" w:cs="Arial" w:eastAsia="Arial" w:hAnsi="Arial"/>
                <w:sz w:val="18"/>
                <w:szCs w:val="18"/>
                <w:color w:val="0000EE"/>
              </w:rPr>
            </w:pPr>
            <w:hyperlink r:id="rId54">
              <w:r>
                <w:rPr>
                  <w:rFonts w:ascii="Arial" w:cs="Arial" w:eastAsia="Arial" w:hAnsi="Arial"/>
                  <w:sz w:val="18"/>
                  <w:szCs w:val="18"/>
                  <w:color w:val="0000EE"/>
                </w:rPr>
                <w:t>Form of Restricted Stock Agreement/Notice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ind w:left="60"/>
              <w:spacing w:after="0"/>
              <w:rPr>
                <w:sz w:val="20"/>
                <w:szCs w:val="20"/>
                <w:color w:val="auto"/>
              </w:rPr>
            </w:pPr>
            <w:r>
              <w:rPr>
                <w:rFonts w:ascii="Arial" w:cs="Arial" w:eastAsia="Arial" w:hAnsi="Arial"/>
                <w:sz w:val="18"/>
                <w:szCs w:val="18"/>
                <w:color w:val="auto"/>
                <w:w w:val="97"/>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July 18, 2012</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3620" w:type="dxa"/>
            <w:vAlign w:val="bottom"/>
            <w:gridSpan w:val="33"/>
          </w:tcPr>
          <w:p>
            <w:pPr>
              <w:spacing w:after="0"/>
              <w:rPr>
                <w:rFonts w:ascii="Arial" w:cs="Arial" w:eastAsia="Arial" w:hAnsi="Arial"/>
                <w:sz w:val="18"/>
                <w:szCs w:val="18"/>
                <w:color w:val="0000EE"/>
                <w:w w:val="88"/>
              </w:rPr>
            </w:pPr>
            <w:hyperlink r:id="rId55">
              <w:r>
                <w:rPr>
                  <w:rFonts w:ascii="Arial" w:cs="Arial" w:eastAsia="Arial" w:hAnsi="Arial"/>
                  <w:sz w:val="18"/>
                  <w:szCs w:val="18"/>
                  <w:color w:val="0000EE"/>
                  <w:w w:val="88"/>
                </w:rPr>
                <w:t>Indenture, dated as of December 7, 2016, between</w:t>
              </w:r>
            </w:hyperlink>
          </w:p>
        </w:tc>
      </w:tr>
      <w:tr>
        <w:trPr>
          <w:trHeight w:val="20"/>
        </w:trPr>
        <w:tc>
          <w:tcPr>
            <w:tcW w:w="8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860" w:type="dxa"/>
            <w:vAlign w:val="bottom"/>
          </w:tcPr>
          <w:p>
            <w:pPr>
              <w:spacing w:after="0"/>
              <w:rPr>
                <w:sz w:val="16"/>
                <w:szCs w:val="16"/>
                <w:color w:val="auto"/>
              </w:rPr>
            </w:pPr>
          </w:p>
        </w:tc>
        <w:tc>
          <w:tcPr>
            <w:tcW w:w="3620" w:type="dxa"/>
            <w:vAlign w:val="bottom"/>
            <w:gridSpan w:val="33"/>
          </w:tcPr>
          <w:p>
            <w:pPr>
              <w:spacing w:after="0" w:line="192"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Protalix BioTherapeutics, Inc. the guarantors party</w:t>
              </w:r>
            </w:hyperlink>
          </w:p>
        </w:tc>
      </w:tr>
      <w:tr>
        <w:trPr>
          <w:trHeight w:val="192"/>
        </w:trPr>
        <w:tc>
          <w:tcPr>
            <w:tcW w:w="860" w:type="dxa"/>
            <w:vAlign w:val="bottom"/>
          </w:tcPr>
          <w:p>
            <w:pPr>
              <w:spacing w:after="0"/>
              <w:rPr>
                <w:sz w:val="16"/>
                <w:szCs w:val="16"/>
                <w:color w:val="auto"/>
              </w:rPr>
            </w:pPr>
          </w:p>
        </w:tc>
        <w:tc>
          <w:tcPr>
            <w:tcW w:w="3580" w:type="dxa"/>
            <w:vAlign w:val="bottom"/>
            <w:tcBorders>
              <w:top w:val="single" w:sz="8" w:color="0000EE"/>
            </w:tcBorders>
            <w:gridSpan w:val="31"/>
          </w:tcPr>
          <w:p>
            <w:pPr>
              <w:spacing w:after="0" w:line="192" w:lineRule="exact"/>
              <w:rPr>
                <w:rFonts w:ascii="Arial" w:cs="Arial" w:eastAsia="Arial" w:hAnsi="Arial"/>
                <w:sz w:val="18"/>
                <w:szCs w:val="18"/>
                <w:color w:val="0000EE"/>
              </w:rPr>
            </w:pPr>
            <w:hyperlink r:id="rId55">
              <w:r>
                <w:rPr>
                  <w:rFonts w:ascii="Arial" w:cs="Arial" w:eastAsia="Arial" w:hAnsi="Arial"/>
                  <w:sz w:val="18"/>
                  <w:szCs w:val="18"/>
                  <w:color w:val="0000EE"/>
                </w:rPr>
                <w:t>thereto, The Bank of New York Mellon Trust</w:t>
              </w:r>
            </w:hyperlink>
          </w:p>
        </w:tc>
        <w:tc>
          <w:tcPr>
            <w:tcW w:w="40" w:type="dxa"/>
            <w:vAlign w:val="bottom"/>
            <w:gridSpan w:val="2"/>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060" w:type="dxa"/>
            <w:vAlign w:val="bottom"/>
            <w:tcBorders>
              <w:top w:val="single" w:sz="8" w:color="0000EE"/>
              <w:bottom w:val="single" w:sz="8" w:color="0000EE"/>
            </w:tcBorders>
            <w:gridSpan w:val="15"/>
          </w:tcPr>
          <w:p>
            <w:pPr>
              <w:spacing w:after="0" w:line="192"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Company, N.A., as trustee and Wilmington</w:t>
              </w:r>
            </w:hyperlink>
          </w:p>
        </w:tc>
        <w:tc>
          <w:tcPr>
            <w:tcW w:w="120" w:type="dxa"/>
            <w:vAlign w:val="bottom"/>
            <w:tcBorders>
              <w:top w:val="single" w:sz="8" w:color="0000EE"/>
            </w:tcBorders>
            <w:gridSpan w:val="5"/>
          </w:tcPr>
          <w:p>
            <w:pPr>
              <w:spacing w:after="0"/>
              <w:rPr>
                <w:sz w:val="16"/>
                <w:szCs w:val="16"/>
                <w:color w:val="auto"/>
              </w:rPr>
            </w:pPr>
          </w:p>
        </w:tc>
        <w:tc>
          <w:tcPr>
            <w:tcW w:w="440" w:type="dxa"/>
            <w:vAlign w:val="bottom"/>
            <w:gridSpan w:val="13"/>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320" w:type="dxa"/>
            <w:vAlign w:val="bottom"/>
            <w:tcBorders>
              <w:bottom w:val="single" w:sz="8" w:color="0000EE"/>
            </w:tcBorders>
            <w:gridSpan w:val="23"/>
          </w:tcPr>
          <w:p>
            <w:pPr>
              <w:spacing w:after="0" w:line="192" w:lineRule="exact"/>
              <w:rPr>
                <w:rFonts w:ascii="Arial" w:cs="Arial" w:eastAsia="Arial" w:hAnsi="Arial"/>
                <w:sz w:val="18"/>
                <w:szCs w:val="18"/>
                <w:color w:val="0000EE"/>
                <w:w w:val="87"/>
              </w:rPr>
            </w:pPr>
            <w:hyperlink r:id="rId55">
              <w:r>
                <w:rPr>
                  <w:rFonts w:ascii="Arial" w:cs="Arial" w:eastAsia="Arial" w:hAnsi="Arial"/>
                  <w:sz w:val="18"/>
                  <w:szCs w:val="18"/>
                  <w:color w:val="0000EE"/>
                  <w:w w:val="87"/>
                </w:rPr>
                <w:t>Savings Fund Society, FSB, as collateral agent</w:t>
              </w:r>
            </w:hyperlink>
          </w:p>
        </w:tc>
        <w:tc>
          <w:tcPr>
            <w:tcW w:w="300" w:type="dxa"/>
            <w:vAlign w:val="bottom"/>
            <w:gridSpan w:val="10"/>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3620" w:type="dxa"/>
            <w:vAlign w:val="bottom"/>
            <w:gridSpan w:val="33"/>
          </w:tcPr>
          <w:p>
            <w:pPr>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Form of 7.50% Convertible Note due 2021 (Issued</w:t>
              </w:r>
            </w:hyperlink>
          </w:p>
        </w:tc>
      </w:tr>
      <w:tr>
        <w:trPr>
          <w:trHeight w:val="192"/>
        </w:trPr>
        <w:tc>
          <w:tcPr>
            <w:tcW w:w="860" w:type="dxa"/>
            <w:vAlign w:val="bottom"/>
          </w:tcPr>
          <w:p>
            <w:pPr>
              <w:spacing w:after="0"/>
              <w:rPr>
                <w:sz w:val="16"/>
                <w:szCs w:val="16"/>
                <w:color w:val="auto"/>
              </w:rPr>
            </w:pPr>
          </w:p>
        </w:tc>
        <w:tc>
          <w:tcPr>
            <w:tcW w:w="13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in 2016 Financing)</w:t>
              </w:r>
            </w:hyperlink>
          </w:p>
        </w:tc>
        <w:tc>
          <w:tcPr>
            <w:tcW w:w="2220" w:type="dxa"/>
            <w:vAlign w:val="bottom"/>
            <w:tcBorders>
              <w:top w:val="single" w:sz="8" w:color="0000EE"/>
            </w:tcBorders>
            <w:gridSpan w:val="28"/>
          </w:tcPr>
          <w:p>
            <w:pPr>
              <w:spacing w:after="0"/>
              <w:rPr>
                <w:sz w:val="16"/>
                <w:szCs w:val="16"/>
                <w:color w:val="auto"/>
              </w:rPr>
            </w:pPr>
          </w:p>
        </w:tc>
        <w:tc>
          <w:tcPr>
            <w:tcW w:w="40" w:type="dxa"/>
            <w:vAlign w:val="bottom"/>
            <w:gridSpan w:val="2"/>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3620" w:type="dxa"/>
            <w:vAlign w:val="bottom"/>
            <w:gridSpan w:val="33"/>
          </w:tcPr>
          <w:p>
            <w:pPr>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Form of 7.50% Convertible Note due 2021 (Issued</w:t>
              </w:r>
            </w:hyperlink>
          </w:p>
        </w:tc>
      </w:tr>
      <w:tr>
        <w:trPr>
          <w:trHeight w:val="192"/>
        </w:trPr>
        <w:tc>
          <w:tcPr>
            <w:tcW w:w="860" w:type="dxa"/>
            <w:vAlign w:val="bottom"/>
          </w:tcPr>
          <w:p>
            <w:pPr>
              <w:spacing w:after="0"/>
              <w:rPr>
                <w:sz w:val="16"/>
                <w:szCs w:val="16"/>
                <w:color w:val="auto"/>
              </w:rPr>
            </w:pPr>
          </w:p>
        </w:tc>
        <w:tc>
          <w:tcPr>
            <w:tcW w:w="134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7"/>
              </w:rPr>
            </w:pPr>
            <w:hyperlink r:id="rId57">
              <w:r>
                <w:rPr>
                  <w:rFonts w:ascii="Arial" w:cs="Arial" w:eastAsia="Arial" w:hAnsi="Arial"/>
                  <w:sz w:val="18"/>
                  <w:szCs w:val="18"/>
                  <w:color w:val="0000EE"/>
                  <w:w w:val="87"/>
                </w:rPr>
                <w:t>in 2016 Exchange)</w:t>
              </w:r>
            </w:hyperlink>
          </w:p>
        </w:tc>
        <w:tc>
          <w:tcPr>
            <w:tcW w:w="2240" w:type="dxa"/>
            <w:vAlign w:val="bottom"/>
            <w:tcBorders>
              <w:top w:val="single" w:sz="8" w:color="0000EE"/>
            </w:tcBorders>
            <w:gridSpan w:val="29"/>
          </w:tcPr>
          <w:p>
            <w:pPr>
              <w:spacing w:after="0"/>
              <w:rPr>
                <w:sz w:val="16"/>
                <w:szCs w:val="16"/>
                <w:color w:val="auto"/>
              </w:rPr>
            </w:pPr>
          </w:p>
        </w:tc>
        <w:tc>
          <w:tcPr>
            <w:tcW w:w="40" w:type="dxa"/>
            <w:vAlign w:val="bottom"/>
            <w:gridSpan w:val="2"/>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4.5</w:t>
            </w:r>
          </w:p>
        </w:tc>
        <w:tc>
          <w:tcPr>
            <w:tcW w:w="3540" w:type="dxa"/>
            <w:vAlign w:val="bottom"/>
            <w:tcBorders>
              <w:bottom w:val="single" w:sz="8" w:color="0000EE"/>
            </w:tcBorders>
            <w:gridSpan w:val="29"/>
          </w:tcPr>
          <w:p>
            <w:pPr>
              <w:spacing w:after="0"/>
              <w:rPr>
                <w:rFonts w:ascii="Arial" w:cs="Arial" w:eastAsia="Arial" w:hAnsi="Arial"/>
                <w:sz w:val="18"/>
                <w:szCs w:val="18"/>
                <w:color w:val="0000EE"/>
                <w:w w:val="88"/>
              </w:rPr>
            </w:pPr>
            <w:hyperlink r:id="rId58">
              <w:r>
                <w:rPr>
                  <w:rFonts w:ascii="Arial" w:cs="Arial" w:eastAsia="Arial" w:hAnsi="Arial"/>
                  <w:sz w:val="18"/>
                  <w:szCs w:val="18"/>
                  <w:color w:val="0000EE"/>
                  <w:w w:val="88"/>
                </w:rPr>
                <w:t>First Supplemental Indenture, dated as of July 24,</w:t>
              </w:r>
            </w:hyperlink>
          </w:p>
        </w:tc>
        <w:tc>
          <w:tcPr>
            <w:tcW w:w="80" w:type="dxa"/>
            <w:vAlign w:val="bottom"/>
            <w:gridSpan w:val="4"/>
          </w:tcPr>
          <w:p>
            <w:pPr>
              <w:spacing w:after="0"/>
              <w:rPr>
                <w:sz w:val="21"/>
                <w:szCs w:val="21"/>
                <w:color w:val="auto"/>
              </w:rPr>
            </w:pPr>
          </w:p>
        </w:tc>
      </w:tr>
      <w:tr>
        <w:trPr>
          <w:trHeight w:val="192"/>
        </w:trPr>
        <w:tc>
          <w:tcPr>
            <w:tcW w:w="860" w:type="dxa"/>
            <w:vAlign w:val="bottom"/>
          </w:tcPr>
          <w:p>
            <w:pPr>
              <w:spacing w:after="0"/>
              <w:rPr>
                <w:sz w:val="16"/>
                <w:szCs w:val="16"/>
                <w:color w:val="auto"/>
              </w:rPr>
            </w:pPr>
          </w:p>
        </w:tc>
        <w:tc>
          <w:tcPr>
            <w:tcW w:w="3320" w:type="dxa"/>
            <w:vAlign w:val="bottom"/>
            <w:tcBorders>
              <w:bottom w:val="single" w:sz="8" w:color="0000EE"/>
            </w:tcBorders>
            <w:gridSpan w:val="23"/>
          </w:tcPr>
          <w:p>
            <w:pPr>
              <w:spacing w:after="0" w:line="192" w:lineRule="exact"/>
              <w:rPr>
                <w:rFonts w:ascii="Arial" w:cs="Arial" w:eastAsia="Arial" w:hAnsi="Arial"/>
                <w:sz w:val="18"/>
                <w:szCs w:val="18"/>
                <w:color w:val="0000EE"/>
                <w:w w:val="89"/>
              </w:rPr>
            </w:pPr>
            <w:hyperlink r:id="rId58">
              <w:r>
                <w:rPr>
                  <w:rFonts w:ascii="Arial" w:cs="Arial" w:eastAsia="Arial" w:hAnsi="Arial"/>
                  <w:sz w:val="18"/>
                  <w:szCs w:val="18"/>
                  <w:color w:val="0000EE"/>
                  <w:w w:val="89"/>
                </w:rPr>
                <w:t>2017, by and among Protalix BioTherapeutics,</w:t>
              </w:r>
            </w:hyperlink>
          </w:p>
        </w:tc>
        <w:tc>
          <w:tcPr>
            <w:tcW w:w="300" w:type="dxa"/>
            <w:vAlign w:val="bottom"/>
            <w:gridSpan w:val="10"/>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280" w:type="dxa"/>
            <w:vAlign w:val="bottom"/>
            <w:tcBorders>
              <w:bottom w:val="single" w:sz="8" w:color="0000EE"/>
            </w:tcBorders>
            <w:gridSpan w:val="21"/>
          </w:tcPr>
          <w:p>
            <w:pPr>
              <w:spacing w:after="0" w:line="192"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Inc., the guarantors party thereto, The Bank of</w:t>
              </w:r>
            </w:hyperlink>
          </w:p>
        </w:tc>
        <w:tc>
          <w:tcPr>
            <w:tcW w:w="340" w:type="dxa"/>
            <w:vAlign w:val="bottom"/>
            <w:gridSpan w:val="12"/>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080" w:type="dxa"/>
            <w:vAlign w:val="bottom"/>
            <w:tcBorders>
              <w:bottom w:val="single" w:sz="8" w:color="0000EE"/>
            </w:tcBorders>
            <w:gridSpan w:val="16"/>
          </w:tcPr>
          <w:p>
            <w:pPr>
              <w:spacing w:after="0" w:line="192"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New York Mellon Trust Company, N.A., as</w:t>
              </w:r>
            </w:hyperlink>
          </w:p>
        </w:tc>
        <w:tc>
          <w:tcPr>
            <w:tcW w:w="540" w:type="dxa"/>
            <w:vAlign w:val="bottom"/>
            <w:gridSpan w:val="17"/>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340" w:type="dxa"/>
            <w:vAlign w:val="bottom"/>
            <w:tcBorders>
              <w:bottom w:val="single" w:sz="8" w:color="0000EE"/>
            </w:tcBorders>
            <w:gridSpan w:val="24"/>
          </w:tcPr>
          <w:p>
            <w:pPr>
              <w:spacing w:after="0" w:line="192"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trustee, and Wilmington Savings Fund Society,</w:t>
              </w:r>
            </w:hyperlink>
          </w:p>
        </w:tc>
        <w:tc>
          <w:tcPr>
            <w:tcW w:w="280" w:type="dxa"/>
            <w:vAlign w:val="bottom"/>
            <w:gridSpan w:val="9"/>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1680" w:type="dxa"/>
            <w:vAlign w:val="bottom"/>
            <w:tcBorders>
              <w:bottom w:val="single" w:sz="8" w:color="0000EE"/>
            </w:tcBorders>
            <w:gridSpan w:val="5"/>
          </w:tcPr>
          <w:p>
            <w:pPr>
              <w:spacing w:after="0" w:line="192" w:lineRule="exact"/>
              <w:rPr>
                <w:rFonts w:ascii="Arial" w:cs="Arial" w:eastAsia="Arial" w:hAnsi="Arial"/>
                <w:sz w:val="18"/>
                <w:szCs w:val="18"/>
                <w:color w:val="0000EE"/>
                <w:w w:val="86"/>
              </w:rPr>
            </w:pPr>
            <w:hyperlink r:id="rId58">
              <w:r>
                <w:rPr>
                  <w:rFonts w:ascii="Arial" w:cs="Arial" w:eastAsia="Arial" w:hAnsi="Arial"/>
                  <w:sz w:val="18"/>
                  <w:szCs w:val="18"/>
                  <w:color w:val="0000EE"/>
                  <w:w w:val="86"/>
                </w:rPr>
                <w:t>FSB, as collateral agent</w:t>
              </w:r>
            </w:hyperlink>
          </w:p>
        </w:tc>
        <w:tc>
          <w:tcPr>
            <w:tcW w:w="1940" w:type="dxa"/>
            <w:vAlign w:val="bottom"/>
            <w:gridSpan w:val="28"/>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4.6</w:t>
            </w:r>
          </w:p>
        </w:tc>
        <w:tc>
          <w:tcPr>
            <w:tcW w:w="3120" w:type="dxa"/>
            <w:vAlign w:val="bottom"/>
            <w:tcBorders>
              <w:bottom w:val="single" w:sz="8" w:color="0000EE"/>
            </w:tcBorders>
            <w:gridSpan w:val="18"/>
          </w:tcPr>
          <w:p>
            <w:pPr>
              <w:spacing w:after="0"/>
              <w:rPr>
                <w:rFonts w:ascii="Arial" w:cs="Arial" w:eastAsia="Arial" w:hAnsi="Arial"/>
                <w:sz w:val="18"/>
                <w:szCs w:val="18"/>
                <w:color w:val="0000EE"/>
                <w:w w:val="87"/>
              </w:rPr>
            </w:pPr>
            <w:hyperlink r:id="rId59">
              <w:r>
                <w:rPr>
                  <w:rFonts w:ascii="Arial" w:cs="Arial" w:eastAsia="Arial" w:hAnsi="Arial"/>
                  <w:sz w:val="18"/>
                  <w:szCs w:val="18"/>
                  <w:color w:val="0000EE"/>
                  <w:w w:val="87"/>
                </w:rPr>
                <w:t>Second Supplemental Indenture, dated as of</w:t>
              </w:r>
            </w:hyperlink>
          </w:p>
        </w:tc>
        <w:tc>
          <w:tcPr>
            <w:tcW w:w="500" w:type="dxa"/>
            <w:vAlign w:val="bottom"/>
            <w:gridSpan w:val="15"/>
          </w:tcPr>
          <w:p>
            <w:pPr>
              <w:spacing w:after="0"/>
              <w:rPr>
                <w:sz w:val="21"/>
                <w:szCs w:val="21"/>
                <w:color w:val="auto"/>
              </w:rPr>
            </w:pPr>
          </w:p>
        </w:tc>
      </w:tr>
      <w:tr>
        <w:trPr>
          <w:trHeight w:val="192"/>
        </w:trPr>
        <w:tc>
          <w:tcPr>
            <w:tcW w:w="860" w:type="dxa"/>
            <w:vAlign w:val="bottom"/>
          </w:tcPr>
          <w:p>
            <w:pPr>
              <w:spacing w:after="0"/>
              <w:rPr>
                <w:sz w:val="16"/>
                <w:szCs w:val="16"/>
                <w:color w:val="auto"/>
              </w:rPr>
            </w:pPr>
          </w:p>
        </w:tc>
        <w:tc>
          <w:tcPr>
            <w:tcW w:w="3100" w:type="dxa"/>
            <w:vAlign w:val="bottom"/>
            <w:tcBorders>
              <w:bottom w:val="single" w:sz="8" w:color="0000EE"/>
            </w:tcBorders>
            <w:gridSpan w:val="17"/>
          </w:tcPr>
          <w:p>
            <w:pPr>
              <w:spacing w:after="0" w:line="192"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November 27, 2017, by and among Protalix</w:t>
              </w:r>
            </w:hyperlink>
          </w:p>
        </w:tc>
        <w:tc>
          <w:tcPr>
            <w:tcW w:w="520" w:type="dxa"/>
            <w:vAlign w:val="bottom"/>
            <w:gridSpan w:val="16"/>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620" w:type="dxa"/>
            <w:vAlign w:val="bottom"/>
            <w:gridSpan w:val="33"/>
          </w:tcPr>
          <w:p>
            <w:pPr>
              <w:spacing w:after="0" w:line="192"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BioTherapeutics, Inc., the guarantors party hereto</w:t>
              </w:r>
            </w:hyperlink>
          </w:p>
        </w:tc>
      </w:tr>
      <w:tr>
        <w:trPr>
          <w:trHeight w:val="192"/>
        </w:trPr>
        <w:tc>
          <w:tcPr>
            <w:tcW w:w="860" w:type="dxa"/>
            <w:vAlign w:val="bottom"/>
          </w:tcPr>
          <w:p>
            <w:pPr>
              <w:spacing w:after="0"/>
              <w:rPr>
                <w:sz w:val="16"/>
                <w:szCs w:val="16"/>
                <w:color w:val="auto"/>
              </w:rPr>
            </w:pPr>
          </w:p>
        </w:tc>
        <w:tc>
          <w:tcPr>
            <w:tcW w:w="294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and The Bank of New York Mellon Trust</w:t>
              </w:r>
            </w:hyperlink>
          </w:p>
        </w:tc>
        <w:tc>
          <w:tcPr>
            <w:tcW w:w="560" w:type="dxa"/>
            <w:vAlign w:val="bottom"/>
            <w:tcBorders>
              <w:top w:val="single" w:sz="8" w:color="0000EE"/>
            </w:tcBorders>
            <w:gridSpan w:val="17"/>
          </w:tcPr>
          <w:p>
            <w:pPr>
              <w:spacing w:after="0"/>
              <w:rPr>
                <w:sz w:val="16"/>
                <w:szCs w:val="16"/>
                <w:color w:val="auto"/>
              </w:rPr>
            </w:pPr>
          </w:p>
        </w:tc>
        <w:tc>
          <w:tcPr>
            <w:tcW w:w="120" w:type="dxa"/>
            <w:vAlign w:val="bottom"/>
            <w:gridSpan w:val="5"/>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540" w:type="dxa"/>
            <w:vAlign w:val="bottom"/>
            <w:tcBorders>
              <w:bottom w:val="single" w:sz="8" w:color="0000EE"/>
            </w:tcBorders>
            <w:gridSpan w:val="29"/>
          </w:tcPr>
          <w:p>
            <w:pPr>
              <w:spacing w:after="0" w:line="192" w:lineRule="exact"/>
              <w:rPr>
                <w:rFonts w:ascii="Arial" w:cs="Arial" w:eastAsia="Arial" w:hAnsi="Arial"/>
                <w:sz w:val="18"/>
                <w:szCs w:val="18"/>
                <w:color w:val="0000EE"/>
                <w:w w:val="87"/>
              </w:rPr>
            </w:pPr>
            <w:hyperlink r:id="rId59">
              <w:r>
                <w:rPr>
                  <w:rFonts w:ascii="Arial" w:cs="Arial" w:eastAsia="Arial" w:hAnsi="Arial"/>
                  <w:sz w:val="18"/>
                  <w:szCs w:val="18"/>
                  <w:color w:val="0000EE"/>
                  <w:w w:val="87"/>
                </w:rPr>
                <w:t>Company, N.A., as trustee, registrar, paying agent</w:t>
              </w:r>
            </w:hyperlink>
          </w:p>
        </w:tc>
        <w:tc>
          <w:tcPr>
            <w:tcW w:w="80" w:type="dxa"/>
            <w:vAlign w:val="bottom"/>
            <w:gridSpan w:val="4"/>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1500" w:type="dxa"/>
            <w:vAlign w:val="bottom"/>
            <w:tcBorders>
              <w:bottom w:val="single" w:sz="8" w:color="0000EE"/>
            </w:tcBorders>
            <w:gridSpan w:val="4"/>
          </w:tcPr>
          <w:p>
            <w:pPr>
              <w:spacing w:after="0" w:line="192" w:lineRule="exact"/>
              <w:rPr>
                <w:rFonts w:ascii="Arial" w:cs="Arial" w:eastAsia="Arial" w:hAnsi="Arial"/>
                <w:sz w:val="18"/>
                <w:szCs w:val="18"/>
                <w:color w:val="0000EE"/>
                <w:w w:val="85"/>
              </w:rPr>
            </w:pPr>
            <w:hyperlink r:id="rId59">
              <w:r>
                <w:rPr>
                  <w:rFonts w:ascii="Arial" w:cs="Arial" w:eastAsia="Arial" w:hAnsi="Arial"/>
                  <w:sz w:val="18"/>
                  <w:szCs w:val="18"/>
                  <w:color w:val="0000EE"/>
                  <w:w w:val="85"/>
                </w:rPr>
                <w:t>and conversion agent</w:t>
              </w:r>
            </w:hyperlink>
          </w:p>
        </w:tc>
        <w:tc>
          <w:tcPr>
            <w:tcW w:w="2120" w:type="dxa"/>
            <w:vAlign w:val="bottom"/>
            <w:gridSpan w:val="29"/>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4.7</w:t>
            </w:r>
          </w:p>
        </w:tc>
        <w:tc>
          <w:tcPr>
            <w:tcW w:w="2020" w:type="dxa"/>
            <w:vAlign w:val="bottom"/>
            <w:tcBorders>
              <w:bottom w:val="single" w:sz="8" w:color="0000EE"/>
            </w:tcBorders>
            <w:gridSpan w:val="6"/>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Description of Capital Stock</w:t>
              </w:r>
            </w:hyperlink>
          </w:p>
        </w:tc>
        <w:tc>
          <w:tcPr>
            <w:tcW w:w="1600" w:type="dxa"/>
            <w:vAlign w:val="bottom"/>
            <w:gridSpan w:val="27"/>
          </w:tcPr>
          <w:p>
            <w:pPr>
              <w:spacing w:after="0"/>
              <w:rPr>
                <w:sz w:val="21"/>
                <w:szCs w:val="21"/>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4.8</w:t>
            </w:r>
          </w:p>
        </w:tc>
        <w:tc>
          <w:tcPr>
            <w:tcW w:w="1180" w:type="dxa"/>
            <w:vAlign w:val="bottom"/>
            <w:tcBorders>
              <w:bottom w:val="single" w:sz="8" w:color="0000EE"/>
            </w:tcBorders>
          </w:tcPr>
          <w:p>
            <w:pPr>
              <w:spacing w:after="0"/>
              <w:rPr>
                <w:rFonts w:ascii="Arial" w:cs="Arial" w:eastAsia="Arial" w:hAnsi="Arial"/>
                <w:sz w:val="18"/>
                <w:szCs w:val="18"/>
                <w:color w:val="0000EE"/>
                <w:w w:val="88"/>
              </w:rPr>
            </w:pPr>
            <w:hyperlink r:id="rId61">
              <w:r>
                <w:rPr>
                  <w:rFonts w:ascii="Arial" w:cs="Arial" w:eastAsia="Arial" w:hAnsi="Arial"/>
                  <w:sz w:val="18"/>
                  <w:szCs w:val="18"/>
                  <w:color w:val="0000EE"/>
                  <w:w w:val="88"/>
                </w:rPr>
                <w:t>Form of Warrant</w:t>
              </w:r>
            </w:hyperlink>
          </w:p>
        </w:tc>
        <w:tc>
          <w:tcPr>
            <w:tcW w:w="2440" w:type="dxa"/>
            <w:vAlign w:val="bottom"/>
            <w:gridSpan w:val="32"/>
          </w:tcPr>
          <w:p>
            <w:pPr>
              <w:spacing w:after="0"/>
              <w:rPr>
                <w:sz w:val="21"/>
                <w:szCs w:val="21"/>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4.9†</w:t>
            </w:r>
          </w:p>
        </w:tc>
        <w:tc>
          <w:tcPr>
            <w:tcW w:w="3320" w:type="dxa"/>
            <w:vAlign w:val="bottom"/>
            <w:tcBorders>
              <w:bottom w:val="single" w:sz="8" w:color="0000EE"/>
            </w:tcBorders>
            <w:gridSpan w:val="23"/>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Form of Stock Option Agreement (Executives)</w:t>
              </w:r>
            </w:hyperlink>
          </w:p>
        </w:tc>
        <w:tc>
          <w:tcPr>
            <w:tcW w:w="300" w:type="dxa"/>
            <w:vAlign w:val="bottom"/>
            <w:gridSpan w:val="10"/>
          </w:tcPr>
          <w:p>
            <w:pPr>
              <w:spacing w:after="0"/>
              <w:rPr>
                <w:sz w:val="21"/>
                <w:szCs w:val="21"/>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4.10</w:t>
            </w:r>
          </w:p>
        </w:tc>
        <w:tc>
          <w:tcPr>
            <w:tcW w:w="3620" w:type="dxa"/>
            <w:vAlign w:val="bottom"/>
            <w:gridSpan w:val="33"/>
          </w:tcPr>
          <w:p>
            <w:pPr>
              <w:spacing w:after="0"/>
              <w:rPr>
                <w:rFonts w:ascii="Arial" w:cs="Arial" w:eastAsia="Arial" w:hAnsi="Arial"/>
                <w:sz w:val="18"/>
                <w:szCs w:val="18"/>
                <w:color w:val="0000EE"/>
              </w:rPr>
            </w:pPr>
            <w:hyperlink r:id="rId63">
              <w:r>
                <w:rPr>
                  <w:rFonts w:ascii="Arial" w:cs="Arial" w:eastAsia="Arial" w:hAnsi="Arial"/>
                  <w:sz w:val="18"/>
                  <w:szCs w:val="18"/>
                  <w:color w:val="0000EE"/>
                </w:rPr>
                <w:t>Form of Stock Option Agreement (Standard)</w:t>
              </w:r>
            </w:hyperlink>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4.11</w:t>
            </w:r>
          </w:p>
        </w:tc>
        <w:tc>
          <w:tcPr>
            <w:tcW w:w="29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r:id="rId64">
              <w:r>
                <w:rPr>
                  <w:rFonts w:ascii="Arial" w:cs="Arial" w:eastAsia="Arial" w:hAnsi="Arial"/>
                  <w:sz w:val="18"/>
                  <w:szCs w:val="18"/>
                  <w:color w:val="0000EE"/>
                  <w:w w:val="88"/>
                </w:rPr>
                <w:t>Third Supplemental Indenture, dated as of</w:t>
              </w:r>
            </w:hyperlink>
          </w:p>
        </w:tc>
        <w:tc>
          <w:tcPr>
            <w:tcW w:w="180" w:type="dxa"/>
            <w:vAlign w:val="bottom"/>
            <w:tcBorders>
              <w:top w:val="single" w:sz="8" w:color="0000EE"/>
            </w:tcBorders>
            <w:gridSpan w:val="7"/>
          </w:tcPr>
          <w:p>
            <w:pPr>
              <w:spacing w:after="0"/>
              <w:rPr>
                <w:sz w:val="21"/>
                <w:szCs w:val="21"/>
                <w:color w:val="auto"/>
              </w:rPr>
            </w:pPr>
          </w:p>
        </w:tc>
        <w:tc>
          <w:tcPr>
            <w:tcW w:w="460" w:type="dxa"/>
            <w:vAlign w:val="bottom"/>
            <w:gridSpan w:val="14"/>
          </w:tcPr>
          <w:p>
            <w:pPr>
              <w:spacing w:after="0"/>
              <w:rPr>
                <w:sz w:val="21"/>
                <w:szCs w:val="21"/>
                <w:color w:val="auto"/>
              </w:rPr>
            </w:pPr>
          </w:p>
        </w:tc>
      </w:tr>
      <w:tr>
        <w:trPr>
          <w:trHeight w:val="192"/>
        </w:trPr>
        <w:tc>
          <w:tcPr>
            <w:tcW w:w="860" w:type="dxa"/>
            <w:vAlign w:val="bottom"/>
          </w:tcPr>
          <w:p>
            <w:pPr>
              <w:spacing w:after="0"/>
              <w:rPr>
                <w:sz w:val="16"/>
                <w:szCs w:val="16"/>
                <w:color w:val="auto"/>
              </w:rPr>
            </w:pPr>
          </w:p>
        </w:tc>
        <w:tc>
          <w:tcPr>
            <w:tcW w:w="3620" w:type="dxa"/>
            <w:vAlign w:val="bottom"/>
            <w:gridSpan w:val="33"/>
          </w:tcPr>
          <w:p>
            <w:pPr>
              <w:spacing w:after="0" w:line="192" w:lineRule="exact"/>
              <w:rPr>
                <w:rFonts w:ascii="Arial" w:cs="Arial" w:eastAsia="Arial" w:hAnsi="Arial"/>
                <w:sz w:val="18"/>
                <w:szCs w:val="18"/>
                <w:color w:val="0000EE"/>
              </w:rPr>
            </w:pPr>
            <w:hyperlink r:id="rId64">
              <w:r>
                <w:rPr>
                  <w:rFonts w:ascii="Arial" w:cs="Arial" w:eastAsia="Arial" w:hAnsi="Arial"/>
                  <w:sz w:val="18"/>
                  <w:szCs w:val="18"/>
                  <w:color w:val="0000EE"/>
                </w:rPr>
                <w:t>August 24, 2021, by and among Protalix</w:t>
              </w:r>
            </w:hyperlink>
          </w:p>
        </w:tc>
      </w:tr>
      <w:tr>
        <w:trPr>
          <w:trHeight w:val="20"/>
        </w:trPr>
        <w:tc>
          <w:tcPr>
            <w:tcW w:w="860" w:type="dxa"/>
            <w:vAlign w:val="bottom"/>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860" w:type="dxa"/>
            <w:vAlign w:val="bottom"/>
          </w:tcPr>
          <w:p>
            <w:pPr>
              <w:spacing w:after="0"/>
              <w:rPr>
                <w:sz w:val="16"/>
                <w:szCs w:val="16"/>
                <w:color w:val="auto"/>
              </w:rPr>
            </w:pPr>
          </w:p>
        </w:tc>
        <w:tc>
          <w:tcPr>
            <w:tcW w:w="3620" w:type="dxa"/>
            <w:vAlign w:val="bottom"/>
            <w:gridSpan w:val="33"/>
          </w:tcPr>
          <w:p>
            <w:pPr>
              <w:spacing w:after="0" w:line="192"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BioTherapeutics, Inc., the guarantors party hereto</w:t>
              </w:r>
            </w:hyperlink>
          </w:p>
        </w:tc>
      </w:tr>
      <w:tr>
        <w:trPr>
          <w:trHeight w:val="192"/>
        </w:trPr>
        <w:tc>
          <w:tcPr>
            <w:tcW w:w="860" w:type="dxa"/>
            <w:vAlign w:val="bottom"/>
          </w:tcPr>
          <w:p>
            <w:pPr>
              <w:spacing w:after="0"/>
              <w:rPr>
                <w:sz w:val="16"/>
                <w:szCs w:val="16"/>
                <w:color w:val="auto"/>
              </w:rPr>
            </w:pPr>
          </w:p>
        </w:tc>
        <w:tc>
          <w:tcPr>
            <w:tcW w:w="294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and The Bank of New York Mellon Trust</w:t>
              </w:r>
            </w:hyperlink>
          </w:p>
        </w:tc>
        <w:tc>
          <w:tcPr>
            <w:tcW w:w="560" w:type="dxa"/>
            <w:vAlign w:val="bottom"/>
            <w:tcBorders>
              <w:top w:val="single" w:sz="8" w:color="0000EE"/>
            </w:tcBorders>
            <w:gridSpan w:val="17"/>
          </w:tcPr>
          <w:p>
            <w:pPr>
              <w:spacing w:after="0"/>
              <w:rPr>
                <w:sz w:val="16"/>
                <w:szCs w:val="16"/>
                <w:color w:val="auto"/>
              </w:rPr>
            </w:pPr>
          </w:p>
        </w:tc>
        <w:tc>
          <w:tcPr>
            <w:tcW w:w="120" w:type="dxa"/>
            <w:vAlign w:val="bottom"/>
            <w:gridSpan w:val="5"/>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540" w:type="dxa"/>
            <w:vAlign w:val="bottom"/>
            <w:tcBorders>
              <w:bottom w:val="single" w:sz="8" w:color="0000EE"/>
            </w:tcBorders>
            <w:gridSpan w:val="29"/>
          </w:tcPr>
          <w:p>
            <w:pPr>
              <w:spacing w:after="0" w:line="192" w:lineRule="exact"/>
              <w:rPr>
                <w:rFonts w:ascii="Arial" w:cs="Arial" w:eastAsia="Arial" w:hAnsi="Arial"/>
                <w:sz w:val="18"/>
                <w:szCs w:val="18"/>
                <w:color w:val="0000EE"/>
                <w:w w:val="87"/>
              </w:rPr>
            </w:pPr>
            <w:hyperlink r:id="rId64">
              <w:r>
                <w:rPr>
                  <w:rFonts w:ascii="Arial" w:cs="Arial" w:eastAsia="Arial" w:hAnsi="Arial"/>
                  <w:sz w:val="18"/>
                  <w:szCs w:val="18"/>
                  <w:color w:val="0000EE"/>
                  <w:w w:val="87"/>
                </w:rPr>
                <w:t>Company, N.A., as trustee, registrar, paying agent</w:t>
              </w:r>
            </w:hyperlink>
          </w:p>
        </w:tc>
        <w:tc>
          <w:tcPr>
            <w:tcW w:w="80" w:type="dxa"/>
            <w:vAlign w:val="bottom"/>
            <w:gridSpan w:val="4"/>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340" w:type="dxa"/>
            <w:vAlign w:val="bottom"/>
            <w:tcBorders>
              <w:bottom w:val="single" w:sz="8" w:color="0000EE"/>
            </w:tcBorders>
            <w:gridSpan w:val="24"/>
          </w:tcPr>
          <w:p>
            <w:pPr>
              <w:spacing w:after="0" w:line="192" w:lineRule="exact"/>
              <w:rPr>
                <w:rFonts w:ascii="Arial" w:cs="Arial" w:eastAsia="Arial" w:hAnsi="Arial"/>
                <w:sz w:val="18"/>
                <w:szCs w:val="18"/>
                <w:color w:val="0000EE"/>
                <w:w w:val="88"/>
              </w:rPr>
            </w:pPr>
            <w:hyperlink r:id="rId64">
              <w:r>
                <w:rPr>
                  <w:rFonts w:ascii="Arial" w:cs="Arial" w:eastAsia="Arial" w:hAnsi="Arial"/>
                  <w:sz w:val="18"/>
                  <w:szCs w:val="18"/>
                  <w:color w:val="0000EE"/>
                  <w:w w:val="88"/>
                </w:rPr>
                <w:t>and conversion agent, and Wilmington Savings</w:t>
              </w:r>
            </w:hyperlink>
          </w:p>
        </w:tc>
        <w:tc>
          <w:tcPr>
            <w:tcW w:w="280" w:type="dxa"/>
            <w:vAlign w:val="bottom"/>
            <w:gridSpan w:val="9"/>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620" w:type="dxa"/>
            <w:vAlign w:val="bottom"/>
            <w:gridSpan w:val="33"/>
          </w:tcPr>
          <w:p>
            <w:pPr>
              <w:spacing w:after="0" w:line="192" w:lineRule="exact"/>
              <w:rPr>
                <w:rFonts w:ascii="Arial" w:cs="Arial" w:eastAsia="Arial" w:hAnsi="Arial"/>
                <w:sz w:val="18"/>
                <w:szCs w:val="18"/>
                <w:color w:val="0000EE"/>
              </w:rPr>
            </w:pPr>
            <w:hyperlink r:id="rId64">
              <w:r>
                <w:rPr>
                  <w:rFonts w:ascii="Arial" w:cs="Arial" w:eastAsia="Arial" w:hAnsi="Arial"/>
                  <w:sz w:val="18"/>
                  <w:szCs w:val="18"/>
                  <w:color w:val="0000EE"/>
                </w:rPr>
                <w:t>Fund Society, FSB, as the collateral agent</w:t>
              </w:r>
            </w:hyperlink>
          </w:p>
        </w:tc>
      </w:tr>
      <w:tr>
        <w:trPr>
          <w:trHeight w:val="20"/>
        </w:trPr>
        <w:tc>
          <w:tcPr>
            <w:tcW w:w="860" w:type="dxa"/>
            <w:vAlign w:val="bottom"/>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4.12</w:t>
            </w:r>
          </w:p>
        </w:tc>
        <w:tc>
          <w:tcPr>
            <w:tcW w:w="3420" w:type="dxa"/>
            <w:vAlign w:val="bottom"/>
            <w:tcBorders>
              <w:bottom w:val="single" w:sz="8" w:color="0000EE"/>
            </w:tcBorders>
            <w:gridSpan w:val="25"/>
          </w:tcPr>
          <w:p>
            <w:pPr>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Indenture, dated as of August 24, 2021, between</w:t>
              </w:r>
            </w:hyperlink>
          </w:p>
        </w:tc>
        <w:tc>
          <w:tcPr>
            <w:tcW w:w="200" w:type="dxa"/>
            <w:vAlign w:val="bottom"/>
            <w:gridSpan w:val="8"/>
          </w:tcPr>
          <w:p>
            <w:pPr>
              <w:spacing w:after="0"/>
              <w:rPr>
                <w:sz w:val="21"/>
                <w:szCs w:val="21"/>
                <w:color w:val="auto"/>
              </w:rPr>
            </w:pPr>
          </w:p>
        </w:tc>
      </w:tr>
      <w:tr>
        <w:trPr>
          <w:trHeight w:val="192"/>
        </w:trPr>
        <w:tc>
          <w:tcPr>
            <w:tcW w:w="860" w:type="dxa"/>
            <w:vAlign w:val="bottom"/>
          </w:tcPr>
          <w:p>
            <w:pPr>
              <w:spacing w:after="0"/>
              <w:rPr>
                <w:sz w:val="16"/>
                <w:szCs w:val="16"/>
                <w:color w:val="auto"/>
              </w:rPr>
            </w:pPr>
          </w:p>
        </w:tc>
        <w:tc>
          <w:tcPr>
            <w:tcW w:w="3620" w:type="dxa"/>
            <w:vAlign w:val="bottom"/>
            <w:tcBorders>
              <w:bottom w:val="single" w:sz="8" w:color="0000EE"/>
            </w:tcBorders>
            <w:gridSpan w:val="33"/>
          </w:tcPr>
          <w:p>
            <w:pPr>
              <w:spacing w:after="0" w:line="192"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Protalix BioTherapeutics, Inc., the guarantors party</w:t>
              </w:r>
            </w:hyperlink>
          </w:p>
        </w:tc>
      </w:tr>
      <w:tr>
        <w:trPr>
          <w:trHeight w:val="192"/>
        </w:trPr>
        <w:tc>
          <w:tcPr>
            <w:tcW w:w="860" w:type="dxa"/>
            <w:vAlign w:val="bottom"/>
          </w:tcPr>
          <w:p>
            <w:pPr>
              <w:spacing w:after="0"/>
              <w:rPr>
                <w:sz w:val="16"/>
                <w:szCs w:val="16"/>
                <w:color w:val="auto"/>
              </w:rPr>
            </w:pPr>
          </w:p>
        </w:tc>
        <w:tc>
          <w:tcPr>
            <w:tcW w:w="3620" w:type="dxa"/>
            <w:vAlign w:val="bottom"/>
            <w:gridSpan w:val="33"/>
          </w:tcPr>
          <w:p>
            <w:pPr>
              <w:spacing w:after="0" w:line="192" w:lineRule="exact"/>
              <w:rPr>
                <w:rFonts w:ascii="Arial" w:cs="Arial" w:eastAsia="Arial" w:hAnsi="Arial"/>
                <w:sz w:val="18"/>
                <w:szCs w:val="18"/>
                <w:color w:val="0000EE"/>
              </w:rPr>
            </w:pPr>
            <w:hyperlink r:id="rId65">
              <w:r>
                <w:rPr>
                  <w:rFonts w:ascii="Arial" w:cs="Arial" w:eastAsia="Arial" w:hAnsi="Arial"/>
                  <w:sz w:val="18"/>
                  <w:szCs w:val="18"/>
                  <w:color w:val="0000EE"/>
                </w:rPr>
                <w:t>thereto, The Bank of New York Mellon Trust</w:t>
              </w:r>
            </w:hyperlink>
          </w:p>
        </w:tc>
      </w:tr>
      <w:tr>
        <w:trPr>
          <w:trHeight w:val="192"/>
        </w:trPr>
        <w:tc>
          <w:tcPr>
            <w:tcW w:w="860" w:type="dxa"/>
            <w:vAlign w:val="bottom"/>
          </w:tcPr>
          <w:p>
            <w:pPr>
              <w:spacing w:after="0"/>
              <w:rPr>
                <w:sz w:val="16"/>
                <w:szCs w:val="16"/>
                <w:color w:val="auto"/>
              </w:rPr>
            </w:pPr>
          </w:p>
        </w:tc>
        <w:tc>
          <w:tcPr>
            <w:tcW w:w="3060" w:type="dxa"/>
            <w:vAlign w:val="bottom"/>
            <w:tcBorders>
              <w:top w:val="single" w:sz="8" w:color="0000EE"/>
              <w:bottom w:val="single" w:sz="8" w:color="0000EE"/>
            </w:tcBorders>
            <w:gridSpan w:val="15"/>
          </w:tcPr>
          <w:p>
            <w:pPr>
              <w:spacing w:after="0" w:line="192" w:lineRule="exact"/>
              <w:rPr>
                <w:rFonts w:ascii="Arial" w:cs="Arial" w:eastAsia="Arial" w:hAnsi="Arial"/>
                <w:sz w:val="18"/>
                <w:szCs w:val="18"/>
                <w:color w:val="0000EE"/>
                <w:w w:val="89"/>
              </w:rPr>
            </w:pPr>
            <w:hyperlink r:id="rId65">
              <w:r>
                <w:rPr>
                  <w:rFonts w:ascii="Arial" w:cs="Arial" w:eastAsia="Arial" w:hAnsi="Arial"/>
                  <w:sz w:val="18"/>
                  <w:szCs w:val="18"/>
                  <w:color w:val="0000EE"/>
                  <w:w w:val="89"/>
                </w:rPr>
                <w:t>Company, N.A., as trustee and Wilmington</w:t>
              </w:r>
            </w:hyperlink>
          </w:p>
        </w:tc>
        <w:tc>
          <w:tcPr>
            <w:tcW w:w="120" w:type="dxa"/>
            <w:vAlign w:val="bottom"/>
            <w:tcBorders>
              <w:top w:val="single" w:sz="8" w:color="0000EE"/>
            </w:tcBorders>
            <w:gridSpan w:val="5"/>
          </w:tcPr>
          <w:p>
            <w:pPr>
              <w:spacing w:after="0"/>
              <w:rPr>
                <w:sz w:val="16"/>
                <w:szCs w:val="16"/>
                <w:color w:val="auto"/>
              </w:rPr>
            </w:pPr>
          </w:p>
        </w:tc>
        <w:tc>
          <w:tcPr>
            <w:tcW w:w="440" w:type="dxa"/>
            <w:vAlign w:val="bottom"/>
            <w:gridSpan w:val="13"/>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300" w:type="dxa"/>
            <w:vAlign w:val="bottom"/>
            <w:tcBorders>
              <w:bottom w:val="single" w:sz="8" w:color="0000EE"/>
            </w:tcBorders>
            <w:gridSpan w:val="22"/>
          </w:tcPr>
          <w:p>
            <w:pPr>
              <w:spacing w:after="0" w:line="192" w:lineRule="exact"/>
              <w:rPr>
                <w:rFonts w:ascii="Arial" w:cs="Arial" w:eastAsia="Arial" w:hAnsi="Arial"/>
                <w:sz w:val="18"/>
                <w:szCs w:val="18"/>
                <w:color w:val="0000EE"/>
                <w:w w:val="87"/>
              </w:rPr>
            </w:pPr>
            <w:hyperlink r:id="rId65">
              <w:r>
                <w:rPr>
                  <w:rFonts w:ascii="Arial" w:cs="Arial" w:eastAsia="Arial" w:hAnsi="Arial"/>
                  <w:sz w:val="18"/>
                  <w:szCs w:val="18"/>
                  <w:color w:val="0000EE"/>
                  <w:w w:val="87"/>
                </w:rPr>
                <w:t>Savings Fund Society, FSB, as collateral agent</w:t>
              </w:r>
            </w:hyperlink>
          </w:p>
        </w:tc>
        <w:tc>
          <w:tcPr>
            <w:tcW w:w="320" w:type="dxa"/>
            <w:vAlign w:val="bottom"/>
            <w:gridSpan w:val="11"/>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4.13</w:t>
            </w:r>
          </w:p>
        </w:tc>
        <w:tc>
          <w:tcPr>
            <w:tcW w:w="2220" w:type="dxa"/>
            <w:vAlign w:val="bottom"/>
            <w:tcBorders>
              <w:bottom w:val="single" w:sz="8" w:color="0000EE"/>
            </w:tcBorders>
            <w:gridSpan w:val="7"/>
          </w:tcPr>
          <w:p>
            <w:pP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Form of Exchange Note (2024)</w:t>
              </w:r>
            </w:hyperlink>
          </w:p>
        </w:tc>
        <w:tc>
          <w:tcPr>
            <w:tcW w:w="1400" w:type="dxa"/>
            <w:vAlign w:val="bottom"/>
            <w:gridSpan w:val="26"/>
          </w:tcPr>
          <w:p>
            <w:pPr>
              <w:spacing w:after="0"/>
              <w:rPr>
                <w:sz w:val="21"/>
                <w:szCs w:val="21"/>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3000" w:type="dxa"/>
            <w:vAlign w:val="bottom"/>
            <w:tcBorders>
              <w:bottom w:val="single" w:sz="8" w:color="0000EE"/>
            </w:tcBorders>
            <w:gridSpan w:val="13"/>
          </w:tcPr>
          <w:p>
            <w:pPr>
              <w:spacing w:after="0"/>
              <w:rPr>
                <w:rFonts w:ascii="Arial" w:cs="Arial" w:eastAsia="Arial" w:hAnsi="Arial"/>
                <w:sz w:val="18"/>
                <w:szCs w:val="18"/>
                <w:color w:val="0000EE"/>
                <w:w w:val="87"/>
              </w:rPr>
            </w:pPr>
            <w:hyperlink r:id="rId67">
              <w:r>
                <w:rPr>
                  <w:rFonts w:ascii="Arial" w:cs="Arial" w:eastAsia="Arial" w:hAnsi="Arial"/>
                  <w:sz w:val="18"/>
                  <w:szCs w:val="18"/>
                  <w:color w:val="0000EE"/>
                  <w:w w:val="87"/>
                </w:rPr>
                <w:t>Form of Exchange Agreement, dated as of</w:t>
              </w:r>
            </w:hyperlink>
          </w:p>
        </w:tc>
        <w:tc>
          <w:tcPr>
            <w:tcW w:w="620" w:type="dxa"/>
            <w:vAlign w:val="bottom"/>
            <w:gridSpan w:val="20"/>
          </w:tcPr>
          <w:p>
            <w:pPr>
              <w:spacing w:after="0"/>
              <w:rPr>
                <w:sz w:val="21"/>
                <w:szCs w:val="21"/>
                <w:color w:val="auto"/>
              </w:rPr>
            </w:pPr>
          </w:p>
        </w:tc>
      </w:tr>
      <w:tr>
        <w:trPr>
          <w:trHeight w:val="192"/>
        </w:trPr>
        <w:tc>
          <w:tcPr>
            <w:tcW w:w="860" w:type="dxa"/>
            <w:vAlign w:val="bottom"/>
          </w:tcPr>
          <w:p>
            <w:pPr>
              <w:spacing w:after="0"/>
              <w:rPr>
                <w:sz w:val="16"/>
                <w:szCs w:val="16"/>
                <w:color w:val="auto"/>
              </w:rPr>
            </w:pPr>
          </w:p>
        </w:tc>
        <w:tc>
          <w:tcPr>
            <w:tcW w:w="3560" w:type="dxa"/>
            <w:vAlign w:val="bottom"/>
            <w:tcBorders>
              <w:bottom w:val="single" w:sz="8" w:color="0000EE"/>
            </w:tcBorders>
            <w:gridSpan w:val="30"/>
          </w:tcPr>
          <w:p>
            <w:pPr>
              <w:spacing w:after="0" w:line="192" w:lineRule="exact"/>
              <w:rPr>
                <w:rFonts w:ascii="Arial" w:cs="Arial" w:eastAsia="Arial" w:hAnsi="Arial"/>
                <w:sz w:val="18"/>
                <w:szCs w:val="18"/>
                <w:color w:val="0000EE"/>
                <w:w w:val="89"/>
              </w:rPr>
            </w:pPr>
            <w:hyperlink r:id="rId67">
              <w:r>
                <w:rPr>
                  <w:rFonts w:ascii="Arial" w:cs="Arial" w:eastAsia="Arial" w:hAnsi="Arial"/>
                  <w:sz w:val="18"/>
                  <w:szCs w:val="18"/>
                  <w:color w:val="0000EE"/>
                  <w:w w:val="89"/>
                </w:rPr>
                <w:t>August 12, 2021 among Protalix BioTherapeutics,</w:t>
              </w:r>
            </w:hyperlink>
          </w:p>
        </w:tc>
        <w:tc>
          <w:tcPr>
            <w:tcW w:w="60" w:type="dxa"/>
            <w:vAlign w:val="bottom"/>
            <w:gridSpan w:val="3"/>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2440" w:type="dxa"/>
            <w:vAlign w:val="bottom"/>
            <w:tcBorders>
              <w:bottom w:val="single" w:sz="8" w:color="0000EE"/>
            </w:tcBorders>
            <w:gridSpan w:val="8"/>
          </w:tcPr>
          <w:p>
            <w:pPr>
              <w:spacing w:after="0" w:line="192" w:lineRule="exact"/>
              <w:rPr>
                <w:rFonts w:ascii="Arial" w:cs="Arial" w:eastAsia="Arial" w:hAnsi="Arial"/>
                <w:sz w:val="18"/>
                <w:szCs w:val="18"/>
                <w:color w:val="0000EE"/>
                <w:w w:val="86"/>
              </w:rPr>
            </w:pPr>
            <w:hyperlink r:id="rId67">
              <w:r>
                <w:rPr>
                  <w:rFonts w:ascii="Arial" w:cs="Arial" w:eastAsia="Arial" w:hAnsi="Arial"/>
                  <w:sz w:val="18"/>
                  <w:szCs w:val="18"/>
                  <w:color w:val="0000EE"/>
                  <w:w w:val="86"/>
                </w:rPr>
                <w:t>Inc. and the holders named therein</w:t>
              </w:r>
            </w:hyperlink>
          </w:p>
        </w:tc>
        <w:tc>
          <w:tcPr>
            <w:tcW w:w="1180" w:type="dxa"/>
            <w:vAlign w:val="bottom"/>
            <w:gridSpan w:val="25"/>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3460" w:type="dxa"/>
            <w:vAlign w:val="bottom"/>
            <w:tcBorders>
              <w:bottom w:val="single" w:sz="8" w:color="0000EE"/>
            </w:tcBorders>
            <w:gridSpan w:val="27"/>
          </w:tcPr>
          <w:p>
            <w:pPr>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Amended and Restated U.S. Security Agreement</w:t>
              </w:r>
            </w:hyperlink>
          </w:p>
        </w:tc>
        <w:tc>
          <w:tcPr>
            <w:tcW w:w="160" w:type="dxa"/>
            <w:vAlign w:val="bottom"/>
            <w:gridSpan w:val="6"/>
          </w:tcPr>
          <w:p>
            <w:pPr>
              <w:spacing w:after="0"/>
              <w:rPr>
                <w:sz w:val="21"/>
                <w:szCs w:val="21"/>
                <w:color w:val="auto"/>
              </w:rPr>
            </w:pPr>
          </w:p>
        </w:tc>
      </w:tr>
      <w:tr>
        <w:trPr>
          <w:trHeight w:val="192"/>
        </w:trPr>
        <w:tc>
          <w:tcPr>
            <w:tcW w:w="860" w:type="dxa"/>
            <w:vAlign w:val="bottom"/>
          </w:tcPr>
          <w:p>
            <w:pPr>
              <w:spacing w:after="0"/>
              <w:rPr>
                <w:sz w:val="16"/>
                <w:szCs w:val="16"/>
                <w:color w:val="auto"/>
              </w:rPr>
            </w:pPr>
          </w:p>
        </w:tc>
        <w:tc>
          <w:tcPr>
            <w:tcW w:w="2940" w:type="dxa"/>
            <w:vAlign w:val="bottom"/>
            <w:tcBorders>
              <w:bottom w:val="single" w:sz="8" w:color="0000EE"/>
            </w:tcBorders>
            <w:gridSpan w:val="11"/>
          </w:tcPr>
          <w:p>
            <w:pPr>
              <w:spacing w:after="0" w:line="192"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dated of August 24, 2021 among Protalix</w:t>
              </w:r>
            </w:hyperlink>
          </w:p>
        </w:tc>
        <w:tc>
          <w:tcPr>
            <w:tcW w:w="680" w:type="dxa"/>
            <w:vAlign w:val="bottom"/>
            <w:gridSpan w:val="22"/>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620" w:type="dxa"/>
            <w:vAlign w:val="bottom"/>
            <w:gridSpan w:val="33"/>
          </w:tcPr>
          <w:p>
            <w:pPr>
              <w:spacing w:after="0" w:line="192"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BioTherapeutics, Inc., the guarantors party thereto,</w:t>
              </w:r>
            </w:hyperlink>
          </w:p>
        </w:tc>
      </w:tr>
      <w:tr>
        <w:trPr>
          <w:trHeight w:val="192"/>
        </w:trPr>
        <w:tc>
          <w:tcPr>
            <w:tcW w:w="860" w:type="dxa"/>
            <w:vAlign w:val="bottom"/>
          </w:tcPr>
          <w:p>
            <w:pPr>
              <w:spacing w:after="0"/>
              <w:rPr>
                <w:sz w:val="16"/>
                <w:szCs w:val="16"/>
                <w:color w:val="auto"/>
              </w:rPr>
            </w:pPr>
          </w:p>
        </w:tc>
        <w:tc>
          <w:tcPr>
            <w:tcW w:w="3060" w:type="dxa"/>
            <w:vAlign w:val="bottom"/>
            <w:tcBorders>
              <w:top w:val="single" w:sz="8" w:color="0000EE"/>
              <w:bottom w:val="single" w:sz="8" w:color="0000EE"/>
            </w:tcBorders>
            <w:gridSpan w:val="15"/>
          </w:tcPr>
          <w:p>
            <w:pPr>
              <w:spacing w:after="0" w:line="192"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Wilmington Savings Fund Society, FSB, as</w:t>
              </w:r>
            </w:hyperlink>
          </w:p>
        </w:tc>
        <w:tc>
          <w:tcPr>
            <w:tcW w:w="540" w:type="dxa"/>
            <w:vAlign w:val="bottom"/>
            <w:tcBorders>
              <w:top w:val="single" w:sz="8" w:color="0000EE"/>
            </w:tcBorders>
            <w:gridSpan w:val="17"/>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620" w:type="dxa"/>
            <w:vAlign w:val="bottom"/>
            <w:tcBorders>
              <w:bottom w:val="single" w:sz="8" w:color="0000EE"/>
            </w:tcBorders>
            <w:gridSpan w:val="33"/>
          </w:tcPr>
          <w:p>
            <w:pPr>
              <w:spacing w:after="0" w:line="192"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collateral agent and The Bank of New York Mellon</w:t>
              </w:r>
            </w:hyperlink>
          </w:p>
        </w:tc>
      </w:tr>
      <w:tr>
        <w:trPr>
          <w:trHeight w:val="192"/>
        </w:trPr>
        <w:tc>
          <w:tcPr>
            <w:tcW w:w="860" w:type="dxa"/>
            <w:vAlign w:val="bottom"/>
          </w:tcPr>
          <w:p>
            <w:pPr>
              <w:spacing w:after="0"/>
              <w:rPr>
                <w:sz w:val="16"/>
                <w:szCs w:val="16"/>
                <w:color w:val="auto"/>
              </w:rPr>
            </w:pPr>
          </w:p>
        </w:tc>
        <w:tc>
          <w:tcPr>
            <w:tcW w:w="2780" w:type="dxa"/>
            <w:vAlign w:val="bottom"/>
            <w:tcBorders>
              <w:bottom w:val="single" w:sz="8" w:color="0000EE"/>
            </w:tcBorders>
            <w:gridSpan w:val="9"/>
          </w:tcPr>
          <w:p>
            <w:pPr>
              <w:spacing w:after="0" w:line="192"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Trust Company, N.A., as Notes Trustee</w:t>
              </w:r>
            </w:hyperlink>
          </w:p>
        </w:tc>
        <w:tc>
          <w:tcPr>
            <w:tcW w:w="840" w:type="dxa"/>
            <w:vAlign w:val="bottom"/>
            <w:gridSpan w:val="24"/>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3620" w:type="dxa"/>
            <w:vAlign w:val="bottom"/>
            <w:gridSpan w:val="33"/>
          </w:tcPr>
          <w:p>
            <w:pPr>
              <w:spacing w:after="0"/>
              <w:rPr>
                <w:rFonts w:ascii="Arial" w:cs="Arial" w:eastAsia="Arial" w:hAnsi="Arial"/>
                <w:sz w:val="18"/>
                <w:szCs w:val="18"/>
                <w:color w:val="0000EE"/>
                <w:w w:val="96"/>
              </w:rPr>
            </w:pPr>
            <w:hyperlink r:id="rId69">
              <w:r>
                <w:rPr>
                  <w:rFonts w:ascii="Arial" w:cs="Arial" w:eastAsia="Arial" w:hAnsi="Arial"/>
                  <w:sz w:val="18"/>
                  <w:szCs w:val="18"/>
                  <w:color w:val="0000EE"/>
                  <w:w w:val="96"/>
                </w:rPr>
                <w:t>2021 Security Agreement/Debenture, made on</w:t>
              </w:r>
            </w:hyperlink>
          </w:p>
        </w:tc>
      </w:tr>
      <w:tr>
        <w:trPr>
          <w:trHeight w:val="192"/>
        </w:trPr>
        <w:tc>
          <w:tcPr>
            <w:tcW w:w="860" w:type="dxa"/>
            <w:vAlign w:val="bottom"/>
          </w:tcPr>
          <w:p>
            <w:pPr>
              <w:spacing w:after="0"/>
              <w:rPr>
                <w:sz w:val="16"/>
                <w:szCs w:val="16"/>
                <w:color w:val="auto"/>
              </w:rPr>
            </w:pPr>
          </w:p>
        </w:tc>
        <w:tc>
          <w:tcPr>
            <w:tcW w:w="304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August 24, 2021 between Protalix Ltd. and</w:t>
              </w:r>
            </w:hyperlink>
          </w:p>
        </w:tc>
        <w:tc>
          <w:tcPr>
            <w:tcW w:w="240" w:type="dxa"/>
            <w:vAlign w:val="bottom"/>
            <w:tcBorders>
              <w:top w:val="single" w:sz="8" w:color="0000EE"/>
            </w:tcBorders>
            <w:gridSpan w:val="7"/>
          </w:tcPr>
          <w:p>
            <w:pPr>
              <w:spacing w:after="0"/>
              <w:rPr>
                <w:sz w:val="16"/>
                <w:szCs w:val="16"/>
                <w:color w:val="auto"/>
              </w:rPr>
            </w:pPr>
          </w:p>
        </w:tc>
        <w:tc>
          <w:tcPr>
            <w:tcW w:w="340" w:type="dxa"/>
            <w:vAlign w:val="bottom"/>
            <w:gridSpan w:val="12"/>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3440" w:type="dxa"/>
            <w:vAlign w:val="bottom"/>
            <w:tcBorders>
              <w:bottom w:val="single" w:sz="8" w:color="0000EE"/>
            </w:tcBorders>
            <w:gridSpan w:val="26"/>
          </w:tcPr>
          <w:p>
            <w:pPr>
              <w:spacing w:after="0" w:line="192" w:lineRule="exact"/>
              <w:rPr>
                <w:rFonts w:ascii="Arial" w:cs="Arial" w:eastAsia="Arial" w:hAnsi="Arial"/>
                <w:sz w:val="18"/>
                <w:szCs w:val="18"/>
                <w:color w:val="0000EE"/>
                <w:w w:val="88"/>
              </w:rPr>
            </w:pPr>
            <w:hyperlink r:id="rId69">
              <w:r>
                <w:rPr>
                  <w:rFonts w:ascii="Arial" w:cs="Arial" w:eastAsia="Arial" w:hAnsi="Arial"/>
                  <w:sz w:val="18"/>
                  <w:szCs w:val="18"/>
                  <w:color w:val="0000EE"/>
                  <w:w w:val="88"/>
                </w:rPr>
                <w:t>Altshuler Shaham Trusts Ltd., as security trustee</w:t>
              </w:r>
            </w:hyperlink>
          </w:p>
        </w:tc>
        <w:tc>
          <w:tcPr>
            <w:tcW w:w="180" w:type="dxa"/>
            <w:vAlign w:val="bottom"/>
            <w:gridSpan w:val="7"/>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580" w:val="left"/>
          <w:tab w:leader="none" w:pos="1760" w:val="left"/>
          <w:tab w:leader="none" w:pos="25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001-33357</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December 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001-33357</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4.2</w:t>
            </w:r>
          </w:p>
        </w:tc>
        <w:tc>
          <w:tcPr>
            <w:tcW w:w="1540" w:type="dxa"/>
            <w:vAlign w:val="bottom"/>
          </w:tcPr>
          <w:p>
            <w:pPr>
              <w:jc w:val="center"/>
              <w:ind w:left="152"/>
              <w:spacing w:after="0"/>
              <w:rPr>
                <w:sz w:val="20"/>
                <w:szCs w:val="20"/>
                <w:color w:val="auto"/>
              </w:rPr>
            </w:pPr>
            <w:r>
              <w:rPr>
                <w:rFonts w:ascii="Arial" w:cs="Arial" w:eastAsia="Arial" w:hAnsi="Arial"/>
                <w:sz w:val="18"/>
                <w:szCs w:val="18"/>
                <w:color w:val="auto"/>
                <w:w w:val="87"/>
              </w:rPr>
              <w:t>December 7, 2016</w:t>
            </w:r>
          </w:p>
        </w:tc>
      </w:tr>
      <w:tr>
        <w:trPr>
          <w:trHeight w:val="477"/>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001-33357</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1540" w:type="dxa"/>
            <w:vAlign w:val="bottom"/>
          </w:tcPr>
          <w:p>
            <w:pPr>
              <w:jc w:val="center"/>
              <w:ind w:left="152"/>
              <w:spacing w:after="0"/>
              <w:rPr>
                <w:sz w:val="20"/>
                <w:szCs w:val="20"/>
                <w:color w:val="auto"/>
              </w:rPr>
            </w:pPr>
            <w:r>
              <w:rPr>
                <w:rFonts w:ascii="Arial" w:cs="Arial" w:eastAsia="Arial" w:hAnsi="Arial"/>
                <w:sz w:val="18"/>
                <w:szCs w:val="18"/>
                <w:color w:val="auto"/>
                <w:w w:val="87"/>
              </w:rPr>
              <w:t>December 7, 2016</w:t>
            </w:r>
          </w:p>
        </w:tc>
      </w:tr>
      <w:tr>
        <w:trPr>
          <w:trHeight w:val="477"/>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001-33357</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4.2</w:t>
            </w:r>
          </w:p>
        </w:tc>
        <w:tc>
          <w:tcPr>
            <w:tcW w:w="1540" w:type="dxa"/>
            <w:vAlign w:val="bottom"/>
          </w:tcPr>
          <w:p>
            <w:pPr>
              <w:jc w:val="center"/>
              <w:ind w:left="172"/>
              <w:spacing w:after="0"/>
              <w:rPr>
                <w:sz w:val="20"/>
                <w:szCs w:val="20"/>
                <w:color w:val="auto"/>
              </w:rPr>
            </w:pPr>
            <w:r>
              <w:rPr>
                <w:rFonts w:ascii="Arial" w:cs="Arial" w:eastAsia="Arial" w:hAnsi="Arial"/>
                <w:sz w:val="18"/>
                <w:szCs w:val="18"/>
                <w:color w:val="auto"/>
                <w:w w:val="89"/>
              </w:rPr>
              <w:t>July 25,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tabs>
          <w:tab w:leader="none" w:pos="580" w:val="left"/>
          <w:tab w:leader="none" w:pos="1820" w:val="left"/>
          <w:tab w:leader="none" w:pos="25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001-33357</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December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jc w:val="center"/>
              <w:ind w:right="32"/>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4.7</w:t>
            </w:r>
          </w:p>
        </w:tc>
        <w:tc>
          <w:tcPr>
            <w:tcW w:w="1440" w:type="dxa"/>
            <w:vAlign w:val="bottom"/>
          </w:tcPr>
          <w:p>
            <w:pPr>
              <w:jc w:val="center"/>
              <w:ind w:left="152"/>
              <w:spacing w:after="0"/>
              <w:rPr>
                <w:sz w:val="20"/>
                <w:szCs w:val="20"/>
                <w:color w:val="auto"/>
              </w:rPr>
            </w:pPr>
            <w:r>
              <w:rPr>
                <w:rFonts w:ascii="Arial" w:cs="Arial" w:eastAsia="Arial" w:hAnsi="Arial"/>
                <w:sz w:val="18"/>
                <w:szCs w:val="18"/>
                <w:color w:val="auto"/>
                <w:w w:val="89"/>
              </w:rPr>
              <w:t>March 12, 2020</w:t>
            </w:r>
          </w:p>
        </w:tc>
      </w:tr>
      <w:tr>
        <w:trPr>
          <w:trHeight w:val="265"/>
        </w:trPr>
        <w:tc>
          <w:tcPr>
            <w:tcW w:w="4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440" w:type="dxa"/>
            <w:vAlign w:val="bottom"/>
          </w:tcPr>
          <w:p>
            <w:pPr>
              <w:jc w:val="center"/>
              <w:ind w:left="152"/>
              <w:spacing w:after="0"/>
              <w:rPr>
                <w:sz w:val="20"/>
                <w:szCs w:val="20"/>
                <w:color w:val="auto"/>
              </w:rPr>
            </w:pPr>
            <w:r>
              <w:rPr>
                <w:rFonts w:ascii="Arial" w:cs="Arial" w:eastAsia="Arial" w:hAnsi="Arial"/>
                <w:sz w:val="18"/>
                <w:szCs w:val="18"/>
                <w:color w:val="auto"/>
                <w:w w:val="89"/>
              </w:rPr>
              <w:t>March 12, 2020</w:t>
            </w:r>
          </w:p>
        </w:tc>
      </w:tr>
      <w:tr>
        <w:trPr>
          <w:trHeight w:val="265"/>
        </w:trPr>
        <w:tc>
          <w:tcPr>
            <w:tcW w:w="1600" w:type="dxa"/>
            <w:vAlign w:val="bottom"/>
            <w:gridSpan w:val="2"/>
          </w:tcPr>
          <w:p>
            <w:pPr>
              <w:jc w:val="right"/>
              <w:ind w:right="152"/>
              <w:spacing w:after="0"/>
              <w:rPr>
                <w:sz w:val="20"/>
                <w:szCs w:val="20"/>
                <w:color w:val="auto"/>
              </w:rPr>
            </w:pPr>
            <w:r>
              <w:rPr>
                <w:rFonts w:ascii="Arial" w:cs="Arial" w:eastAsia="Arial" w:hAnsi="Arial"/>
                <w:sz w:val="18"/>
                <w:szCs w:val="18"/>
                <w:color w:val="auto"/>
                <w:w w:val="94"/>
              </w:rPr>
              <w:t>10-Q   001-33357</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4.8</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89"/>
              </w:rPr>
              <w:t>August 10, 2020</w:t>
            </w:r>
          </w:p>
        </w:tc>
      </w:tr>
      <w:tr>
        <w:trPr>
          <w:trHeight w:val="265"/>
        </w:trPr>
        <w:tc>
          <w:tcPr>
            <w:tcW w:w="480" w:type="dxa"/>
            <w:vAlign w:val="bottom"/>
          </w:tcPr>
          <w:p>
            <w:pPr>
              <w:jc w:val="center"/>
              <w:ind w:right="32"/>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4.9</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89"/>
              </w:rPr>
              <w:t>August 10, 2020</w:t>
            </w:r>
          </w:p>
        </w:tc>
      </w:tr>
      <w:tr>
        <w:trPr>
          <w:trHeight w:val="265"/>
        </w:trPr>
        <w:tc>
          <w:tcPr>
            <w:tcW w:w="4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89"/>
              </w:rPr>
              <w:t>August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580" w:val="left"/>
          <w:tab w:leader="none" w:pos="1820" w:val="left"/>
          <w:tab w:leader="none" w:pos="25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001-33357</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August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001-33357</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420" w:type="dxa"/>
            <w:vAlign w:val="bottom"/>
          </w:tcPr>
          <w:p>
            <w:pPr>
              <w:ind w:left="240"/>
              <w:spacing w:after="0"/>
              <w:rPr>
                <w:sz w:val="20"/>
                <w:szCs w:val="20"/>
                <w:color w:val="auto"/>
              </w:rPr>
            </w:pPr>
            <w:r>
              <w:rPr>
                <w:rFonts w:ascii="Arial" w:cs="Arial" w:eastAsia="Arial" w:hAnsi="Arial"/>
                <w:sz w:val="18"/>
                <w:szCs w:val="18"/>
                <w:color w:val="auto"/>
                <w:w w:val="88"/>
              </w:rPr>
              <w:t>August 26, 2021</w:t>
            </w:r>
          </w:p>
        </w:tc>
      </w:tr>
      <w:tr>
        <w:trPr>
          <w:trHeight w:val="265"/>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001-33357</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420" w:type="dxa"/>
            <w:vAlign w:val="bottom"/>
          </w:tcPr>
          <w:p>
            <w:pPr>
              <w:ind w:left="240"/>
              <w:spacing w:after="0"/>
              <w:rPr>
                <w:sz w:val="20"/>
                <w:szCs w:val="20"/>
                <w:color w:val="auto"/>
              </w:rPr>
            </w:pPr>
            <w:r>
              <w:rPr>
                <w:rFonts w:ascii="Arial" w:cs="Arial" w:eastAsia="Arial" w:hAnsi="Arial"/>
                <w:sz w:val="18"/>
                <w:szCs w:val="18"/>
                <w:color w:val="auto"/>
                <w:w w:val="88"/>
              </w:rPr>
              <w:t>August 12, 2021</w:t>
            </w:r>
          </w:p>
        </w:tc>
      </w:tr>
      <w:tr>
        <w:trPr>
          <w:trHeight w:val="689"/>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001-33357</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420" w:type="dxa"/>
            <w:vAlign w:val="bottom"/>
          </w:tcPr>
          <w:p>
            <w:pPr>
              <w:ind w:left="240"/>
              <w:spacing w:after="0"/>
              <w:rPr>
                <w:sz w:val="20"/>
                <w:szCs w:val="20"/>
                <w:color w:val="auto"/>
              </w:rPr>
            </w:pPr>
            <w:r>
              <w:rPr>
                <w:rFonts w:ascii="Arial" w:cs="Arial" w:eastAsia="Arial" w:hAnsi="Arial"/>
                <w:sz w:val="18"/>
                <w:szCs w:val="18"/>
                <w:color w:val="auto"/>
                <w:w w:val="88"/>
              </w:rPr>
              <w:t>August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tabs>
          <w:tab w:leader="none" w:pos="580" w:val="left"/>
          <w:tab w:leader="none" w:pos="1780" w:val="left"/>
          <w:tab w:leader="none" w:pos="25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001-33357</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August 26, 2021</w:t>
      </w: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347345</wp:posOffset>
            </wp:positionV>
            <wp:extent cx="629348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2">
            <w:col w:w="4480" w:space="180"/>
            <w:col w:w="4819"/>
          </w:cols>
          <w:pgMar w:left="980" w:top="657"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5580" w:type="dxa"/>
            <w:vAlign w:val="bottom"/>
            <w:gridSpan w:val="11"/>
          </w:tcPr>
          <w:p>
            <w:pPr>
              <w:spacing w:after="0"/>
              <w:rPr>
                <w:sz w:val="17"/>
                <w:szCs w:val="17"/>
                <w:color w:val="auto"/>
              </w:rPr>
            </w:pPr>
          </w:p>
        </w:tc>
        <w:tc>
          <w:tcPr>
            <w:tcW w:w="2480" w:type="dxa"/>
            <w:vAlign w:val="bottom"/>
          </w:tcPr>
          <w:p>
            <w:pPr>
              <w:spacing w:after="0"/>
              <w:rPr>
                <w:sz w:val="17"/>
                <w:szCs w:val="17"/>
                <w:color w:val="auto"/>
              </w:rPr>
            </w:pPr>
          </w:p>
        </w:tc>
      </w:tr>
      <w:tr>
        <w:trPr>
          <w:trHeight w:val="72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598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of Chief Executive Officer pursuant</w:t>
              </w:r>
            </w:hyperlink>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192"/>
        </w:trPr>
        <w:tc>
          <w:tcPr>
            <w:tcW w:w="860" w:type="dxa"/>
            <w:vAlign w:val="bottom"/>
          </w:tcPr>
          <w:p>
            <w:pPr>
              <w:spacing w:after="0"/>
              <w:rPr>
                <w:sz w:val="16"/>
                <w:szCs w:val="16"/>
                <w:color w:val="auto"/>
              </w:rPr>
            </w:pPr>
          </w:p>
        </w:tc>
        <w:tc>
          <w:tcPr>
            <w:tcW w:w="3460" w:type="dxa"/>
            <w:vAlign w:val="bottom"/>
            <w:tcBorders>
              <w:top w:val="single" w:sz="8" w:color="0000EE"/>
            </w:tcBorders>
            <w:gridSpan w:val="9"/>
          </w:tcPr>
          <w:p>
            <w:pPr>
              <w:spacing w:after="0" w:line="192"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to Rule 13a-14(a) as adopted pursuant to Section</w:t>
              </w:r>
            </w:hyperlink>
          </w:p>
        </w:tc>
        <w:tc>
          <w:tcPr>
            <w:tcW w:w="2520" w:type="dxa"/>
            <w:vAlign w:val="bottom"/>
            <w:gridSpan w:val="3"/>
          </w:tcPr>
          <w:p>
            <w:pPr>
              <w:spacing w:after="0"/>
              <w:rPr>
                <w:sz w:val="16"/>
                <w:szCs w:val="16"/>
                <w:color w:val="auto"/>
              </w:rPr>
            </w:pPr>
          </w:p>
        </w:tc>
        <w:tc>
          <w:tcPr>
            <w:tcW w:w="2480" w:type="dxa"/>
            <w:vAlign w:val="bottom"/>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278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302 of the Sarbanes-Oxley Act of 2002</w:t>
              </w:r>
            </w:hyperlink>
          </w:p>
        </w:tc>
        <w:tc>
          <w:tcPr>
            <w:tcW w:w="660" w:type="dxa"/>
            <w:vAlign w:val="bottom"/>
            <w:tcBorders>
              <w:top w:val="single" w:sz="8" w:color="0000EE"/>
            </w:tcBorders>
            <w:gridSpan w:val="4"/>
          </w:tcPr>
          <w:p>
            <w:pPr>
              <w:spacing w:after="0"/>
              <w:rPr>
                <w:sz w:val="16"/>
                <w:szCs w:val="16"/>
                <w:color w:val="auto"/>
              </w:rPr>
            </w:pPr>
          </w:p>
        </w:tc>
        <w:tc>
          <w:tcPr>
            <w:tcW w:w="2540" w:type="dxa"/>
            <w:vAlign w:val="bottom"/>
            <w:gridSpan w:val="4"/>
          </w:tcPr>
          <w:p>
            <w:pPr>
              <w:spacing w:after="0"/>
              <w:rPr>
                <w:sz w:val="16"/>
                <w:szCs w:val="16"/>
                <w:color w:val="auto"/>
              </w:rPr>
            </w:pPr>
          </w:p>
        </w:tc>
        <w:tc>
          <w:tcPr>
            <w:tcW w:w="2480" w:type="dxa"/>
            <w:vAlign w:val="bottom"/>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598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Certification of Chief Financial Officer pursuant to</w:t>
              </w:r>
            </w:hyperlink>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192"/>
        </w:trPr>
        <w:tc>
          <w:tcPr>
            <w:tcW w:w="860" w:type="dxa"/>
            <w:vAlign w:val="bottom"/>
          </w:tcPr>
          <w:p>
            <w:pPr>
              <w:spacing w:after="0"/>
              <w:rPr>
                <w:sz w:val="16"/>
                <w:szCs w:val="16"/>
                <w:color w:val="auto"/>
              </w:rPr>
            </w:pPr>
          </w:p>
        </w:tc>
        <w:tc>
          <w:tcPr>
            <w:tcW w:w="3580" w:type="dxa"/>
            <w:vAlign w:val="bottom"/>
            <w:tcBorders>
              <w:top w:val="single" w:sz="8" w:color="0000EE"/>
              <w:bottom w:val="single" w:sz="8" w:color="0000EE"/>
            </w:tcBorders>
            <w:gridSpan w:val="10"/>
          </w:tcPr>
          <w:p>
            <w:pPr>
              <w:spacing w:after="0" w:line="192"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Rule 13a-14(a) as adopted pursuant to Section 302</w:t>
              </w:r>
            </w:hyperlink>
          </w:p>
        </w:tc>
        <w:tc>
          <w:tcPr>
            <w:tcW w:w="20" w:type="dxa"/>
            <w:vAlign w:val="bottom"/>
            <w:tcBorders>
              <w:top w:val="single" w:sz="8" w:color="0000EE"/>
            </w:tcBorders>
          </w:tcPr>
          <w:p>
            <w:pPr>
              <w:spacing w:after="0"/>
              <w:rPr>
                <w:sz w:val="16"/>
                <w:szCs w:val="16"/>
                <w:color w:val="auto"/>
              </w:rPr>
            </w:pPr>
          </w:p>
        </w:tc>
        <w:tc>
          <w:tcPr>
            <w:tcW w:w="238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5980" w:type="dxa"/>
            <w:vAlign w:val="bottom"/>
            <w:gridSpan w:val="12"/>
          </w:tcPr>
          <w:p>
            <w:pPr>
              <w:spacing w:after="0" w:line="192" w:lineRule="exact"/>
              <w:rPr>
                <w:rFonts w:ascii="Arial" w:cs="Arial" w:eastAsia="Arial" w:hAnsi="Arial"/>
                <w:sz w:val="18"/>
                <w:szCs w:val="18"/>
                <w:color w:val="0000EE"/>
              </w:rPr>
            </w:pPr>
            <w:hyperlink w:anchor="page36">
              <w:r>
                <w:rPr>
                  <w:rFonts w:ascii="Arial" w:cs="Arial" w:eastAsia="Arial" w:hAnsi="Arial"/>
                  <w:sz w:val="18"/>
                  <w:szCs w:val="18"/>
                  <w:color w:val="0000EE"/>
                </w:rPr>
                <w:t>of the Sarbanes-Oxley Act of 2002</w:t>
              </w:r>
            </w:hyperlink>
          </w:p>
        </w:tc>
        <w:tc>
          <w:tcPr>
            <w:tcW w:w="248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33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18 U.S.C. Section 1350, as adopted pursuant to</w:t>
              </w:r>
            </w:hyperlink>
          </w:p>
        </w:tc>
        <w:tc>
          <w:tcPr>
            <w:tcW w:w="2640" w:type="dxa"/>
            <w:vAlign w:val="bottom"/>
            <w:gridSpan w:val="6"/>
          </w:tcPr>
          <w:p>
            <w:pPr>
              <w:spacing w:after="0"/>
              <w:rPr>
                <w:sz w:val="21"/>
                <w:szCs w:val="21"/>
                <w:color w:val="auto"/>
              </w:rPr>
            </w:pPr>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192"/>
        </w:trPr>
        <w:tc>
          <w:tcPr>
            <w:tcW w:w="860" w:type="dxa"/>
            <w:vAlign w:val="bottom"/>
          </w:tcPr>
          <w:p>
            <w:pPr>
              <w:spacing w:after="0"/>
              <w:rPr>
                <w:sz w:val="16"/>
                <w:szCs w:val="16"/>
                <w:color w:val="auto"/>
              </w:rPr>
            </w:pPr>
          </w:p>
        </w:tc>
        <w:tc>
          <w:tcPr>
            <w:tcW w:w="3400" w:type="dxa"/>
            <w:vAlign w:val="bottom"/>
            <w:tcBorders>
              <w:bottom w:val="single" w:sz="8" w:color="0000EE"/>
            </w:tcBorders>
            <w:gridSpan w:val="7"/>
          </w:tcPr>
          <w:p>
            <w:pPr>
              <w:spacing w:after="0" w:line="192"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Section 906 of the Sarbanes-Oxley Act of 2002,</w:t>
              </w:r>
            </w:hyperlink>
          </w:p>
        </w:tc>
        <w:tc>
          <w:tcPr>
            <w:tcW w:w="2580" w:type="dxa"/>
            <w:vAlign w:val="bottom"/>
            <w:gridSpan w:val="5"/>
          </w:tcPr>
          <w:p>
            <w:pPr>
              <w:spacing w:after="0"/>
              <w:rPr>
                <w:sz w:val="16"/>
                <w:szCs w:val="16"/>
                <w:color w:val="auto"/>
              </w:rPr>
            </w:pPr>
          </w:p>
        </w:tc>
        <w:tc>
          <w:tcPr>
            <w:tcW w:w="2480" w:type="dxa"/>
            <w:vAlign w:val="bottom"/>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2820" w:type="dxa"/>
            <w:vAlign w:val="bottom"/>
            <w:tcBorders>
              <w:bottom w:val="single" w:sz="8" w:color="0000EE"/>
            </w:tcBorders>
            <w:gridSpan w:val="5"/>
          </w:tcPr>
          <w:p>
            <w:pPr>
              <w:spacing w:after="0" w:line="192"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Executive Officer</w:t>
              </w:r>
            </w:hyperlink>
          </w:p>
        </w:tc>
        <w:tc>
          <w:tcPr>
            <w:tcW w:w="3160" w:type="dxa"/>
            <w:vAlign w:val="bottom"/>
            <w:gridSpan w:val="7"/>
          </w:tcPr>
          <w:p>
            <w:pPr>
              <w:spacing w:after="0"/>
              <w:rPr>
                <w:sz w:val="16"/>
                <w:szCs w:val="16"/>
                <w:color w:val="auto"/>
              </w:rPr>
            </w:pPr>
          </w:p>
        </w:tc>
        <w:tc>
          <w:tcPr>
            <w:tcW w:w="2480" w:type="dxa"/>
            <w:vAlign w:val="bottom"/>
          </w:tcPr>
          <w:p>
            <w:pPr>
              <w:spacing w:after="0"/>
              <w:rPr>
                <w:sz w:val="16"/>
                <w:szCs w:val="16"/>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33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18 U.S.C. Section 1350, as adopted pursuant to</w:t>
              </w:r>
            </w:hyperlink>
          </w:p>
        </w:tc>
        <w:tc>
          <w:tcPr>
            <w:tcW w:w="2640" w:type="dxa"/>
            <w:vAlign w:val="bottom"/>
            <w:gridSpan w:val="6"/>
          </w:tcPr>
          <w:p>
            <w:pPr>
              <w:spacing w:after="0"/>
              <w:rPr>
                <w:sz w:val="21"/>
                <w:szCs w:val="21"/>
                <w:color w:val="auto"/>
              </w:rPr>
            </w:pPr>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192"/>
        </w:trPr>
        <w:tc>
          <w:tcPr>
            <w:tcW w:w="860" w:type="dxa"/>
            <w:vAlign w:val="bottom"/>
          </w:tcPr>
          <w:p>
            <w:pPr>
              <w:spacing w:after="0"/>
              <w:rPr>
                <w:sz w:val="16"/>
                <w:szCs w:val="16"/>
                <w:color w:val="auto"/>
              </w:rPr>
            </w:pPr>
          </w:p>
        </w:tc>
        <w:tc>
          <w:tcPr>
            <w:tcW w:w="3400" w:type="dxa"/>
            <w:vAlign w:val="bottom"/>
            <w:tcBorders>
              <w:bottom w:val="single" w:sz="8" w:color="0000EE"/>
            </w:tcBorders>
            <w:gridSpan w:val="7"/>
          </w:tcPr>
          <w:p>
            <w:pPr>
              <w:spacing w:after="0" w:line="192"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Section 906 of the Sarbanes-Oxley Act of 2002,</w:t>
              </w:r>
            </w:hyperlink>
          </w:p>
        </w:tc>
        <w:tc>
          <w:tcPr>
            <w:tcW w:w="2580" w:type="dxa"/>
            <w:vAlign w:val="bottom"/>
            <w:gridSpan w:val="5"/>
          </w:tcPr>
          <w:p>
            <w:pPr>
              <w:spacing w:after="0"/>
              <w:rPr>
                <w:sz w:val="16"/>
                <w:szCs w:val="16"/>
                <w:color w:val="auto"/>
              </w:rPr>
            </w:pPr>
          </w:p>
        </w:tc>
        <w:tc>
          <w:tcPr>
            <w:tcW w:w="2480" w:type="dxa"/>
            <w:vAlign w:val="bottom"/>
          </w:tcPr>
          <w:p>
            <w:pPr>
              <w:spacing w:after="0"/>
              <w:rPr>
                <w:sz w:val="16"/>
                <w:szCs w:val="16"/>
                <w:color w:val="auto"/>
              </w:rPr>
            </w:pPr>
          </w:p>
        </w:tc>
      </w:tr>
      <w:tr>
        <w:trPr>
          <w:trHeight w:val="192"/>
        </w:trPr>
        <w:tc>
          <w:tcPr>
            <w:tcW w:w="860" w:type="dxa"/>
            <w:vAlign w:val="bottom"/>
          </w:tcPr>
          <w:p>
            <w:pPr>
              <w:spacing w:after="0"/>
              <w:rPr>
                <w:sz w:val="16"/>
                <w:szCs w:val="16"/>
                <w:color w:val="auto"/>
              </w:rPr>
            </w:pPr>
          </w:p>
        </w:tc>
        <w:tc>
          <w:tcPr>
            <w:tcW w:w="5980" w:type="dxa"/>
            <w:vAlign w:val="bottom"/>
            <w:gridSpan w:val="12"/>
          </w:tcPr>
          <w:p>
            <w:pPr>
              <w:spacing w:after="0" w:line="192" w:lineRule="exact"/>
              <w:rPr>
                <w:rFonts w:ascii="Arial" w:cs="Arial" w:eastAsia="Arial" w:hAnsi="Arial"/>
                <w:sz w:val="18"/>
                <w:szCs w:val="18"/>
                <w:color w:val="0000EE"/>
              </w:rPr>
            </w:pPr>
            <w:hyperlink w:anchor="page38">
              <w:r>
                <w:rPr>
                  <w:rFonts w:ascii="Arial" w:cs="Arial" w:eastAsia="Arial" w:hAnsi="Arial"/>
                  <w:sz w:val="18"/>
                  <w:szCs w:val="18"/>
                  <w:color w:val="0000EE"/>
                </w:rPr>
                <w:t>Certification of Chief Financial Officer</w:t>
              </w:r>
            </w:hyperlink>
          </w:p>
        </w:tc>
        <w:tc>
          <w:tcPr>
            <w:tcW w:w="248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7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5980" w:type="dxa"/>
            <w:vAlign w:val="bottom"/>
            <w:gridSpan w:val="12"/>
          </w:tcPr>
          <w:p>
            <w:pPr>
              <w:spacing w:after="0"/>
              <w:rPr>
                <w:sz w:val="20"/>
                <w:szCs w:val="20"/>
                <w:color w:val="auto"/>
              </w:rPr>
            </w:pPr>
            <w:r>
              <w:rPr>
                <w:rFonts w:ascii="Arial" w:cs="Arial" w:eastAsia="Arial" w:hAnsi="Arial"/>
                <w:sz w:val="18"/>
                <w:szCs w:val="18"/>
                <w:color w:val="auto"/>
              </w:rPr>
              <w:t xml:space="preserve">XBRL Instance Document - </w:t>
            </w:r>
            <w:r>
              <w:rPr>
                <w:rFonts w:ascii="Arial" w:cs="Arial" w:eastAsia="Arial" w:hAnsi="Arial"/>
                <w:sz w:val="18"/>
                <w:szCs w:val="18"/>
                <w:color w:val="333333"/>
              </w:rPr>
              <w:t>the instance document</w:t>
            </w:r>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212"/>
        </w:trPr>
        <w:tc>
          <w:tcPr>
            <w:tcW w:w="860" w:type="dxa"/>
            <w:vAlign w:val="bottom"/>
          </w:tcPr>
          <w:p>
            <w:pPr>
              <w:spacing w:after="0"/>
              <w:rPr>
                <w:sz w:val="18"/>
                <w:szCs w:val="18"/>
                <w:color w:val="auto"/>
              </w:rPr>
            </w:pPr>
          </w:p>
        </w:tc>
        <w:tc>
          <w:tcPr>
            <w:tcW w:w="5980" w:type="dxa"/>
            <w:vAlign w:val="bottom"/>
            <w:gridSpan w:val="12"/>
          </w:tcPr>
          <w:p>
            <w:pPr>
              <w:spacing w:after="0"/>
              <w:rPr>
                <w:sz w:val="20"/>
                <w:szCs w:val="20"/>
                <w:color w:val="auto"/>
              </w:rPr>
            </w:pPr>
            <w:r>
              <w:rPr>
                <w:rFonts w:ascii="Arial" w:cs="Arial" w:eastAsia="Arial" w:hAnsi="Arial"/>
                <w:sz w:val="18"/>
                <w:szCs w:val="18"/>
                <w:color w:val="333333"/>
              </w:rPr>
              <w:t>does not appear in the Interactive Data File</w:t>
            </w:r>
          </w:p>
        </w:tc>
        <w:tc>
          <w:tcPr>
            <w:tcW w:w="2480" w:type="dxa"/>
            <w:vAlign w:val="bottom"/>
          </w:tcPr>
          <w:p>
            <w:pPr>
              <w:spacing w:after="0"/>
              <w:rPr>
                <w:sz w:val="18"/>
                <w:szCs w:val="18"/>
                <w:color w:val="auto"/>
              </w:rPr>
            </w:pPr>
          </w:p>
        </w:tc>
      </w:tr>
      <w:tr>
        <w:trPr>
          <w:trHeight w:val="212"/>
        </w:trPr>
        <w:tc>
          <w:tcPr>
            <w:tcW w:w="860" w:type="dxa"/>
            <w:vAlign w:val="bottom"/>
          </w:tcPr>
          <w:p>
            <w:pPr>
              <w:spacing w:after="0"/>
              <w:rPr>
                <w:sz w:val="18"/>
                <w:szCs w:val="18"/>
                <w:color w:val="auto"/>
              </w:rPr>
            </w:pPr>
          </w:p>
        </w:tc>
        <w:tc>
          <w:tcPr>
            <w:tcW w:w="5980" w:type="dxa"/>
            <w:vAlign w:val="bottom"/>
            <w:gridSpan w:val="12"/>
          </w:tcPr>
          <w:p>
            <w:pPr>
              <w:spacing w:after="0"/>
              <w:rPr>
                <w:sz w:val="20"/>
                <w:szCs w:val="20"/>
                <w:color w:val="auto"/>
              </w:rPr>
            </w:pPr>
            <w:r>
              <w:rPr>
                <w:rFonts w:ascii="Arial" w:cs="Arial" w:eastAsia="Arial" w:hAnsi="Arial"/>
                <w:sz w:val="18"/>
                <w:szCs w:val="18"/>
                <w:color w:val="333333"/>
              </w:rPr>
              <w:t>because its XBRL tags are embedded within the</w:t>
            </w:r>
          </w:p>
        </w:tc>
        <w:tc>
          <w:tcPr>
            <w:tcW w:w="2480" w:type="dxa"/>
            <w:vAlign w:val="bottom"/>
          </w:tcPr>
          <w:p>
            <w:pPr>
              <w:spacing w:after="0"/>
              <w:rPr>
                <w:sz w:val="18"/>
                <w:szCs w:val="18"/>
                <w:color w:val="auto"/>
              </w:rPr>
            </w:pPr>
          </w:p>
        </w:tc>
      </w:tr>
      <w:tr>
        <w:trPr>
          <w:trHeight w:val="223"/>
        </w:trPr>
        <w:tc>
          <w:tcPr>
            <w:tcW w:w="860" w:type="dxa"/>
            <w:vAlign w:val="bottom"/>
          </w:tcPr>
          <w:p>
            <w:pPr>
              <w:spacing w:after="0"/>
              <w:rPr>
                <w:sz w:val="19"/>
                <w:szCs w:val="19"/>
                <w:color w:val="auto"/>
              </w:rPr>
            </w:pPr>
          </w:p>
        </w:tc>
        <w:tc>
          <w:tcPr>
            <w:tcW w:w="5980" w:type="dxa"/>
            <w:vAlign w:val="bottom"/>
            <w:gridSpan w:val="12"/>
          </w:tcPr>
          <w:p>
            <w:pPr>
              <w:spacing w:after="0"/>
              <w:rPr>
                <w:sz w:val="20"/>
                <w:szCs w:val="20"/>
                <w:color w:val="auto"/>
              </w:rPr>
            </w:pPr>
            <w:r>
              <w:rPr>
                <w:rFonts w:ascii="Arial" w:cs="Arial" w:eastAsia="Arial" w:hAnsi="Arial"/>
                <w:sz w:val="18"/>
                <w:szCs w:val="18"/>
                <w:color w:val="333333"/>
              </w:rPr>
              <w:t>Inline XBRL document</w:t>
            </w:r>
          </w:p>
        </w:tc>
        <w:tc>
          <w:tcPr>
            <w:tcW w:w="2480" w:type="dxa"/>
            <w:vAlign w:val="bottom"/>
          </w:tcPr>
          <w:p>
            <w:pPr>
              <w:spacing w:after="0"/>
              <w:rPr>
                <w:sz w:val="19"/>
                <w:szCs w:val="19"/>
                <w:color w:val="auto"/>
              </w:rPr>
            </w:pPr>
          </w:p>
        </w:tc>
      </w:tr>
      <w:tr>
        <w:trPr>
          <w:trHeight w:val="25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59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w:t>
            </w:r>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223"/>
        </w:trPr>
        <w:tc>
          <w:tcPr>
            <w:tcW w:w="860" w:type="dxa"/>
            <w:vAlign w:val="bottom"/>
          </w:tcPr>
          <w:p>
            <w:pPr>
              <w:spacing w:after="0"/>
              <w:rPr>
                <w:sz w:val="19"/>
                <w:szCs w:val="19"/>
                <w:color w:val="auto"/>
              </w:rPr>
            </w:pPr>
          </w:p>
        </w:tc>
        <w:tc>
          <w:tcPr>
            <w:tcW w:w="59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2480" w:type="dxa"/>
            <w:vAlign w:val="bottom"/>
          </w:tcPr>
          <w:p>
            <w:pPr>
              <w:spacing w:after="0"/>
              <w:rPr>
                <w:sz w:val="19"/>
                <w:szCs w:val="19"/>
                <w:color w:val="auto"/>
              </w:rPr>
            </w:pPr>
          </w:p>
        </w:tc>
      </w:tr>
      <w:tr>
        <w:trPr>
          <w:trHeight w:val="25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59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w:t>
            </w:r>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223"/>
        </w:trPr>
        <w:tc>
          <w:tcPr>
            <w:tcW w:w="860" w:type="dxa"/>
            <w:vAlign w:val="bottom"/>
          </w:tcPr>
          <w:p>
            <w:pPr>
              <w:spacing w:after="0"/>
              <w:rPr>
                <w:sz w:val="19"/>
                <w:szCs w:val="19"/>
                <w:color w:val="auto"/>
              </w:rPr>
            </w:pPr>
          </w:p>
        </w:tc>
        <w:tc>
          <w:tcPr>
            <w:tcW w:w="598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2480" w:type="dxa"/>
            <w:vAlign w:val="bottom"/>
          </w:tcPr>
          <w:p>
            <w:pPr>
              <w:spacing w:after="0"/>
              <w:rPr>
                <w:sz w:val="19"/>
                <w:szCs w:val="19"/>
                <w:color w:val="auto"/>
              </w:rPr>
            </w:pPr>
          </w:p>
        </w:tc>
      </w:tr>
      <w:tr>
        <w:trPr>
          <w:trHeight w:val="25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59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w:t>
            </w:r>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223"/>
        </w:trPr>
        <w:tc>
          <w:tcPr>
            <w:tcW w:w="860" w:type="dxa"/>
            <w:vAlign w:val="bottom"/>
          </w:tcPr>
          <w:p>
            <w:pPr>
              <w:spacing w:after="0"/>
              <w:rPr>
                <w:sz w:val="19"/>
                <w:szCs w:val="19"/>
                <w:color w:val="auto"/>
              </w:rPr>
            </w:pPr>
          </w:p>
        </w:tc>
        <w:tc>
          <w:tcPr>
            <w:tcW w:w="598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2480" w:type="dxa"/>
            <w:vAlign w:val="bottom"/>
          </w:tcPr>
          <w:p>
            <w:pPr>
              <w:spacing w:after="0"/>
              <w:rPr>
                <w:sz w:val="19"/>
                <w:szCs w:val="19"/>
                <w:color w:val="auto"/>
              </w:rPr>
            </w:pPr>
          </w:p>
        </w:tc>
      </w:tr>
      <w:tr>
        <w:trPr>
          <w:trHeight w:val="25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59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Labels</w:t>
            </w:r>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223"/>
        </w:trPr>
        <w:tc>
          <w:tcPr>
            <w:tcW w:w="860" w:type="dxa"/>
            <w:vAlign w:val="bottom"/>
          </w:tcPr>
          <w:p>
            <w:pPr>
              <w:spacing w:after="0"/>
              <w:rPr>
                <w:sz w:val="19"/>
                <w:szCs w:val="19"/>
                <w:color w:val="auto"/>
              </w:rPr>
            </w:pPr>
          </w:p>
        </w:tc>
        <w:tc>
          <w:tcPr>
            <w:tcW w:w="598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2480" w:type="dxa"/>
            <w:vAlign w:val="bottom"/>
          </w:tcPr>
          <w:p>
            <w:pPr>
              <w:spacing w:after="0"/>
              <w:rPr>
                <w:sz w:val="19"/>
                <w:szCs w:val="19"/>
                <w:color w:val="auto"/>
              </w:rPr>
            </w:pPr>
          </w:p>
        </w:tc>
      </w:tr>
      <w:tr>
        <w:trPr>
          <w:trHeight w:val="25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59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w:t>
            </w:r>
          </w:p>
        </w:tc>
        <w:tc>
          <w:tcPr>
            <w:tcW w:w="2480" w:type="dxa"/>
            <w:vAlign w:val="bottom"/>
          </w:tcPr>
          <w:p>
            <w:pPr>
              <w:ind w:left="2360"/>
              <w:spacing w:after="0"/>
              <w:rPr>
                <w:sz w:val="20"/>
                <w:szCs w:val="20"/>
                <w:color w:val="auto"/>
              </w:rPr>
            </w:pPr>
            <w:r>
              <w:rPr>
                <w:rFonts w:ascii="Arial" w:cs="Arial" w:eastAsia="Arial" w:hAnsi="Arial"/>
                <w:sz w:val="18"/>
                <w:szCs w:val="18"/>
                <w:color w:val="auto"/>
                <w:w w:val="82"/>
              </w:rPr>
              <w:t>X</w:t>
            </w:r>
          </w:p>
        </w:tc>
      </w:tr>
      <w:tr>
        <w:trPr>
          <w:trHeight w:val="223"/>
        </w:trPr>
        <w:tc>
          <w:tcPr>
            <w:tcW w:w="860" w:type="dxa"/>
            <w:vAlign w:val="bottom"/>
          </w:tcPr>
          <w:p>
            <w:pPr>
              <w:spacing w:after="0"/>
              <w:rPr>
                <w:sz w:val="19"/>
                <w:szCs w:val="19"/>
                <w:color w:val="auto"/>
              </w:rPr>
            </w:pPr>
          </w:p>
        </w:tc>
        <w:tc>
          <w:tcPr>
            <w:tcW w:w="598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2480" w:type="dxa"/>
            <w:vAlign w:val="bottom"/>
          </w:tcPr>
          <w:p>
            <w:pPr>
              <w:spacing w:after="0"/>
              <w:rPr>
                <w:sz w:val="19"/>
                <w:szCs w:val="19"/>
                <w:color w:val="auto"/>
              </w:rPr>
            </w:pPr>
          </w:p>
        </w:tc>
      </w:tr>
    </w:tbl>
    <w:p>
      <w:pPr>
        <w:spacing w:after="0" w:line="81" w:lineRule="exact"/>
        <w:rPr>
          <w:sz w:val="20"/>
          <w:szCs w:val="20"/>
          <w:color w:val="auto"/>
        </w:rPr>
      </w:pPr>
    </w:p>
    <w:p>
      <w:pPr>
        <w:ind w:left="860" w:right="5399" w:hanging="852"/>
        <w:spacing w:after="0" w:line="255"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4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Management contracts or compensation plans or arrangements in which directors or executive officers are eligible to participate.</w:t>
      </w:r>
    </w:p>
    <w:p>
      <w:pPr>
        <w:spacing w:after="0" w:line="331" w:lineRule="exact"/>
        <w:rPr>
          <w:rFonts w:ascii="Arial" w:cs="Arial" w:eastAsia="Arial" w:hAnsi="Arial"/>
          <w:sz w:val="15"/>
          <w:szCs w:val="15"/>
          <w:color w:val="auto"/>
        </w:rPr>
      </w:pPr>
    </w:p>
    <w:p>
      <w:pPr>
        <w:ind w:left="4880"/>
        <w:spacing w:after="0"/>
        <w:rPr>
          <w:rFonts w:ascii="Arial" w:cs="Arial" w:eastAsia="Arial" w:hAnsi="Arial"/>
          <w:sz w:val="15"/>
          <w:szCs w:val="15"/>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479"/>
          </w:cols>
          <w:pgMar w:left="980" w:top="635" w:right="144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83" w:lineRule="exact"/>
        <w:rPr>
          <w:sz w:val="20"/>
          <w:szCs w:val="20"/>
          <w:color w:val="auto"/>
        </w:rPr>
      </w:pPr>
    </w:p>
    <w:p>
      <w:pPr>
        <w:ind w:right="200" w:firstLine="45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PROTALIX BIOTHERAPEUTICS, INC.</w:t>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(Registrant)</w:t>
      </w:r>
    </w:p>
    <w:p>
      <w:pPr>
        <w:spacing w:after="0" w:line="272"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5"/>
          <w:szCs w:val="15"/>
          <w:color w:val="auto"/>
        </w:rPr>
        <w:t>By: /s/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53340</wp:posOffset>
            </wp:positionV>
            <wp:extent cx="30035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6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Dror Bashan</w:t>
      </w:r>
    </w:p>
    <w:p>
      <w:pPr>
        <w:spacing w:after="0" w:line="1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Executive Officer)</w:t>
      </w:r>
    </w:p>
    <w:p>
      <w:pPr>
        <w:spacing w:after="0" w:line="298"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5"/>
          <w:szCs w:val="15"/>
          <w:color w:val="auto"/>
        </w:rPr>
        <w:t>By: /s/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27940</wp:posOffset>
            </wp:positionV>
            <wp:extent cx="30035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Eyal Rubin</w:t>
      </w:r>
    </w:p>
    <w:p>
      <w:pPr>
        <w:spacing w:after="0" w:line="16"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Senior Vice President and Chief Financial Officer, Treasurer and</w:t>
      </w:r>
    </w:p>
    <w:p>
      <w:pPr>
        <w:spacing w:after="0" w:line="4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Secretary</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29348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760"/>
          </w:cols>
          <w:pgMar w:left="980" w:top="657" w:right="11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Dror Bashan, certify that:</w:t>
      </w:r>
    </w:p>
    <w:p>
      <w:pPr>
        <w:spacing w:after="0" w:line="177" w:lineRule="exact"/>
        <w:rPr>
          <w:sz w:val="20"/>
          <w:szCs w:val="20"/>
          <w:color w:val="auto"/>
        </w:rPr>
      </w:pPr>
    </w:p>
    <w:p>
      <w:pPr>
        <w:ind w:left="500" w:hanging="493"/>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77" w:lineRule="exact"/>
        <w:rPr>
          <w:rFonts w:ascii="Arial" w:cs="Arial" w:eastAsia="Arial" w:hAnsi="Arial"/>
          <w:sz w:val="18"/>
          <w:szCs w:val="18"/>
          <w:color w:val="auto"/>
        </w:rPr>
      </w:pPr>
    </w:p>
    <w:p>
      <w:pPr>
        <w:ind w:left="440" w:right="20" w:hanging="434"/>
        <w:spacing w:after="0" w:line="255" w:lineRule="auto"/>
        <w:tabs>
          <w:tab w:leader="none" w:pos="4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440" w:right="140" w:hanging="434"/>
        <w:spacing w:after="0" w:line="255" w:lineRule="auto"/>
        <w:tabs>
          <w:tab w:leader="none" w:pos="4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ind w:left="440" w:right="100" w:hanging="434"/>
        <w:spacing w:after="0" w:line="255" w:lineRule="auto"/>
        <w:tabs>
          <w:tab w:leader="none" w:pos="4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ind w:left="1280" w:hanging="637"/>
        <w:spacing w:after="0" w:line="330" w:lineRule="auto"/>
        <w:tabs>
          <w:tab w:leader="none" w:pos="1282" w:val="left"/>
        </w:tabs>
        <w:numPr>
          <w:ilvl w:val="2"/>
          <w:numId w:val="1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5"/>
          <w:szCs w:val="15"/>
          <w:color w:val="auto"/>
        </w:rPr>
      </w:pPr>
    </w:p>
    <w:p>
      <w:pPr>
        <w:ind w:left="1280" w:right="280" w:hanging="637"/>
        <w:spacing w:after="0" w:line="330" w:lineRule="auto"/>
        <w:tabs>
          <w:tab w:leader="none" w:pos="1291" w:val="left"/>
        </w:tabs>
        <w:numPr>
          <w:ilvl w:val="2"/>
          <w:numId w:val="1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5"/>
          <w:szCs w:val="15"/>
          <w:color w:val="auto"/>
        </w:rPr>
      </w:pPr>
    </w:p>
    <w:p>
      <w:pPr>
        <w:ind w:left="1280" w:right="160" w:hanging="637"/>
        <w:spacing w:after="0" w:line="255" w:lineRule="auto"/>
        <w:tabs>
          <w:tab w:leader="none" w:pos="1282" w:val="left"/>
        </w:tabs>
        <w:numPr>
          <w:ilvl w:val="2"/>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ind w:left="1280" w:right="260" w:hanging="637"/>
        <w:spacing w:after="0" w:line="252" w:lineRule="auto"/>
        <w:tabs>
          <w:tab w:leader="none" w:pos="1291"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8"/>
          <w:szCs w:val="18"/>
          <w:color w:val="auto"/>
        </w:rPr>
      </w:pPr>
    </w:p>
    <w:p>
      <w:pPr>
        <w:ind w:left="440" w:right="220" w:hanging="434"/>
        <w:spacing w:after="0" w:line="255" w:lineRule="auto"/>
        <w:tabs>
          <w:tab w:leader="none" w:pos="4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8"/>
          <w:szCs w:val="18"/>
          <w:color w:val="auto"/>
        </w:rPr>
      </w:pPr>
    </w:p>
    <w:p>
      <w:pPr>
        <w:ind w:left="880" w:right="480" w:hanging="441"/>
        <w:spacing w:after="0" w:line="255" w:lineRule="auto"/>
        <w:tabs>
          <w:tab w:leader="none" w:pos="88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880" w:hanging="441"/>
        <w:spacing w:after="0" w:line="264" w:lineRule="auto"/>
        <w:tabs>
          <w:tab w:leader="none" w:pos="8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31127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Dror Bashan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629348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Eyal Rubin, certify that:</w:t>
      </w:r>
    </w:p>
    <w:p>
      <w:pPr>
        <w:spacing w:after="0" w:line="177" w:lineRule="exact"/>
        <w:rPr>
          <w:sz w:val="20"/>
          <w:szCs w:val="20"/>
          <w:color w:val="auto"/>
        </w:rPr>
      </w:pPr>
    </w:p>
    <w:p>
      <w:pPr>
        <w:ind w:left="500" w:hanging="493"/>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77" w:lineRule="exact"/>
        <w:rPr>
          <w:rFonts w:ascii="Arial" w:cs="Arial" w:eastAsia="Arial" w:hAnsi="Arial"/>
          <w:sz w:val="18"/>
          <w:szCs w:val="18"/>
          <w:color w:val="auto"/>
        </w:rPr>
      </w:pPr>
    </w:p>
    <w:p>
      <w:pPr>
        <w:ind w:left="440" w:right="20" w:hanging="434"/>
        <w:spacing w:after="0" w:line="255" w:lineRule="auto"/>
        <w:tabs>
          <w:tab w:leader="none" w:pos="4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440" w:right="140" w:hanging="434"/>
        <w:spacing w:after="0" w:line="255" w:lineRule="auto"/>
        <w:tabs>
          <w:tab w:leader="none" w:pos="4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ind w:left="440" w:right="100" w:hanging="434"/>
        <w:spacing w:after="0" w:line="255" w:lineRule="auto"/>
        <w:tabs>
          <w:tab w:leader="none" w:pos="4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ind w:left="1280" w:hanging="637"/>
        <w:spacing w:after="0" w:line="330" w:lineRule="auto"/>
        <w:tabs>
          <w:tab w:leader="none" w:pos="1282" w:val="left"/>
        </w:tabs>
        <w:numPr>
          <w:ilvl w:val="2"/>
          <w:numId w:val="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5"/>
          <w:szCs w:val="15"/>
          <w:color w:val="auto"/>
        </w:rPr>
      </w:pPr>
    </w:p>
    <w:p>
      <w:pPr>
        <w:ind w:left="1280" w:right="280" w:hanging="637"/>
        <w:spacing w:after="0" w:line="330" w:lineRule="auto"/>
        <w:tabs>
          <w:tab w:leader="none" w:pos="1291" w:val="left"/>
        </w:tabs>
        <w:numPr>
          <w:ilvl w:val="2"/>
          <w:numId w:val="1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5"/>
          <w:szCs w:val="15"/>
          <w:color w:val="auto"/>
        </w:rPr>
      </w:pPr>
    </w:p>
    <w:p>
      <w:pPr>
        <w:ind w:left="1280" w:right="160" w:hanging="637"/>
        <w:spacing w:after="0" w:line="255" w:lineRule="auto"/>
        <w:tabs>
          <w:tab w:leader="none" w:pos="1282" w:val="left"/>
        </w:tabs>
        <w:numPr>
          <w:ilvl w:val="2"/>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ind w:left="1280" w:right="260" w:hanging="637"/>
        <w:spacing w:after="0" w:line="252" w:lineRule="auto"/>
        <w:tabs>
          <w:tab w:leader="none" w:pos="1291" w:val="left"/>
        </w:tabs>
        <w:numPr>
          <w:ilvl w:val="2"/>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8"/>
          <w:szCs w:val="18"/>
          <w:color w:val="auto"/>
        </w:rPr>
      </w:pPr>
    </w:p>
    <w:p>
      <w:pPr>
        <w:ind w:left="440" w:right="220" w:hanging="434"/>
        <w:spacing w:after="0" w:line="255" w:lineRule="auto"/>
        <w:tabs>
          <w:tab w:leader="none" w:pos="4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8"/>
          <w:szCs w:val="18"/>
          <w:color w:val="auto"/>
        </w:rPr>
      </w:pPr>
    </w:p>
    <w:p>
      <w:pPr>
        <w:ind w:left="880" w:right="480" w:hanging="441"/>
        <w:spacing w:after="0" w:line="255" w:lineRule="auto"/>
        <w:tabs>
          <w:tab w:leader="none" w:pos="8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880" w:hanging="441"/>
        <w:spacing w:after="0" w:line="264" w:lineRule="auto"/>
        <w:tabs>
          <w:tab w:leader="none" w:pos="8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464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Eyal Rubin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&amp;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629348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w:t>
      </w:r>
    </w:p>
    <w:p>
      <w:pPr>
        <w:spacing w:after="0" w:line="16"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September 30, 2021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55" w:lineRule="exact"/>
        <w:rPr>
          <w:sz w:val="20"/>
          <w:szCs w:val="20"/>
          <w:color w:val="auto"/>
        </w:rPr>
      </w:pPr>
    </w:p>
    <w:p>
      <w:pPr>
        <w:ind w:left="440" w:right="120" w:hanging="1"/>
        <w:spacing w:after="0" w:line="264" w:lineRule="auto"/>
        <w:tabs>
          <w:tab w:leader="none" w:pos="6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54" w:lineRule="exact"/>
        <w:rPr>
          <w:rFonts w:ascii="Arial" w:cs="Arial" w:eastAsia="Arial" w:hAnsi="Arial"/>
          <w:sz w:val="18"/>
          <w:szCs w:val="18"/>
          <w:color w:val="auto"/>
        </w:rPr>
      </w:pPr>
    </w:p>
    <w:p>
      <w:pPr>
        <w:ind w:left="440" w:right="60" w:hanging="1"/>
        <w:spacing w:after="0" w:line="264" w:lineRule="auto"/>
        <w:tabs>
          <w:tab w:leader="none" w:pos="6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464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Dror Bashan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629348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w:t>
      </w:r>
    </w:p>
    <w:p>
      <w:pPr>
        <w:spacing w:after="0" w:line="16"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September 30, 2021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55" w:lineRule="exact"/>
        <w:rPr>
          <w:sz w:val="20"/>
          <w:szCs w:val="20"/>
          <w:color w:val="auto"/>
        </w:rPr>
      </w:pPr>
    </w:p>
    <w:p>
      <w:pPr>
        <w:ind w:left="440" w:right="120" w:hanging="1"/>
        <w:spacing w:after="0" w:line="264" w:lineRule="auto"/>
        <w:tabs>
          <w:tab w:leader="none" w:pos="6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54" w:lineRule="exact"/>
        <w:rPr>
          <w:rFonts w:ascii="Arial" w:cs="Arial" w:eastAsia="Arial" w:hAnsi="Arial"/>
          <w:sz w:val="18"/>
          <w:szCs w:val="18"/>
          <w:color w:val="auto"/>
        </w:rPr>
      </w:pPr>
    </w:p>
    <w:p>
      <w:pPr>
        <w:ind w:left="440" w:right="60" w:hanging="1"/>
        <w:spacing w:after="0" w:line="264" w:lineRule="auto"/>
        <w:tabs>
          <w:tab w:leader="none" w:pos="6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464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Eyal Rubin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629348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2"/>
    </w:lvl>
    <w:lvl w:ilvl="1">
      <w:lvlJc w:val="left"/>
      <w:lvlText w:val="%2."/>
      <w:numFmt w:val="decimal"/>
      <w:start w:val="1"/>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4"/>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49" Type="http://schemas.openxmlformats.org/officeDocument/2006/relationships/hyperlink" Target="https://www.sec.gov/Archives/edgar/data/1006281/000114420416092335/v435826_ex3-1.htm" TargetMode="External"/><Relationship Id="rId50" Type="http://schemas.openxmlformats.org/officeDocument/2006/relationships/hyperlink" Target="https://www.sec.gov/Archives/edgar/data/1006281/000114420416111273/v443094_def14a.htm" TargetMode="External"/><Relationship Id="rId51" Type="http://schemas.openxmlformats.org/officeDocument/2006/relationships/hyperlink" Target="https://www.sec.gov/Archives/edgar/data/1006281/000114420418054229/tv504383-def14a.htm" TargetMode="External"/><Relationship Id="rId52" Type="http://schemas.openxmlformats.org/officeDocument/2006/relationships/hyperlink" Target="https://www.sec.gov/Archives/edgar/data/1006281/000110465919074602/tm1926620d1_ex3-1.htm" TargetMode="External"/><Relationship Id="rId53" Type="http://schemas.openxmlformats.org/officeDocument/2006/relationships/hyperlink" Target="https://www.sec.gov/Archives/edgar/data/1006281/000114420416092335/v435826_ex3-2.htm" TargetMode="External"/><Relationship Id="rId54" Type="http://schemas.openxmlformats.org/officeDocument/2006/relationships/hyperlink" Target="https://www.sec.gov/Archives/edgar/data/1006281/000114420412040015/v318898_ex4-1.htm" TargetMode="External"/><Relationship Id="rId55" Type="http://schemas.openxmlformats.org/officeDocument/2006/relationships/hyperlink" Target="https://www.sec.gov/Archives/edgar/data/1006281/000114420416138423/v454581_ex4-1.htm" TargetMode="External"/><Relationship Id="rId56" Type="http://schemas.openxmlformats.org/officeDocument/2006/relationships/hyperlink" Target="https://www.sec.gov/Archives/edgar/data/1006281/000114420416138423/v454581_ex4-2.htm" TargetMode="External"/><Relationship Id="rId57" Type="http://schemas.openxmlformats.org/officeDocument/2006/relationships/hyperlink" Target="https://www.sec.gov/Archives/edgar/data/1006281/000114420416138423/v454581_ex4-3.htm" TargetMode="External"/><Relationship Id="rId58" Type="http://schemas.openxmlformats.org/officeDocument/2006/relationships/hyperlink" Target="https://www.sec.gov/Archives/edgar/data/1006281/000114420417038121/v471411_ex4-2.htm" TargetMode="External"/><Relationship Id="rId59" Type="http://schemas.openxmlformats.org/officeDocument/2006/relationships/hyperlink" Target="https://www.sec.gov/Archives/edgar/data/1006281/000114420417061920/tv480506_ex4-1.htm" TargetMode="External"/><Relationship Id="rId60" Type="http://schemas.openxmlformats.org/officeDocument/2006/relationships/hyperlink" Target="https://www.sec.gov/Archives/edgar/data/1006281/000110465920032540/tm205240d1_ex4-7.htm" TargetMode="External"/><Relationship Id="rId61" Type="http://schemas.openxmlformats.org/officeDocument/2006/relationships/hyperlink" Target="https://www.sec.gov/Archives/edgar/data/1006281/000110465920032169/tm2012488d1_ex4-1.htm" TargetMode="External"/><Relationship Id="rId62" Type="http://schemas.openxmlformats.org/officeDocument/2006/relationships/hyperlink" Target="https://www.sec.gov/Archives/edgar/data/1006281/000110465920092375/plx-20200630xex4d8.htm" TargetMode="External"/><Relationship Id="rId63" Type="http://schemas.openxmlformats.org/officeDocument/2006/relationships/hyperlink" Target="https://www.sec.gov/Archives/edgar/data/1006281/000110465920092375/plx-20200630xex4d9.htm" TargetMode="External"/><Relationship Id="rId64" Type="http://schemas.openxmlformats.org/officeDocument/2006/relationships/hyperlink" Target="https://www.sec.gov/Archives/edgar/data/1006281/000155837021012078/plx-20210824xex4d1.htm" TargetMode="External"/><Relationship Id="rId65" Type="http://schemas.openxmlformats.org/officeDocument/2006/relationships/hyperlink" Target="https://www.sec.gov/Archives/edgar/data/1006281/000155837021012078/plx-20210824xex4d2.htm" TargetMode="External"/><Relationship Id="rId66" Type="http://schemas.openxmlformats.org/officeDocument/2006/relationships/hyperlink" Target="https://www.sec.gov/Archives/edgar/data/1006281/000155837021012078/plx-20210824xex4d3.htm" TargetMode="External"/><Relationship Id="rId67" Type="http://schemas.openxmlformats.org/officeDocument/2006/relationships/hyperlink" Target="https://www.sec.gov/Archives/edgar/data/1006281/000155837021011566/plx-20210812xex10d1.htm" TargetMode="External"/><Relationship Id="rId68" Type="http://schemas.openxmlformats.org/officeDocument/2006/relationships/hyperlink" Target="https://www.sec.gov/Archives/edgar/data/1006281/000155837021012078/plx-20210824xex10d1.htm" TargetMode="External"/><Relationship Id="rId69" Type="http://schemas.openxmlformats.org/officeDocument/2006/relationships/hyperlink" Target="https://www.sec.gov/Archives/edgar/data/1006281/000155837021012078/plx-20210824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2021-11-15T07:33:47Z</dcterms:created>
  <dcterms:modified xsi:type="dcterms:W3CDTF">2021-11-15T07:33:47Z</dcterms:modified>
</cp:coreProperties>
</file>