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left"/>
        <w:rPr/>
      </w:pPr>
      <w:hyperlink w:anchor="TOC">
        <w:bookmarkStart w:id="0" w:name="plx-20260630x10q.htm"/>
        <w:bookmarkStart w:id="1" w:name="ksplx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top w:val="single" w:sz="24" w:space="1" w:color="000000"/>
        </w:pBdr>
        <w:bidi w:val="0"/>
        <w:spacing w:before="0" w:after="240"/>
        <w:ind w:left="0" w:right="0" w:hanging="0"/>
        <w:jc w:val="center"/>
        <w:rPr/>
      </w:pPr>
      <w:r>
        <w:rPr/>
        <w:t>​</w:t>
      </w:r>
    </w:p>
    <w:p>
      <w:pPr>
        <w:pStyle w:val="TextBody"/>
        <w:pBdr/>
        <w:bidi w:val="0"/>
        <w:spacing w:before="0" w:after="240"/>
        <w:ind w:left="0" w:right="0" w:hanging="0"/>
        <w:jc w:val="center"/>
        <w:rPr/>
      </w:pPr>
      <w:r>
        <w:rPr/>
        <w:t>​</w:t>
      </w:r>
    </w:p>
    <w:p>
      <w:pPr>
        <w:pStyle w:val="TextBody"/>
        <w:pBdr>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a00453b0_dc12_41fc_bb2e_25d3a9ef38b8"/>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240"/>
        <w:ind w:left="0" w:right="0" w:hanging="0"/>
        <w:jc w:val="left"/>
        <w:rPr/>
      </w:pPr>
      <w:r>
        <w:rPr/>
        <w:t>​</w:t>
      </w:r>
    </w:p>
    <w:p>
      <w:pPr>
        <w:pStyle w:val="TextBody"/>
        <w:pBdr/>
        <w:bidi w:val="0"/>
        <w:spacing w:before="0" w:after="0"/>
        <w:ind w:left="0" w:right="0" w:hanging="360"/>
        <w:jc w:val="left"/>
        <w:rPr/>
      </w:pPr>
      <w:r>
        <w:rPr/>
        <w:t>☒   </w:t>
      </w:r>
      <w:r>
        <w:rPr>
          <w:rFonts w:ascii="Times New Roman;Times;serif" w:hAnsi="Times New Roman;Times;serif"/>
          <w:b/>
          <w:sz w:val="20"/>
        </w:rPr>
        <w:t>QUARTERLY REPORT PURSUANT TO SECTION 13 OR 15(d) OF THE SECURITIES EXCHANGE ACT OF 1934</w:t>
      </w:r>
    </w:p>
    <w:p>
      <w:pPr>
        <w:pStyle w:val="TextBody"/>
        <w:bidi w:val="0"/>
        <w:spacing w:before="0" w:after="24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sz w:val="16"/>
        </w:rPr>
        <w:t>For</w:t>
      </w:r>
      <w:r>
        <w:rPr>
          <w:rFonts w:ascii="Times New Roman;Times;serif" w:hAnsi="Times New Roman;Times;serif"/>
          <w:sz w:val="20"/>
        </w:rPr>
        <w:t xml:space="preserve"> </w:t>
      </w:r>
      <w:r>
        <w:rPr>
          <w:rFonts w:ascii="Times New Roman;Times;serif" w:hAnsi="Times New Roman;Times;serif"/>
          <w:b/>
          <w:sz w:val="16"/>
        </w:rPr>
        <w:t>the quarterly period ended June 30, 2026</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left"/>
        <w:rPr/>
      </w:pPr>
      <w:r>
        <w:rPr/>
        <w:t>​</w:t>
      </w:r>
    </w:p>
    <w:p>
      <w:pPr>
        <w:pStyle w:val="TextBody"/>
        <w:pBdr/>
        <w:bidi w:val="0"/>
        <w:spacing w:before="0" w:after="0"/>
        <w:ind w:left="0" w:right="0" w:hanging="360"/>
        <w:jc w:val="left"/>
        <w:rPr/>
      </w:pPr>
      <w:r>
        <w:rPr/>
        <w:t>☐   </w:t>
      </w:r>
      <w:r>
        <w:rPr>
          <w:rFonts w:ascii="Times New Roman;Times;serif" w:hAnsi="Times New Roman;Times;serif"/>
          <w:b/>
          <w:sz w:val="20"/>
        </w:rPr>
        <w:t>TRANSITION REPORT PURSUANT TO SECTION 13 OR 15(d) OF THE SECURITIES EXCHANGE ACT OF 1934</w:t>
      </w:r>
    </w:p>
    <w:p>
      <w:pPr>
        <w:pStyle w:val="TextBody"/>
        <w:bidi w:val="0"/>
        <w:spacing w:before="0" w:after="240"/>
        <w:ind w:left="0" w:right="0" w:hanging="0"/>
        <w:jc w:val="left"/>
        <w:rPr/>
      </w:pPr>
      <w:r>
        <w:rPr/>
        <w:t>​</w:t>
      </w:r>
    </w:p>
    <w:p>
      <w:pPr>
        <w:pStyle w:val="TextBody"/>
        <w:bidi w:val="0"/>
        <w:spacing w:before="0" w:after="0"/>
        <w:ind w:left="360" w:right="0" w:hanging="0"/>
        <w:jc w:val="left"/>
        <w:rPr>
          <w:rFonts w:ascii="Times New Roman;Times;serif" w:hAnsi="Times New Roman;Times;serif"/>
          <w:sz w:val="16"/>
        </w:rPr>
      </w:pPr>
      <w:r>
        <w:rPr>
          <w:rFonts w:ascii="Times New Roman;Times;serif" w:hAnsi="Times New Roman;Times;serif"/>
          <w:b/>
          <w:sz w:val="16"/>
        </w:rPr>
        <w:t xml:space="preserve">For the transition period from </w:t>
      </w:r>
      <w:r>
        <w:rPr>
          <w:rFonts w:ascii="Times New Roman;Times;serif" w:hAnsi="Times New Roman;Times;serif"/>
          <w:sz w:val="16"/>
        </w:rPr>
        <w:t xml:space="preserve">                         </w:t>
      </w:r>
      <w:r>
        <w:rPr>
          <w:rFonts w:ascii="Times New Roman;Times;serif" w:hAnsi="Times New Roman;Times;serif"/>
          <w:b/>
          <w:sz w:val="16"/>
        </w:rPr>
        <w:t>to</w:t>
      </w:r>
      <w:r>
        <w:rPr>
          <w:rFonts w:ascii="Times New Roman;Times;serif" w:hAnsi="Times New Roman;Times;serif"/>
          <w:sz w:val="16"/>
        </w:rPr>
        <w:t xml:space="preserve">                         </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001-33357</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PROTALIX BIOTHERAPEUTICS,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240"/>
        <w:ind w:left="0" w:right="0" w:hanging="0"/>
        <w:jc w:val="center"/>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VbDsxxKJE0K1oDtyf6Nb3Q_5_1"/>
      <w:bookmarkStart w:id="4" w:name="Tc_Lq6X9tI62UaWvDt2fk2LFA_5_0"/>
      <w:bookmarkStart w:id="5" w:name="Tc_0qKtl82PC0qvgkSoAUoGhg_4_0"/>
      <w:bookmarkStart w:id="6" w:name="Tc_ja8Z34wD00yrt0dBlxMLcg_2_1"/>
      <w:bookmarkStart w:id="7" w:name="Tc_uQ-4epnIN0CGWi06hfOwwQ_2_0"/>
      <w:bookmarkStart w:id="8" w:name="Tc_VMKTlLDOV0Smlmm9RCn20Q_1_1"/>
      <w:bookmarkStart w:id="9" w:name="_a1bb36ca_e2bf_4dc9_949a_f711226b91ef"/>
      <w:bookmarkStart w:id="10" w:name="Tc_VbDsxxKJE0K1oDtyf6Nb3Q_5_1"/>
      <w:bookmarkStart w:id="11" w:name="Tc_Lq6X9tI62UaWvDt2fk2LFA_5_0"/>
      <w:bookmarkStart w:id="12" w:name="Tc_0qKtl82PC0qvgkSoAUoGhg_4_0"/>
      <w:bookmarkStart w:id="13" w:name="Tc_ja8Z34wD00yrt0dBlxMLcg_2_1"/>
      <w:bookmarkStart w:id="14" w:name="Tc_uQ-4epnIN0CGWi06hfOwwQ_2_0"/>
      <w:bookmarkStart w:id="15" w:name="Tc_VMKTlLDOV0Smlmm9RCn20Q_1_1"/>
      <w:bookmarkStart w:id="16" w:name="_a1bb36ca_e2bf_4dc9_949a_f711226b91ef"/>
      <w:bookmarkEnd w:id="10"/>
      <w:bookmarkEnd w:id="11"/>
      <w:bookmarkEnd w:id="12"/>
      <w:bookmarkEnd w:id="13"/>
      <w:bookmarkEnd w:id="14"/>
      <w:bookmarkEnd w:id="15"/>
      <w:bookmarkEnd w:id="16"/>
    </w:p>
    <w:tbl>
      <w:tblPr>
        <w:tblW w:w="4457" w:type="dxa"/>
        <w:jc w:val="left"/>
        <w:tblInd w:w="0" w:type="dxa"/>
        <w:tblLayout w:type="fixed"/>
        <w:tblCellMar>
          <w:top w:w="0" w:type="dxa"/>
          <w:left w:w="0" w:type="dxa"/>
          <w:bottom w:w="0" w:type="dxa"/>
          <w:right w:w="0" w:type="dxa"/>
        </w:tblCellMar>
      </w:tblPr>
      <w:tblGrid>
        <w:gridCol w:w="2926"/>
        <w:gridCol w:w="15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p>
        </w:tc>
        <w:tc>
          <w:tcPr>
            <w:tcW w:w="1531" w:type="dxa"/>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53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__65-0643773__</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 or organization) </w:t>
            </w:r>
          </w:p>
        </w:tc>
        <w:tc>
          <w:tcPr>
            <w:tcW w:w="15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 </w:t>
            </w:r>
          </w:p>
        </w:tc>
      </w:tr>
      <w:tr>
        <w:trPr/>
        <w:tc>
          <w:tcPr>
            <w:tcW w:w="2926" w:type="dxa"/>
            <w:tcBorders/>
            <w:vAlign w:val="center"/>
          </w:tcPr>
          <w:p>
            <w:pPr>
              <w:pStyle w:val="TableContents"/>
              <w:bidi w:val="0"/>
              <w:spacing w:before="0" w:after="0"/>
              <w:ind w:left="0" w:right="0" w:hanging="0"/>
              <w:jc w:val="left"/>
              <w:rPr/>
            </w:pPr>
            <w:r>
              <w:rPr/>
              <w:t> </w:t>
            </w:r>
          </w:p>
        </w:tc>
        <w:tc>
          <w:tcPr>
            <w:tcW w:w="153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 University Plaza</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100</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Hackensack, NJ</w:t>
            </w:r>
          </w:p>
        </w:tc>
        <w:tc>
          <w:tcPr>
            <w:tcW w:w="15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07601</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5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(201)-696-9345</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bgUpiNMte06A-mUnL1_5wA_1_4"/>
      <w:bookmarkStart w:id="18" w:name="Tc__NZ6Qhx0-EezkrG0XFWhyw_1_2"/>
      <w:bookmarkStart w:id="19" w:name="Tc_m0gpVLWvwkuruIQx7aL2Aw_1_0"/>
      <w:bookmarkStart w:id="20" w:name="_45e8230e_f727_4422_812c_a1e35f80e47e"/>
      <w:bookmarkStart w:id="21" w:name="Tc_bgUpiNMte06A-mUnL1_5wA_1_4"/>
      <w:bookmarkStart w:id="22" w:name="Tc__NZ6Qhx0-EezkrG0XFWhyw_1_2"/>
      <w:bookmarkStart w:id="23" w:name="Tc_m0gpVLWvwkuruIQx7aL2Aw_1_0"/>
      <w:bookmarkStart w:id="24" w:name="_45e8230e_f727_4422_812c_a1e35f80e47e"/>
      <w:bookmarkEnd w:id="21"/>
      <w:bookmarkEnd w:id="22"/>
      <w:bookmarkEnd w:id="23"/>
      <w:bookmarkEnd w:id="24"/>
    </w:p>
    <w:tbl>
      <w:tblPr>
        <w:tblW w:w="7436" w:type="dxa"/>
        <w:jc w:val="left"/>
        <w:tblInd w:w="0" w:type="dxa"/>
        <w:tblLayout w:type="fixed"/>
        <w:tblCellMar>
          <w:top w:w="28" w:type="dxa"/>
          <w:left w:w="103" w:type="dxa"/>
          <w:bottom w:w="28" w:type="dxa"/>
          <w:right w:w="103" w:type="dxa"/>
        </w:tblCellMar>
      </w:tblPr>
      <w:tblGrid>
        <w:gridCol w:w="2446"/>
        <w:gridCol w:w="109"/>
        <w:gridCol w:w="1456"/>
        <w:gridCol w:w="109"/>
        <w:gridCol w:w="3316"/>
      </w:tblGrid>
      <w:tr>
        <w:trPr/>
        <w:tc>
          <w:tcPr>
            <w:tcW w:w="2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109" w:type="dxa"/>
            <w:tcBorders>
              <w:top w:val="single" w:sz="2" w:space="0" w:color="000000"/>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109" w:type="dxa"/>
            <w:tcBorders>
              <w:top w:val="single" w:sz="2" w:space="0" w:color="000000"/>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r>
      <w:tr>
        <w:trPr/>
        <w:tc>
          <w:tcPr>
            <w:tcW w:w="2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top w:val="single" w:sz="2" w:space="0" w:color="000000"/>
              <w:left w:val="single" w:sz="2" w:space="0" w:color="000000"/>
              <w:bottom w:val="single" w:sz="2" w:space="0" w:color="000000"/>
            </w:tcBorders>
            <w:tcMar>
              <w:left w:w="28" w:type="dxa"/>
              <w:right w:w="0" w:type="dxa"/>
            </w:tcMar>
            <w:vAlign w:val="center"/>
          </w:tcPr>
          <w:p>
            <w:pPr>
              <w:pStyle w:val="TableContents"/>
              <w:bidi w:val="0"/>
              <w:spacing w:before="0" w:after="240"/>
              <w:ind w:left="0" w:right="0" w:hanging="0"/>
              <w:jc w:val="center"/>
              <w:rPr/>
            </w:pPr>
            <w:r>
              <w:rPr/>
              <w:t>​</w:t>
            </w:r>
          </w:p>
        </w:tc>
        <w:tc>
          <w:tcPr>
            <w:tcW w:w="1456"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40"/>
              <w:ind w:left="0" w:right="0" w:hanging="0"/>
              <w:jc w:val="center"/>
              <w:rPr/>
            </w:pPr>
            <w:r>
              <w:rPr/>
              <w:t>​</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4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$0.001 par value</w:t>
            </w:r>
          </w:p>
        </w:tc>
        <w:tc>
          <w:tcPr>
            <w:tcW w:w="109" w:type="dxa"/>
            <w:tcBorders>
              <w:top w:val="single" w:sz="2" w:space="0" w:color="000000"/>
              <w:left w:val="single" w:sz="2" w:space="0" w:color="000000"/>
              <w:bottom w:val="single" w:sz="2" w:space="0" w:color="000000"/>
            </w:tcBorders>
            <w:tcMar>
              <w:left w:w="28" w:type="dxa"/>
              <w:right w:w="0" w:type="dxa"/>
            </w:tcMar>
            <w:vAlign w:val="center"/>
          </w:tcPr>
          <w:p>
            <w:pPr>
              <w:pStyle w:val="TableContents"/>
              <w:bidi w:val="0"/>
              <w:spacing w:before="0" w:after="240"/>
              <w:ind w:left="0" w:right="0" w:hanging="0"/>
              <w:jc w:val="center"/>
              <w:rPr/>
            </w:pPr>
            <w:r>
              <w:rPr/>
              <w:t>​</w:t>
            </w:r>
          </w:p>
        </w:tc>
        <w:tc>
          <w:tcPr>
            <w:tcW w:w="1456"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PLX</w:t>
            </w:r>
          </w:p>
        </w:tc>
        <w:tc>
          <w:tcPr>
            <w:tcW w:w="109"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40"/>
              <w:ind w:left="0" w:right="0" w:hanging="0"/>
              <w:jc w:val="center"/>
              <w:rPr/>
            </w:pPr>
            <w:r>
              <w:rPr/>
              <w:t>​</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37g8M-5y6kiToHzALpqJ8g_3_2"/>
      <w:bookmarkStart w:id="26" w:name="Tc_o6MCT_SFLU6dBeBSup4tVw_2_2"/>
      <w:bookmarkStart w:id="27" w:name="Tc_OJHs3RqBLk-keyFjuMThoQ_2_1"/>
      <w:bookmarkStart w:id="28" w:name="Tc_3bP7bejA-kO_3f83pjzymw_1_3"/>
      <w:bookmarkStart w:id="29" w:name="Tc_LsbgIuJL4ka7Szn4T29t0A_1_2"/>
      <w:bookmarkStart w:id="30" w:name="Tc_P7scy_RGkUKoFI4ksXmloA_1_1"/>
      <w:bookmarkStart w:id="31" w:name="Tc_ZnaoINOM7kSnY3WLOSw6_Q_1_0"/>
      <w:bookmarkStart w:id="32" w:name="_a975f266_f6c7_407d_aa80_42ce67244ae1"/>
      <w:bookmarkStart w:id="33" w:name="Tc_37g8M-5y6kiToHzALpqJ8g_3_2"/>
      <w:bookmarkStart w:id="34" w:name="Tc_o6MCT_SFLU6dBeBSup4tVw_2_2"/>
      <w:bookmarkStart w:id="35" w:name="Tc_OJHs3RqBLk-keyFjuMThoQ_2_1"/>
      <w:bookmarkStart w:id="36" w:name="Tc_3bP7bejA-kO_3f83pjzymw_1_3"/>
      <w:bookmarkStart w:id="37" w:name="Tc_LsbgIuJL4ka7Szn4T29t0A_1_2"/>
      <w:bookmarkStart w:id="38" w:name="Tc_P7scy_RGkUKoFI4ksXmloA_1_1"/>
      <w:bookmarkStart w:id="39" w:name="Tc_ZnaoINOM7kSnY3WLOSw6_Q_1_0"/>
      <w:bookmarkStart w:id="40" w:name="_a975f266_f6c7_407d_aa80_42ce67244ae1"/>
      <w:bookmarkEnd w:id="33"/>
      <w:bookmarkEnd w:id="34"/>
      <w:bookmarkEnd w:id="35"/>
      <w:bookmarkEnd w:id="36"/>
      <w:bookmarkEnd w:id="37"/>
      <w:bookmarkEnd w:id="38"/>
      <w:bookmarkEnd w:id="39"/>
      <w:bookmarkEnd w:id="40"/>
    </w:p>
    <w:tbl>
      <w:tblPr>
        <w:tblW w:w="4369" w:type="dxa"/>
        <w:jc w:val="left"/>
        <w:tblInd w:w="0" w:type="dxa"/>
        <w:tblLayout w:type="fixed"/>
        <w:tblCellMar>
          <w:top w:w="0" w:type="dxa"/>
          <w:left w:w="0" w:type="dxa"/>
          <w:bottom w:w="0" w:type="dxa"/>
          <w:right w:w="0" w:type="dxa"/>
        </w:tblCellMar>
      </w:tblPr>
      <w:tblGrid>
        <w:gridCol w:w="1666"/>
        <w:gridCol w:w="316"/>
        <w:gridCol w:w="2026"/>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 August 1, 2026, approximately 80,571,642 shares of the Registrant’s common stock, $0.001 par value, were outstanding.</w:t>
      </w:r>
    </w:p>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41" w:name="_3f3cd2c6_4b24_45a2_ac40_79a2aaeadc3e"/>
      <w:bookmarkEnd w:id="41"/>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1"/>
        <w:gridCol w:w="8823"/>
        <w:gridCol w:w="571"/>
      </w:tblGrid>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823" w:type="dxa"/>
            <w:tcBorders/>
            <w:vAlign w:val="center"/>
          </w:tcPr>
          <w:p>
            <w:pPr>
              <w:pStyle w:val="TableContents"/>
              <w:bidi w:val="0"/>
              <w:spacing w:before="0" w:after="0"/>
              <w:ind w:left="0" w:right="0" w:hanging="0"/>
              <w:jc w:val="center"/>
              <w:rPr/>
            </w:pPr>
            <w:hyperlink w:anchor="PARTIFINANCIALINFORMATION_363674">
              <w:r>
                <w:rPr>
                  <w:rStyle w:val="InternetLink"/>
                  <w:rFonts w:ascii="Times New Roman;Times;serif" w:hAnsi="Times New Roman;Times;serif"/>
                  <w:b/>
                  <w:i w:val="false"/>
                  <w:caps w:val="false"/>
                  <w:smallCaps w:val="false"/>
                  <w:sz w:val="20"/>
                </w:rPr>
                <w:t>PART I – FINANCIAL INFORMATION</w:t>
              </w:r>
            </w:hyperlink>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969154">
              <w:r>
                <w:rPr>
                  <w:rStyle w:val="InternetLink"/>
                  <w:rFonts w:ascii="Times New Roman;Times;serif" w:hAnsi="Times New Roman;Times;serif"/>
                  <w:b w:val="false"/>
                  <w:i w:val="false"/>
                  <w:caps w:val="false"/>
                  <w:smallCaps w:val="false"/>
                  <w:sz w:val="20"/>
                </w:rPr>
                <w:t>Item 1.</w:t>
              </w:r>
            </w:hyperlink>
          </w:p>
        </w:tc>
        <w:tc>
          <w:tcPr>
            <w:tcW w:w="8823" w:type="dxa"/>
            <w:tcBorders/>
            <w:vAlign w:val="center"/>
          </w:tcPr>
          <w:p>
            <w:pPr>
              <w:pStyle w:val="TableContents"/>
              <w:bidi w:val="0"/>
              <w:spacing w:before="0" w:after="0"/>
              <w:ind w:left="0" w:right="0" w:hanging="0"/>
              <w:jc w:val="left"/>
              <w:rPr/>
            </w:pPr>
            <w:hyperlink w:anchor="Item1FinancialStatements_969154">
              <w:r>
                <w:rPr>
                  <w:rStyle w:val="InternetLink"/>
                  <w:rFonts w:ascii="Times New Roman;Times;serif" w:hAnsi="Times New Roman;Times;serif"/>
                  <w:b w:val="false"/>
                  <w:i w:val="false"/>
                  <w:caps w:val="false"/>
                  <w:smallCaps w:val="false"/>
                  <w:sz w:val="20"/>
                </w:rPr>
                <w:t>Financial Statements</w:t>
              </w:r>
            </w:hyperlink>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hyperlink w:anchor="CONDENSEDCONSOLIDATEDBALANCESHEETS_49495">
              <w:r>
                <w:rPr>
                  <w:rStyle w:val="InternetLink"/>
                  <w:rFonts w:ascii="Times New Roman;Times;serif" w:hAnsi="Times New Roman;Times;serif"/>
                  <w:b w:val="false"/>
                  <w:i w:val="false"/>
                  <w:caps w:val="false"/>
                  <w:smallCaps w:val="false"/>
                  <w:sz w:val="20"/>
                </w:rPr>
                <w:t>Condensed Consolidated Balance Sheets (Unaudited) – As of June 30, 2026 and December 31, 2025</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(Unaudited) – For the Six and Three Months Ended June 30, 2026 and 2025</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(Unaudited) – For the Six and Three Months Ended June 30, 2026 and 2025</w:t>
              </w:r>
            </w:hyperlink>
          </w:p>
        </w:tc>
        <w:tc>
          <w:tcPr>
            <w:tcW w:w="57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 – For the Six Months Ended June 30, 2026 and 2025</w:t>
              </w:r>
            </w:hyperlink>
          </w:p>
        </w:tc>
        <w:tc>
          <w:tcPr>
            <w:tcW w:w="57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hyperlink w:anchor="NOTE1SIGNIFICANTACCOUNTINGPOLICIES_79340">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2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2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r>
      <w:tr>
        <w:trPr/>
        <w:tc>
          <w:tcPr>
            <w:tcW w:w="811" w:type="dxa"/>
            <w:tcBorders/>
            <w:vAlign w:val="center"/>
          </w:tcPr>
          <w:p>
            <w:pPr>
              <w:pStyle w:val="TableContents"/>
              <w:bidi w:val="0"/>
              <w:spacing w:before="0" w:after="0"/>
              <w:ind w:left="0" w:right="0" w:hanging="0"/>
              <w:jc w:val="left"/>
              <w:rPr/>
            </w:pPr>
            <w:hyperlink w:anchor="Item4ControlsandProcedures_865226">
              <w:r>
                <w:rPr>
                  <w:rStyle w:val="InternetLink"/>
                  <w:rFonts w:ascii="Times New Roman;Times;serif" w:hAnsi="Times New Roman;Times;serif"/>
                  <w:b w:val="false"/>
                  <w:i w:val="false"/>
                  <w:caps w:val="false"/>
                  <w:smallCaps w:val="false"/>
                  <w:sz w:val="20"/>
                </w:rPr>
                <w:t>Item 4.</w:t>
              </w:r>
            </w:hyperlink>
          </w:p>
        </w:tc>
        <w:tc>
          <w:tcPr>
            <w:tcW w:w="8823" w:type="dxa"/>
            <w:tcBorders/>
            <w:vAlign w:val="center"/>
          </w:tcPr>
          <w:p>
            <w:pPr>
              <w:pStyle w:val="TableContents"/>
              <w:bidi w:val="0"/>
              <w:spacing w:before="0" w:after="0"/>
              <w:ind w:left="0" w:right="0" w:hanging="0"/>
              <w:jc w:val="left"/>
              <w:rPr/>
            </w:pPr>
            <w:hyperlink w:anchor="Item4ControlsandProcedures_865226">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823" w:type="dxa"/>
            <w:tcBorders/>
            <w:vAlign w:val="center"/>
          </w:tcPr>
          <w:p>
            <w:pPr>
              <w:pStyle w:val="TableContents"/>
              <w:bidi w:val="0"/>
              <w:spacing w:before="0" w:after="0"/>
              <w:ind w:left="0" w:right="0" w:hanging="0"/>
              <w:jc w:val="center"/>
              <w:rPr/>
            </w:pPr>
            <w:hyperlink w:anchor="PARTIIOTHERINFORMATION_770480">
              <w:r>
                <w:rPr>
                  <w:rStyle w:val="InternetLink"/>
                  <w:rFonts w:ascii="Times New Roman;Times;serif" w:hAnsi="Times New Roman;Times;serif"/>
                  <w:b/>
                  <w:i w:val="false"/>
                  <w:caps w:val="false"/>
                  <w:smallCaps w:val="false"/>
                  <w:sz w:val="20"/>
                </w:rPr>
                <w:t>PART II – OTHER INFORMATION</w:t>
              </w:r>
            </w:hyperlink>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LegalProceedings_676392">
              <w:r>
                <w:rPr>
                  <w:rStyle w:val="InternetLink"/>
                  <w:rFonts w:ascii="Times New Roman;Times;serif" w:hAnsi="Times New Roman;Times;serif"/>
                  <w:b w:val="false"/>
                  <w:i w:val="false"/>
                  <w:caps w:val="false"/>
                  <w:smallCaps w:val="false"/>
                  <w:sz w:val="20"/>
                </w:rPr>
                <w:t>Item 1.</w:t>
              </w:r>
            </w:hyperlink>
          </w:p>
        </w:tc>
        <w:tc>
          <w:tcPr>
            <w:tcW w:w="8823" w:type="dxa"/>
            <w:tcBorders/>
            <w:vAlign w:val="center"/>
          </w:tcPr>
          <w:p>
            <w:pPr>
              <w:pStyle w:val="TableContents"/>
              <w:bidi w:val="0"/>
              <w:spacing w:before="0" w:after="0"/>
              <w:ind w:left="0" w:right="0" w:hanging="0"/>
              <w:jc w:val="left"/>
              <w:rPr/>
            </w:pPr>
            <w:hyperlink w:anchor="Item1LegalProceedings_676392">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before="0" w:after="0"/>
              <w:ind w:left="0" w:right="0" w:hanging="0"/>
              <w:jc w:val="left"/>
              <w:rPr/>
            </w:pPr>
            <w:hyperlink w:anchor="Item1ARiskFactors_983377">
              <w:r>
                <w:rPr>
                  <w:rStyle w:val="InternetLink"/>
                  <w:rFonts w:ascii="Times New Roman;Times;serif" w:hAnsi="Times New Roman;Times;serif"/>
                  <w:b w:val="false"/>
                  <w:i w:val="false"/>
                  <w:caps w:val="false"/>
                  <w:smallCaps w:val="false"/>
                  <w:sz w:val="20"/>
                </w:rPr>
                <w:t>Item 1A.</w:t>
              </w:r>
            </w:hyperlink>
          </w:p>
        </w:tc>
        <w:tc>
          <w:tcPr>
            <w:tcW w:w="8823" w:type="dxa"/>
            <w:tcBorders/>
            <w:vAlign w:val="center"/>
          </w:tcPr>
          <w:p>
            <w:pPr>
              <w:pStyle w:val="TableContents"/>
              <w:bidi w:val="0"/>
              <w:spacing w:before="0" w:after="0"/>
              <w:ind w:left="0" w:right="0" w:hanging="0"/>
              <w:jc w:val="left"/>
              <w:rPr/>
            </w:pPr>
            <w:hyperlink w:anchor="Item1ARiskFactors_983377">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23"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before="0" w:after="0"/>
              <w:ind w:left="0" w:right="0" w:hanging="0"/>
              <w:jc w:val="left"/>
              <w:rPr/>
            </w:pPr>
            <w:hyperlink w:anchor="Item3DefaultsUponSeniorSecurities_505234">
              <w:r>
                <w:rPr>
                  <w:rStyle w:val="InternetLink"/>
                  <w:rFonts w:ascii="Times New Roman;Times;serif" w:hAnsi="Times New Roman;Times;serif"/>
                  <w:b w:val="false"/>
                  <w:i w:val="false"/>
                  <w:caps w:val="false"/>
                  <w:smallCaps w:val="false"/>
                  <w:sz w:val="20"/>
                </w:rPr>
                <w:t>Item 3.</w:t>
              </w:r>
            </w:hyperlink>
          </w:p>
        </w:tc>
        <w:tc>
          <w:tcPr>
            <w:tcW w:w="8823" w:type="dxa"/>
            <w:tcBorders/>
            <w:vAlign w:val="center"/>
          </w:tcPr>
          <w:p>
            <w:pPr>
              <w:pStyle w:val="TableContents"/>
              <w:bidi w:val="0"/>
              <w:spacing w:before="0" w:after="0"/>
              <w:ind w:left="0" w:right="0" w:hanging="0"/>
              <w:jc w:val="left"/>
              <w:rPr/>
            </w:pPr>
            <w:hyperlink w:anchor="Item3DefaultsUponSeniorSecurities_505234">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before="0" w:after="0"/>
              <w:ind w:left="0" w:right="0" w:hanging="0"/>
              <w:jc w:val="left"/>
              <w:rPr/>
            </w:pPr>
            <w:hyperlink w:anchor="Item4MineSafetyDisclosure_204781">
              <w:r>
                <w:rPr>
                  <w:rStyle w:val="InternetLink"/>
                  <w:rFonts w:ascii="Times New Roman;Times;serif" w:hAnsi="Times New Roman;Times;serif"/>
                  <w:b w:val="false"/>
                  <w:i w:val="false"/>
                  <w:caps w:val="false"/>
                  <w:smallCaps w:val="false"/>
                  <w:sz w:val="20"/>
                </w:rPr>
                <w:t>Item 4.</w:t>
              </w:r>
            </w:hyperlink>
          </w:p>
        </w:tc>
        <w:tc>
          <w:tcPr>
            <w:tcW w:w="8823" w:type="dxa"/>
            <w:tcBorders/>
            <w:vAlign w:val="center"/>
          </w:tcPr>
          <w:p>
            <w:pPr>
              <w:pStyle w:val="TableContents"/>
              <w:bidi w:val="0"/>
              <w:spacing w:before="0" w:after="0"/>
              <w:ind w:left="0" w:right="0" w:hanging="0"/>
              <w:jc w:val="left"/>
              <w:rPr/>
            </w:pPr>
            <w:hyperlink w:anchor="Item4MineSafetyDisclosure_204781">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before="0" w:after="0"/>
              <w:ind w:left="0" w:right="0" w:hanging="0"/>
              <w:jc w:val="left"/>
              <w:rPr/>
            </w:pPr>
            <w:hyperlink w:anchor="Item5OtherInformation_679200">
              <w:r>
                <w:rPr>
                  <w:rStyle w:val="InternetLink"/>
                  <w:rFonts w:ascii="Times New Roman;Times;serif" w:hAnsi="Times New Roman;Times;serif"/>
                  <w:b w:val="false"/>
                  <w:i w:val="false"/>
                  <w:caps w:val="false"/>
                  <w:smallCaps w:val="false"/>
                  <w:sz w:val="20"/>
                </w:rPr>
                <w:t>Item 5.</w:t>
              </w:r>
            </w:hyperlink>
          </w:p>
        </w:tc>
        <w:tc>
          <w:tcPr>
            <w:tcW w:w="8823" w:type="dxa"/>
            <w:tcBorders/>
            <w:vAlign w:val="center"/>
          </w:tcPr>
          <w:p>
            <w:pPr>
              <w:pStyle w:val="TableContents"/>
              <w:bidi w:val="0"/>
              <w:spacing w:before="0" w:after="0"/>
              <w:ind w:left="0" w:right="0" w:hanging="0"/>
              <w:jc w:val="left"/>
              <w:rPr/>
            </w:pPr>
            <w:hyperlink w:anchor="Item5OtherInformation_679200">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before="0" w:after="0"/>
              <w:ind w:left="0" w:right="0" w:hanging="0"/>
              <w:jc w:val="left"/>
              <w:rPr/>
            </w:pPr>
            <w:hyperlink w:anchor="Item6Exhibits_829552">
              <w:r>
                <w:rPr>
                  <w:rStyle w:val="InternetLink"/>
                  <w:rFonts w:ascii="Times New Roman;Times;serif" w:hAnsi="Times New Roman;Times;serif"/>
                  <w:b w:val="false"/>
                  <w:i w:val="false"/>
                  <w:caps w:val="false"/>
                  <w:smallCaps w:val="false"/>
                  <w:sz w:val="20"/>
                </w:rPr>
                <w:t>Item 6.</w:t>
              </w:r>
            </w:hyperlink>
          </w:p>
        </w:tc>
        <w:tc>
          <w:tcPr>
            <w:tcW w:w="8823" w:type="dxa"/>
            <w:tcBorders/>
            <w:vAlign w:val="center"/>
          </w:tcPr>
          <w:p>
            <w:pPr>
              <w:pStyle w:val="TableContents"/>
              <w:bidi w:val="0"/>
              <w:spacing w:before="0" w:after="0"/>
              <w:ind w:left="0" w:right="0" w:hanging="0"/>
              <w:jc w:val="left"/>
              <w:rPr/>
            </w:pPr>
            <w:hyperlink w:anchor="Item6Exhibits_829552">
              <w:r>
                <w:rPr>
                  <w:rStyle w:val="InternetLink"/>
                  <w:rFonts w:ascii="Times New Roman;Times;serif" w:hAnsi="Times New Roman;Times;serif"/>
                  <w:b w:val="false"/>
                  <w:i w:val="false"/>
                  <w:caps w:val="false"/>
                  <w:smallCaps w:val="false"/>
                  <w:sz w:val="20"/>
                </w:rPr>
                <w:t>Exhibits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9634" w:type="dxa"/>
            <w:gridSpan w:val="2"/>
            <w:tcBorders/>
            <w:vAlign w:val="center"/>
          </w:tcPr>
          <w:p>
            <w:pPr>
              <w:pStyle w:val="TableContents"/>
              <w:bidi w:val="0"/>
              <w:spacing w:before="0" w:after="0"/>
              <w:ind w:left="0" w:right="0" w:hanging="0"/>
              <w:jc w:val="left"/>
              <w:rPr/>
            </w:pPr>
            <w:hyperlink w:anchor="SIGNATURES_574709">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PARTIFINANCIALINFORMATION_363674"/>
      <w:bookmarkStart w:id="44" w:name="_83dd365b_ecd5_40e6_b64c_f1dc4e2675e9"/>
      <w:bookmarkEnd w:id="43"/>
      <w:bookmarkEnd w:id="44"/>
      <w:r>
        <w:rPr>
          <w:rFonts w:ascii="Times New Roman;Times;serif" w:hAnsi="Times New Roman;Times;serif"/>
          <w:b/>
          <w:sz w:val="20"/>
        </w:rPr>
        <w:t>PART I – FINANCIAL INFORMATION</w:t>
      </w:r>
    </w:p>
    <w:p>
      <w:pPr>
        <w:pStyle w:val="TextBody"/>
        <w:bidi w:val="0"/>
        <w:spacing w:before="0" w:after="120"/>
        <w:ind w:left="0" w:right="0" w:hanging="0"/>
        <w:jc w:val="left"/>
        <w:rPr>
          <w:rFonts w:ascii="Times New Roman;Times;serif" w:hAnsi="Times New Roman;Times;serif"/>
          <w:b/>
          <w:sz w:val="20"/>
        </w:rPr>
      </w:pPr>
      <w:bookmarkStart w:id="45" w:name="Item1FinancialStatements_969154"/>
      <w:bookmarkEnd w:id="45"/>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PROTALIX BIOTHERAPEUTICS, INC.</w:t>
      </w:r>
    </w:p>
    <w:p>
      <w:pPr>
        <w:pStyle w:val="TextBody"/>
        <w:bidi w:val="0"/>
        <w:spacing w:before="0" w:after="0"/>
        <w:ind w:left="0" w:right="0" w:hanging="0"/>
        <w:jc w:val="center"/>
        <w:rPr>
          <w:rFonts w:ascii="Times New Roman;Times;serif" w:hAnsi="Times New Roman;Times;serif"/>
          <w:b/>
          <w:sz w:val="20"/>
        </w:rPr>
      </w:pPr>
      <w:bookmarkStart w:id="46" w:name="CONDENSEDCONSOLIDATEDBALANCESHEETS_49495"/>
      <w:bookmarkEnd w:id="4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7" w:name="Tc_gxryUUx_WkGGpZZWpWZIXA_40_5"/>
      <w:bookmarkStart w:id="48" w:name="Tc_apgRF0xVwEK1sxjLBfpppQ_40_2"/>
      <w:bookmarkStart w:id="49" w:name="Tc_1lpY2hLegkSSpgQQLgdGBw_40_0"/>
      <w:bookmarkStart w:id="50" w:name="Tc_-xmVlpIpWE65hiWIRT8GPw_39_0"/>
      <w:bookmarkStart w:id="51" w:name="Tc_XliDWqs2M06dhypmjGsUrg_37_0"/>
      <w:bookmarkStart w:id="52" w:name="Tc_o-LfjMOPZkiZmhzXUKvNvg_35_5"/>
      <w:bookmarkStart w:id="53" w:name="Tc_lYIVvwF5TkaRisE-XwWmWA_35_2"/>
      <w:bookmarkStart w:id="54" w:name="Tc_qV3cOthj5kSZQb3YpsrMxw_35_0"/>
      <w:bookmarkStart w:id="55" w:name="Tc_inEJtFepbESAZcb_iWLA3Q_34_5"/>
      <w:bookmarkStart w:id="56" w:name="Tc_HkkOIogmykqXcAhfLlKgng_34_2"/>
      <w:bookmarkStart w:id="57" w:name="Tc_nWmN4WUQrEKA7OMKhWAxWg_34_0"/>
      <w:bookmarkStart w:id="58" w:name="Tc_fI1cwUmj-U2fnEgfmSiOBg_33_0"/>
      <w:bookmarkStart w:id="59" w:name="Tc_5ytzPu7tqUmCa5ok0iGFXw_32_5"/>
      <w:bookmarkStart w:id="60" w:name="Tc_z0ye_ZAvtUqwCaaHRJa_bA_32_3"/>
      <w:bookmarkStart w:id="61" w:name="Tc_4p6oZUlxH0GXH7yO4kq_bQ_32_2"/>
      <w:bookmarkStart w:id="62" w:name="Tc_yQN26Run-U2p-Td4inN4wQ_32_0"/>
      <w:bookmarkStart w:id="63" w:name="Tc_h_gsm2OhKUG8fksCGptlHg_31_0"/>
      <w:bookmarkStart w:id="64" w:name="Tc_tzQbD4rCKEammfmNTbt7ow_29_5"/>
      <w:bookmarkStart w:id="65" w:name="Tc_39-7E5o-vE6wjJ2hyDgecg_29_2"/>
      <w:bookmarkStart w:id="66" w:name="Tc_LmpTUQHIqkWX9rQ9UQ_13A_29_0"/>
      <w:bookmarkStart w:id="67" w:name="Tc_l4Tx4gIn-Uqk5B9aMi_-RA_28_0"/>
      <w:bookmarkStart w:id="68" w:name="Tc_w-rEQLR-AUG9HfUPiciUJw_27_0"/>
      <w:bookmarkStart w:id="69" w:name="Tc_PjtvJL1gDEqCDCQxm79UEA_26_5"/>
      <w:bookmarkStart w:id="70" w:name="Tc_yHuyu5SFkkCL7UzTTn46Lw_26_2"/>
      <w:bookmarkStart w:id="71" w:name="Tc_-XfvpNvzt0iie4SaJtrcOg_26_0"/>
      <w:bookmarkStart w:id="72" w:name="Tc_yFUZ_0Ub-UiipjFPAL6v6A_25_0"/>
      <w:bookmarkStart w:id="73" w:name="Tc_PkVyx023ZkWKUhF0qC25cA_24_0"/>
      <w:bookmarkStart w:id="74" w:name="Tc_4JhI6Ri1N0q48YGKBwkFHg_22_0"/>
      <w:bookmarkStart w:id="75" w:name="Tc_MrpE4n5LJ0i3DN0CIJ2nZw_20_5"/>
      <w:bookmarkStart w:id="76" w:name="Tc_-7N5xNjmhU-yLbwmtWrPNA_20_2"/>
      <w:bookmarkStart w:id="77" w:name="Tc_ES-IX41_LEeYMCOuYPQzdg_20_0"/>
      <w:bookmarkStart w:id="78" w:name="Tc_9MWkVqqL4k6RsNJoUAvo5Q_19_0"/>
      <w:bookmarkStart w:id="79" w:name="Tc_esnQ1OjiDki0oD3kgpSnpw_18_0"/>
      <w:bookmarkStart w:id="80" w:name="Tc_VDmNKDbtlE2DHOLPXYCrNg_17_6"/>
      <w:bookmarkStart w:id="81" w:name="Tc_-51WJMWoBE-fSbA7iHIgPA_17_0"/>
      <w:bookmarkStart w:id="82" w:name="Tc_taJ1I52YekWC3t95NFp2cw_16_0"/>
      <w:bookmarkStart w:id="83" w:name="Tc_fNqzs-dNnUKVwQdG7CAjLQ_15_5"/>
      <w:bookmarkStart w:id="84" w:name="Tc_eKWHqYvvpU2A1Wek7GP3rA_15_3"/>
      <w:bookmarkStart w:id="85" w:name="Tc_T-mr2dzbzEi_xFiyD7FeRA_15_2"/>
      <w:bookmarkStart w:id="86" w:name="Tc_s7e8KWQpqUyMm3aqQCl_NQ_15_0"/>
      <w:bookmarkStart w:id="87" w:name="Tc_Uf4j-xicxEW23LJ0PPLdGA_14_0"/>
      <w:bookmarkStart w:id="88" w:name="Tc_rYgFCZcvPU-iJIndjYD8dw_12_5"/>
      <w:bookmarkStart w:id="89" w:name="Tc_MD-6krpybEeBh46-WaGjJA_12_2"/>
      <w:bookmarkStart w:id="90" w:name="Tc__NsfcRZCfUChTg1QMpmJ0g_12_0"/>
      <w:bookmarkStart w:id="91" w:name="Tc_cll9LwsbBUu5UAdGwtXieA_11_0"/>
      <w:bookmarkStart w:id="92" w:name="Tc_cfuNlwmeSESxnyjmoQvK4A_10_0"/>
      <w:bookmarkStart w:id="93" w:name="Tc_vAevx8z3iEyHjE05i5CqVg_9_0"/>
      <w:bookmarkStart w:id="94" w:name="Tc_O43w8dmW20S01TTxBnQ9Eg_8_0"/>
      <w:bookmarkStart w:id="95" w:name="Tc_5K4mQUoh-k2bkkWH_KhjrA_7_0"/>
      <w:bookmarkStart w:id="96" w:name="Tc_uXlftK2FN0eqhDnFX43pNA_6_5"/>
      <w:bookmarkStart w:id="97" w:name="Tc_6YYAgB9SqEGVhN4Fb_gy0w_6_2"/>
      <w:bookmarkStart w:id="98" w:name="Tc_YrnmSFTUy0ehhbNilOmbxg_6_0"/>
      <w:bookmarkStart w:id="99" w:name="Tc_jrce0hZyLkSOkKtX5tvh5g_5_0"/>
      <w:bookmarkStart w:id="100" w:name="Tc_OaSwhMKox0ixJhVAFvhr1g_3_0"/>
      <w:bookmarkStart w:id="101" w:name="Tc_XjKGcwQudUK7QkIlI_NOdA_1_5"/>
      <w:bookmarkStart w:id="102" w:name="Tc_9-FXvOZ1UUiwo5F5MPk3jQ_1_2"/>
      <w:bookmarkStart w:id="103" w:name="_26ebb788_9b3d_4dbb_85f8_adaa92a7253b"/>
      <w:bookmarkStart w:id="104" w:name="Tc_gxryUUx_WkGGpZZWpWZIXA_40_5"/>
      <w:bookmarkStart w:id="105" w:name="Tc_apgRF0xVwEK1sxjLBfpppQ_40_2"/>
      <w:bookmarkStart w:id="106" w:name="Tc_1lpY2hLegkSSpgQQLgdGBw_40_0"/>
      <w:bookmarkStart w:id="107" w:name="Tc_-xmVlpIpWE65hiWIRT8GPw_39_0"/>
      <w:bookmarkStart w:id="108" w:name="Tc_XliDWqs2M06dhypmjGsUrg_37_0"/>
      <w:bookmarkStart w:id="109" w:name="Tc_o-LfjMOPZkiZmhzXUKvNvg_35_5"/>
      <w:bookmarkStart w:id="110" w:name="Tc_lYIVvwF5TkaRisE-XwWmWA_35_2"/>
      <w:bookmarkStart w:id="111" w:name="Tc_qV3cOthj5kSZQb3YpsrMxw_35_0"/>
      <w:bookmarkStart w:id="112" w:name="Tc_inEJtFepbESAZcb_iWLA3Q_34_5"/>
      <w:bookmarkStart w:id="113" w:name="Tc_HkkOIogmykqXcAhfLlKgng_34_2"/>
      <w:bookmarkStart w:id="114" w:name="Tc_nWmN4WUQrEKA7OMKhWAxWg_34_0"/>
      <w:bookmarkStart w:id="115" w:name="Tc_fI1cwUmj-U2fnEgfmSiOBg_33_0"/>
      <w:bookmarkStart w:id="116" w:name="Tc_5ytzPu7tqUmCa5ok0iGFXw_32_5"/>
      <w:bookmarkStart w:id="117" w:name="Tc_z0ye_ZAvtUqwCaaHRJa_bA_32_3"/>
      <w:bookmarkStart w:id="118" w:name="Tc_4p6oZUlxH0GXH7yO4kq_bQ_32_2"/>
      <w:bookmarkStart w:id="119" w:name="Tc_yQN26Run-U2p-Td4inN4wQ_32_0"/>
      <w:bookmarkStart w:id="120" w:name="Tc_h_gsm2OhKUG8fksCGptlHg_31_0"/>
      <w:bookmarkStart w:id="121" w:name="Tc_tzQbD4rCKEammfmNTbt7ow_29_5"/>
      <w:bookmarkStart w:id="122" w:name="Tc_39-7E5o-vE6wjJ2hyDgecg_29_2"/>
      <w:bookmarkStart w:id="123" w:name="Tc_LmpTUQHIqkWX9rQ9UQ_13A_29_0"/>
      <w:bookmarkStart w:id="124" w:name="Tc_l4Tx4gIn-Uqk5B9aMi_-RA_28_0"/>
      <w:bookmarkStart w:id="125" w:name="Tc_w-rEQLR-AUG9HfUPiciUJw_27_0"/>
      <w:bookmarkStart w:id="126" w:name="Tc_PjtvJL1gDEqCDCQxm79UEA_26_5"/>
      <w:bookmarkStart w:id="127" w:name="Tc_yHuyu5SFkkCL7UzTTn46Lw_26_2"/>
      <w:bookmarkStart w:id="128" w:name="Tc_-XfvpNvzt0iie4SaJtrcOg_26_0"/>
      <w:bookmarkStart w:id="129" w:name="Tc_yFUZ_0Ub-UiipjFPAL6v6A_25_0"/>
      <w:bookmarkStart w:id="130" w:name="Tc_PkVyx023ZkWKUhF0qC25cA_24_0"/>
      <w:bookmarkStart w:id="131" w:name="Tc_4JhI6Ri1N0q48YGKBwkFHg_22_0"/>
      <w:bookmarkStart w:id="132" w:name="Tc_MrpE4n5LJ0i3DN0CIJ2nZw_20_5"/>
      <w:bookmarkStart w:id="133" w:name="Tc_-7N5xNjmhU-yLbwmtWrPNA_20_2"/>
      <w:bookmarkStart w:id="134" w:name="Tc_ES-IX41_LEeYMCOuYPQzdg_20_0"/>
      <w:bookmarkStart w:id="135" w:name="Tc_9MWkVqqL4k6RsNJoUAvo5Q_19_0"/>
      <w:bookmarkStart w:id="136" w:name="Tc_esnQ1OjiDki0oD3kgpSnpw_18_0"/>
      <w:bookmarkStart w:id="137" w:name="Tc_VDmNKDbtlE2DHOLPXYCrNg_17_6"/>
      <w:bookmarkStart w:id="138" w:name="Tc_-51WJMWoBE-fSbA7iHIgPA_17_0"/>
      <w:bookmarkStart w:id="139" w:name="Tc_taJ1I52YekWC3t95NFp2cw_16_0"/>
      <w:bookmarkStart w:id="140" w:name="Tc_fNqzs-dNnUKVwQdG7CAjLQ_15_5"/>
      <w:bookmarkStart w:id="141" w:name="Tc_eKWHqYvvpU2A1Wek7GP3rA_15_3"/>
      <w:bookmarkStart w:id="142" w:name="Tc_T-mr2dzbzEi_xFiyD7FeRA_15_2"/>
      <w:bookmarkStart w:id="143" w:name="Tc_s7e8KWQpqUyMm3aqQCl_NQ_15_0"/>
      <w:bookmarkStart w:id="144" w:name="Tc_Uf4j-xicxEW23LJ0PPLdGA_14_0"/>
      <w:bookmarkStart w:id="145" w:name="Tc_rYgFCZcvPU-iJIndjYD8dw_12_5"/>
      <w:bookmarkStart w:id="146" w:name="Tc_MD-6krpybEeBh46-WaGjJA_12_2"/>
      <w:bookmarkStart w:id="147" w:name="Tc__NsfcRZCfUChTg1QMpmJ0g_12_0"/>
      <w:bookmarkStart w:id="148" w:name="Tc_cll9LwsbBUu5UAdGwtXieA_11_0"/>
      <w:bookmarkStart w:id="149" w:name="Tc_cfuNlwmeSESxnyjmoQvK4A_10_0"/>
      <w:bookmarkStart w:id="150" w:name="Tc_vAevx8z3iEyHjE05i5CqVg_9_0"/>
      <w:bookmarkStart w:id="151" w:name="Tc_O43w8dmW20S01TTxBnQ9Eg_8_0"/>
      <w:bookmarkStart w:id="152" w:name="Tc_5K4mQUoh-k2bkkWH_KhjrA_7_0"/>
      <w:bookmarkStart w:id="153" w:name="Tc_uXlftK2FN0eqhDnFX43pNA_6_5"/>
      <w:bookmarkStart w:id="154" w:name="Tc_6YYAgB9SqEGVhN4Fb_gy0w_6_2"/>
      <w:bookmarkStart w:id="155" w:name="Tc_YrnmSFTUy0ehhbNilOmbxg_6_0"/>
      <w:bookmarkStart w:id="156" w:name="Tc_jrce0hZyLkSOkKtX5tvh5g_5_0"/>
      <w:bookmarkStart w:id="157" w:name="Tc_OaSwhMKox0ixJhVAFvhr1g_3_0"/>
      <w:bookmarkStart w:id="158" w:name="Tc_XjKGcwQudUK7QkIlI_NOdA_1_5"/>
      <w:bookmarkStart w:id="159" w:name="Tc_9-FXvOZ1UUiwo5F5MPk3jQ_1_2"/>
      <w:bookmarkStart w:id="160" w:name="_26ebb788_9b3d_4dbb_85f8_adaa92a7253b"/>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tbl>
      <w:tblPr>
        <w:tblW w:w="7700" w:type="dxa"/>
        <w:jc w:val="left"/>
        <w:tblInd w:w="0" w:type="dxa"/>
        <w:tblLayout w:type="fixed"/>
        <w:tblCellMar>
          <w:top w:w="0" w:type="dxa"/>
          <w:left w:w="0" w:type="dxa"/>
          <w:bottom w:w="0" w:type="dxa"/>
          <w:right w:w="0" w:type="dxa"/>
        </w:tblCellMar>
      </w:tblPr>
      <w:tblGrid>
        <w:gridCol w:w="4336"/>
        <w:gridCol w:w="346"/>
        <w:gridCol w:w="239"/>
        <w:gridCol w:w="887"/>
        <w:gridCol w:w="346"/>
        <w:gridCol w:w="328"/>
        <w:gridCol w:w="1218"/>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53360" cy="175260"/>
                      <wp:effectExtent l="0" t="0" r="0" b="0"/>
                      <wp:wrapNone/>
                      <wp:docPr id="1" name="Frame1"/>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51765" cy="175260"/>
                      <wp:effectExtent l="0" t="0" r="0" b="0"/>
                      <wp:wrapNone/>
                      <wp:docPr id="3" name="Frame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63245" cy="175260"/>
                      <wp:effectExtent l="0" t="0" r="0" b="0"/>
                      <wp:wrapNone/>
                      <wp:docPr id="4" name="Frame4"/>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8280" cy="175260"/>
                      <wp:effectExtent l="0" t="0" r="0" b="0"/>
                      <wp:wrapNone/>
                      <wp:docPr id="6" name="Frame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73430" cy="175260"/>
                      <wp:effectExtent l="0" t="0" r="0" b="0"/>
                      <wp:wrapNone/>
                      <wp:docPr id="7" name="Frame7"/>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center"/>
              <w:rPr/>
            </w:pPr>
            <w:r>
              <w:rPr/>
              <w:t>​</w:t>
            </w:r>
          </w:p>
        </w:tc>
        <w:tc>
          <w:tcPr>
            <w:tcW w:w="1218" w:type="dxa"/>
            <w:tcBorders/>
            <w:vAlign w:val="center"/>
          </w:tcPr>
          <w:p>
            <w:pPr>
              <w:pStyle w:val="TableContents"/>
              <w:bidi w:val="0"/>
              <w:spacing w:before="0" w:after="0"/>
              <w:ind w:left="0" w:right="0" w:hanging="0"/>
              <w:jc w:val="center"/>
              <w:rPr/>
            </w:pPr>
            <w:r>
              <w:rPr/>
              <w:t>​</w:t>
            </w:r>
          </w:p>
        </w:tc>
      </w:tr>
      <w:tr>
        <w:trPr/>
        <w:tc>
          <w:tcPr>
            <w:tcW w:w="43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27,420</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14,680</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bank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13,236</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15,593</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deposit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16,503</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8,840</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32,292</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25,729</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92,220</w:t>
            </w:r>
          </w:p>
        </w:tc>
        <w:tc>
          <w:tcPr>
            <w:tcW w:w="34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66,673</w:t>
            </w:r>
          </w:p>
        </w:tc>
      </w:tr>
      <w:tr>
        <w:trPr/>
        <w:tc>
          <w:tcPr>
            <w:tcW w:w="43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color w:val="009999"/>
              </w:rPr>
            </w:pPr>
            <w:r>
              <w:rPr>
                <w:color w:val="009999"/>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color w:val="009999"/>
              </w:rPr>
            </w:pPr>
            <w:r>
              <w:rPr>
                <w:color w:val="009999"/>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in respect of employee rights upon retirement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5,467</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4,879</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R&amp;D grant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asset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 of 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8,175</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7,700</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110,336</w:t>
            </w:r>
          </w:p>
        </w:tc>
        <w:tc>
          <w:tcPr>
            <w:tcW w:w="34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82,346</w:t>
            </w:r>
          </w:p>
        </w:tc>
      </w:tr>
      <w:tr>
        <w:trPr/>
        <w:tc>
          <w:tcPr>
            <w:tcW w:w="43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color w:val="009999"/>
              </w:rPr>
            </w:pPr>
            <w:r>
              <w:rPr>
                <w:color w:val="009999"/>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color w:val="009999"/>
              </w:rPr>
            </w:pPr>
            <w:r>
              <w:rPr>
                <w:color w:val="009999"/>
              </w:rPr>
              <w:t>  ​</w:t>
            </w:r>
          </w:p>
        </w:tc>
      </w:tr>
      <w:tr>
        <w:trPr/>
        <w:tc>
          <w:tcPr>
            <w:tcW w:w="43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color w:val="009999"/>
              </w:rPr>
            </w:pPr>
            <w:r>
              <w:rPr>
                <w:color w:val="009999"/>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color w:val="009999"/>
              </w:rPr>
            </w:pPr>
            <w:r>
              <w:rPr>
                <w:color w:val="009999"/>
              </w:rPr>
              <w:t>  ​</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accruals: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color w:val="009999"/>
              </w:rPr>
            </w:pPr>
            <w:r>
              <w:rPr>
                <w:color w:val="009999"/>
              </w:rPr>
              <w:t>  ​</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6,506</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5,259</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23,219</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19,875</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w:t>
            </w:r>
          </w:p>
        </w:tc>
        <w:tc>
          <w:tcPr>
            <w:tcW w:w="34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31,391</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26,518</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color w:val="009999"/>
              </w:rPr>
            </w:pPr>
            <w:r>
              <w:rPr>
                <w:color w:val="009999"/>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 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color w:val="009999"/>
              </w:rPr>
            </w:pPr>
            <w:r>
              <w:rPr>
                <w:color w:val="009999"/>
              </w:rPr>
              <w:t>  ​</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Liability for employee rights upon retirement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7,541</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6,937</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liabilities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7,541</w:t>
            </w:r>
          </w:p>
        </w:tc>
        <w:tc>
          <w:tcPr>
            <w:tcW w:w="34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7,598</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38,932</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34,116</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color w:val="009999"/>
              </w:rPr>
            </w:pPr>
            <w:r>
              <w:rPr>
                <w:color w:val="009999"/>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color w:val="009999"/>
              </w:rPr>
            </w:pPr>
            <w:r>
              <w:rPr>
                <w:color w:val="009999"/>
              </w:rPr>
              <w:t>​</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color w:val="009999"/>
              </w:rPr>
            </w:pPr>
            <w:r>
              <w:rPr>
                <w:color w:val="009999"/>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71,404</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48,230</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110,336</w:t>
            </w:r>
          </w:p>
        </w:tc>
        <w:tc>
          <w:tcPr>
            <w:tcW w:w="34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82,346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accompanying notes are an integral part of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1" w:name="_9a08b33a_5d5f_43b4_be6d_d4c8c067f7d4"/>
      <w:bookmarkEnd w:id="161"/>
      <w:r>
        <w:rPr>
          <w:rFonts w:ascii="Times New Roman;Times;serif" w:hAnsi="Times New Roman;Times;serif"/>
          <w:b/>
          <w:sz w:val="20"/>
        </w:rPr>
        <w:t>PROTALIX BIOTHERAPEUTICS, INC.</w:t>
      </w:r>
    </w:p>
    <w:p>
      <w:pPr>
        <w:pStyle w:val="TextBody"/>
        <w:bidi w:val="0"/>
        <w:spacing w:before="0" w:after="0"/>
        <w:ind w:left="0" w:right="0" w:hanging="0"/>
        <w:jc w:val="center"/>
        <w:rPr>
          <w:rFonts w:ascii="Times New Roman;Times;serif" w:hAnsi="Times New Roman;Times;serif"/>
          <w:b/>
          <w:sz w:val="20"/>
        </w:rPr>
      </w:pPr>
      <w:bookmarkStart w:id="162" w:name="CONDENSEDCONSOLIDATEDSTATEMENTSOFOPERATI"/>
      <w:bookmarkEnd w:id="162"/>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(Unaudited) </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63" w:name="Tc_aoDBhNgLz0yCouSX5uylMw_22_0"/>
      <w:bookmarkStart w:id="164" w:name="Tc_vjKjejRnd0K9hmki0t3OpQ_21_0"/>
      <w:bookmarkStart w:id="165" w:name="Tc_UIWCUM7I8EGYAwibVySfRA_20_0"/>
      <w:bookmarkStart w:id="166" w:name="Tc_JilgFw1Y70qtVg_nOZy59w_19_0"/>
      <w:bookmarkStart w:id="167" w:name="Tc_M6ae9m9yPEOo_TbL3m8yGA_18_11"/>
      <w:bookmarkStart w:id="168" w:name="Tc_H5a2R4g3a0aegbgebAAhPA_18_8"/>
      <w:bookmarkStart w:id="169" w:name="Tc_AaX1Tc8yKkGks9MVEwwVsw_18_5"/>
      <w:bookmarkStart w:id="170" w:name="Tc_8nQx80qcM0WcZihLRilvdQ_18_2"/>
      <w:bookmarkStart w:id="171" w:name="Tc_Kcl-ewZ1-kWzj_T9AF-8oQ_18_0"/>
      <w:bookmarkStart w:id="172" w:name="Tc_H9MnL20or0iEYAfMrDSlfQ_17_11"/>
      <w:bookmarkStart w:id="173" w:name="Tc_GtV-k7Tf30CiTrc-9dywPA_17_8"/>
      <w:bookmarkStart w:id="174" w:name="Tc_YXSGXDJzG0qK_FLijvqV4g_17_5"/>
      <w:bookmarkStart w:id="175" w:name="Tc_SQOpDg1dm0KXeYTi1bn7gw_17_2"/>
      <w:bookmarkStart w:id="176" w:name="Tc_yCXDxeVmE0GWrTyN0k2zOg_17_0"/>
      <w:bookmarkStart w:id="177" w:name="Tc_hXtWwJK_FEiHKb_k6CLvZg_16_0"/>
      <w:bookmarkStart w:id="178" w:name="Tc_tVyGA7TTvUO1W7Yuz1UWMg_15_11"/>
      <w:bookmarkStart w:id="179" w:name="Tc_BR-2T8QwXUe5JIO5287dGg_15_8"/>
      <w:bookmarkStart w:id="180" w:name="Tc_m0GI1QqXyU2BLsP1zf845g_15_5"/>
      <w:bookmarkStart w:id="181" w:name="Tc_C7X4GWeGw0-9MSVPuDr9pQ_15_2"/>
      <w:bookmarkStart w:id="182" w:name="Tc_tHrk6F3KoUK92KT_wRLpgg_15_0"/>
      <w:bookmarkStart w:id="183" w:name="Tc_UDWO9AsEG0mNvSEronKrsA_14_0"/>
      <w:bookmarkStart w:id="184" w:name="Tc_L7e1ViG4dkCUgt9H-Y40Wg_13_0"/>
      <w:bookmarkStart w:id="185" w:name="Tc_JR12JQPAQk-FB_9LJSJSLw_12_0"/>
      <w:bookmarkStart w:id="186" w:name="Tc_QlxLhmPiKkGFa3IsS7hBjw_11_0"/>
      <w:bookmarkStart w:id="187" w:name="Tc_WSWCoVZujESFOsZ7scDLvw_10_0"/>
      <w:bookmarkStart w:id="188" w:name="Tc_bxB-j9SuIUOEpKNvm8c_zQ_9_0"/>
      <w:bookmarkStart w:id="189" w:name="Tc_kg-buoDtEkKgbYNNbZ0IeA_8_0"/>
      <w:bookmarkStart w:id="190" w:name="Tc_F__SYiI7y06Dlx0_wqQplw_7_0"/>
      <w:bookmarkStart w:id="191" w:name="Tc_32PI1RDGZEKv9i_l3wpTtg_6_0"/>
      <w:bookmarkStart w:id="192" w:name="Tc_vf7OQ-Fq6UKzeYHc0iOkFQ_5_0"/>
      <w:bookmarkStart w:id="193" w:name="Tc_MBrxuyo5Sky68nfy-u0C5g_4_0"/>
      <w:bookmarkStart w:id="194" w:name="Tc_q-bjnrT8LkibxzL8nBtWFg_3_11"/>
      <w:bookmarkStart w:id="195" w:name="Tc_BOg0ZnT6GUmYCry7xEDcAA_3_8"/>
      <w:bookmarkStart w:id="196" w:name="Tc_elOsSePZdUeP0KwzRhMjkg_3_5"/>
      <w:bookmarkStart w:id="197" w:name="Tc_lO4NBA_hHUS1i2xeWbz7Yw_3_2"/>
      <w:bookmarkStart w:id="198" w:name="Tc_G7PzHW9B1EaL2MckjTu4nQ_3_0"/>
      <w:bookmarkStart w:id="199" w:name="Tc_rYyiqh1uRUuOqHs5S3DJtA_2_11"/>
      <w:bookmarkStart w:id="200" w:name="Tc_acMdBN1fsUKxJ4tHjwsFuA_2_8"/>
      <w:bookmarkStart w:id="201" w:name="Tc_6wwi2Qay50WxG0rTDGIb4Q_2_5"/>
      <w:bookmarkStart w:id="202" w:name="Tc_zHqWkxshuU61n2qpiYMrTg_2_2"/>
      <w:bookmarkStart w:id="203" w:name="Tc_ZmKOFA3wF0GOxWDPhuD5Tw_1_8"/>
      <w:bookmarkStart w:id="204" w:name="Tc_vGP8IwK_c0CCAnMrwlNCiA_1_2"/>
      <w:bookmarkStart w:id="205" w:name="_245770eb_1795_4abb_94f5_de46e607fba1"/>
      <w:bookmarkStart w:id="206" w:name="Tc_aoDBhNgLz0yCouSX5uylMw_22_0"/>
      <w:bookmarkStart w:id="207" w:name="Tc_vjKjejRnd0K9hmki0t3OpQ_21_0"/>
      <w:bookmarkStart w:id="208" w:name="Tc_UIWCUM7I8EGYAwibVySfRA_20_0"/>
      <w:bookmarkStart w:id="209" w:name="Tc_JilgFw1Y70qtVg_nOZy59w_19_0"/>
      <w:bookmarkStart w:id="210" w:name="Tc_M6ae9m9yPEOo_TbL3m8yGA_18_11"/>
      <w:bookmarkStart w:id="211" w:name="Tc_H5a2R4g3a0aegbgebAAhPA_18_8"/>
      <w:bookmarkStart w:id="212" w:name="Tc_AaX1Tc8yKkGks9MVEwwVsw_18_5"/>
      <w:bookmarkStart w:id="213" w:name="Tc_8nQx80qcM0WcZihLRilvdQ_18_2"/>
      <w:bookmarkStart w:id="214" w:name="Tc_Kcl-ewZ1-kWzj_T9AF-8oQ_18_0"/>
      <w:bookmarkStart w:id="215" w:name="Tc_H9MnL20or0iEYAfMrDSlfQ_17_11"/>
      <w:bookmarkStart w:id="216" w:name="Tc_GtV-k7Tf30CiTrc-9dywPA_17_8"/>
      <w:bookmarkStart w:id="217" w:name="Tc_YXSGXDJzG0qK_FLijvqV4g_17_5"/>
      <w:bookmarkStart w:id="218" w:name="Tc_SQOpDg1dm0KXeYTi1bn7gw_17_2"/>
      <w:bookmarkStart w:id="219" w:name="Tc_yCXDxeVmE0GWrTyN0k2zOg_17_0"/>
      <w:bookmarkStart w:id="220" w:name="Tc_hXtWwJK_FEiHKb_k6CLvZg_16_0"/>
      <w:bookmarkStart w:id="221" w:name="Tc_tVyGA7TTvUO1W7Yuz1UWMg_15_11"/>
      <w:bookmarkStart w:id="222" w:name="Tc_BR-2T8QwXUe5JIO5287dGg_15_8"/>
      <w:bookmarkStart w:id="223" w:name="Tc_m0GI1QqXyU2BLsP1zf845g_15_5"/>
      <w:bookmarkStart w:id="224" w:name="Tc_C7X4GWeGw0-9MSVPuDr9pQ_15_2"/>
      <w:bookmarkStart w:id="225" w:name="Tc_tHrk6F3KoUK92KT_wRLpgg_15_0"/>
      <w:bookmarkStart w:id="226" w:name="Tc_UDWO9AsEG0mNvSEronKrsA_14_0"/>
      <w:bookmarkStart w:id="227" w:name="Tc_L7e1ViG4dkCUgt9H-Y40Wg_13_0"/>
      <w:bookmarkStart w:id="228" w:name="Tc_JR12JQPAQk-FB_9LJSJSLw_12_0"/>
      <w:bookmarkStart w:id="229" w:name="Tc_QlxLhmPiKkGFa3IsS7hBjw_11_0"/>
      <w:bookmarkStart w:id="230" w:name="Tc_WSWCoVZujESFOsZ7scDLvw_10_0"/>
      <w:bookmarkStart w:id="231" w:name="Tc_bxB-j9SuIUOEpKNvm8c_zQ_9_0"/>
      <w:bookmarkStart w:id="232" w:name="Tc_kg-buoDtEkKgbYNNbZ0IeA_8_0"/>
      <w:bookmarkStart w:id="233" w:name="Tc_F__SYiI7y06Dlx0_wqQplw_7_0"/>
      <w:bookmarkStart w:id="234" w:name="Tc_32PI1RDGZEKv9i_l3wpTtg_6_0"/>
      <w:bookmarkStart w:id="235" w:name="Tc_vf7OQ-Fq6UKzeYHc0iOkFQ_5_0"/>
      <w:bookmarkStart w:id="236" w:name="Tc_MBrxuyo5Sky68nfy-u0C5g_4_0"/>
      <w:bookmarkStart w:id="237" w:name="Tc_q-bjnrT8LkibxzL8nBtWFg_3_11"/>
      <w:bookmarkStart w:id="238" w:name="Tc_BOg0ZnT6GUmYCry7xEDcAA_3_8"/>
      <w:bookmarkStart w:id="239" w:name="Tc_elOsSePZdUeP0KwzRhMjkg_3_5"/>
      <w:bookmarkStart w:id="240" w:name="Tc_lO4NBA_hHUS1i2xeWbz7Yw_3_2"/>
      <w:bookmarkStart w:id="241" w:name="Tc_G7PzHW9B1EaL2MckjTu4nQ_3_0"/>
      <w:bookmarkStart w:id="242" w:name="Tc_rYyiqh1uRUuOqHs5S3DJtA_2_11"/>
      <w:bookmarkStart w:id="243" w:name="Tc_acMdBN1fsUKxJ4tHjwsFuA_2_8"/>
      <w:bookmarkStart w:id="244" w:name="Tc_6wwi2Qay50WxG0rTDGIb4Q_2_5"/>
      <w:bookmarkStart w:id="245" w:name="Tc_zHqWkxshuU61n2qpiYMrTg_2_2"/>
      <w:bookmarkStart w:id="246" w:name="Tc_ZmKOFA3wF0GOxWDPhuD5Tw_1_8"/>
      <w:bookmarkStart w:id="247" w:name="Tc_vGP8IwK_c0CCAnMrwlNCiA_1_2"/>
      <w:bookmarkStart w:id="248" w:name="_245770eb_1795_4abb_94f5_de46e607fba1"/>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tbl>
      <w:tblPr>
        <w:tblW w:w="10205" w:type="dxa"/>
        <w:jc w:val="left"/>
        <w:tblInd w:w="0" w:type="dxa"/>
        <w:tblLayout w:type="fixed"/>
        <w:tblCellMar>
          <w:top w:w="0" w:type="dxa"/>
          <w:left w:w="0" w:type="dxa"/>
          <w:bottom w:w="0" w:type="dxa"/>
          <w:right w:w="0" w:type="dxa"/>
        </w:tblCellMar>
      </w:tblPr>
      <w:tblGrid>
        <w:gridCol w:w="4226"/>
        <w:gridCol w:w="346"/>
        <w:gridCol w:w="198"/>
        <w:gridCol w:w="928"/>
        <w:gridCol w:w="346"/>
        <w:gridCol w:w="198"/>
        <w:gridCol w:w="928"/>
        <w:gridCol w:w="346"/>
        <w:gridCol w:w="198"/>
        <w:gridCol w:w="928"/>
        <w:gridCol w:w="346"/>
        <w:gridCol w:w="196"/>
        <w:gridCol w:w="1021"/>
      </w:tblGrid>
      <w:tr>
        <w:trPr/>
        <w:tc>
          <w:tcPr>
            <w:tcW w:w="4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683510" cy="175260"/>
                      <wp:effectExtent l="0" t="0" r="0" b="0"/>
                      <wp:wrapNone/>
                      <wp:docPr id="8" name="Frame8"/>
                      <a:graphic xmlns:a="http://schemas.openxmlformats.org/drawingml/2006/main">
                        <a:graphicData uri="http://schemas.microsoft.com/office/word/2010/wordprocessingShape">
                          <wps:wsp>
                            <wps:cNvSpPr txBox="1"/>
                            <wps:spPr>
                              <a:xfrm>
                                <a:off x="0" y="0"/>
                                <a:ext cx="268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5730" cy="175260"/>
                      <wp:effectExtent l="0" t="0" r="0" b="0"/>
                      <wp:wrapNone/>
                      <wp:docPr id="10" name="Frame10"/>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89280" cy="175260"/>
                      <wp:effectExtent l="0" t="0" r="0" b="0"/>
                      <wp:wrapNone/>
                      <wp:docPr id="11" name="Frame11"/>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5730" cy="175260"/>
                      <wp:effectExtent l="0" t="0" r="0" b="0"/>
                      <wp:wrapNone/>
                      <wp:docPr id="13" name="Frame13"/>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89280" cy="175260"/>
                      <wp:effectExtent l="0" t="0" r="0" b="0"/>
                      <wp:wrapNone/>
                      <wp:docPr id="14" name="Frame14"/>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5730" cy="175260"/>
                      <wp:effectExtent l="0" t="0" r="0" b="0"/>
                      <wp:wrapNone/>
                      <wp:docPr id="16" name="Frame16"/>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89280" cy="175260"/>
                      <wp:effectExtent l="0" t="0" r="0" b="0"/>
                      <wp:wrapNone/>
                      <wp:docPr id="17" name="Frame17"/>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9"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335" cy="175260"/>
                      <wp:effectExtent l="0" t="0" r="0" b="0"/>
                      <wp:wrapNone/>
                      <wp:docPr id="20" name="Frame20"/>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268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42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REVENUES FROM SELLING GOODS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27,247</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25,435</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15,440</w:t>
            </w:r>
          </w:p>
        </w:tc>
      </w:tr>
      <w:tr>
        <w:trPr/>
        <w:tc>
          <w:tcPr>
            <w:tcW w:w="42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REVENUES FROM LICENSE AND R&amp;D SERVICES</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26,399</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w:t>
            </w:r>
          </w:p>
        </w:tc>
      </w:tr>
      <w:tr>
        <w:trPr/>
        <w:tc>
          <w:tcPr>
            <w:tcW w:w="42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53,646</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25,771</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15,658</w:t>
            </w:r>
          </w:p>
        </w:tc>
      </w:tr>
      <w:tr>
        <w:trPr/>
        <w:tc>
          <w:tcPr>
            <w:tcW w:w="42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COST OF REVENUES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(11,889)</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(14,050)</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(5,870)</w:t>
            </w:r>
          </w:p>
        </w:tc>
      </w:tr>
      <w:tr>
        <w:trPr/>
        <w:tc>
          <w:tcPr>
            <w:tcW w:w="42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RESEARCH AND DEVELOPMENT EXPENSES, NET</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(9,777)</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(9,467)</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(5,992)</w:t>
            </w:r>
          </w:p>
        </w:tc>
      </w:tr>
      <w:tr>
        <w:trPr/>
        <w:tc>
          <w:tcPr>
            <w:tcW w:w="42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SELLING, GENERAL, AND ADMINISTRATIVE EXPENSES</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(6,162)</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(5,227)</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(2,624)</w:t>
            </w:r>
          </w:p>
        </w:tc>
      </w:tr>
      <w:tr>
        <w:trPr/>
        <w:tc>
          <w:tcPr>
            <w:tcW w:w="42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OPERATING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25,818</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(2,973)</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1,172</w:t>
            </w:r>
          </w:p>
        </w:tc>
      </w:tr>
      <w:tr>
        <w:trPr/>
        <w:tc>
          <w:tcPr>
            <w:tcW w:w="42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FINANCIAL EXPENSES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(665)</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(628)</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(783)</w:t>
            </w:r>
          </w:p>
        </w:tc>
      </w:tr>
      <w:tr>
        <w:trPr/>
        <w:tc>
          <w:tcPr>
            <w:tcW w:w="42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FINANCIAL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848</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272</w:t>
            </w:r>
          </w:p>
        </w:tc>
      </w:tr>
      <w:tr>
        <w:trPr/>
        <w:tc>
          <w:tcPr>
            <w:tcW w:w="42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FINANCIAL INCOME (EXPENSES), NET</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(511)</w:t>
            </w:r>
          </w:p>
        </w:tc>
      </w:tr>
      <w:tr>
        <w:trPr/>
        <w:tc>
          <w:tcPr>
            <w:tcW w:w="42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INCOME (LOSS) BEFORE TAXES ON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26,001</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(3,071)</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661</w:t>
            </w:r>
          </w:p>
        </w:tc>
      </w:tr>
      <w:tr>
        <w:trPr/>
        <w:tc>
          <w:tcPr>
            <w:tcW w:w="42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TAXES ON INCOME</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3,907</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497</w:t>
            </w:r>
          </w:p>
        </w:tc>
      </w:tr>
      <w:tr>
        <w:trPr/>
        <w:tc>
          <w:tcPr>
            <w:tcW w:w="42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22,094</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(3,455)</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w:t>
            </w:r>
          </w:p>
        </w:tc>
      </w:tr>
      <w:tr>
        <w:trPr/>
        <w:tc>
          <w:tcPr>
            <w:tcW w:w="42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EARNINGS (LOSS) PER SHARE OF COMMON STOCK:</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42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BASIC </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0.28</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(0.04)</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42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DILUTED</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0.27</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(0.04)</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42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WEIGHTED AVERAGE NUMBER OF SHARES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left"/>
              <w:rPr/>
            </w:pPr>
            <w:r>
              <w:rPr/>
              <w:t>​</w:t>
            </w:r>
          </w:p>
        </w:tc>
      </w:tr>
      <w:tr>
        <w:trPr/>
        <w:tc>
          <w:tcPr>
            <w:tcW w:w="42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USED IN COMPUTING EARNINGS (LOSS) PER SHARE:</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left"/>
              <w:rPr/>
            </w:pPr>
            <w:r>
              <w:rPr/>
              <w:t>​</w:t>
            </w:r>
          </w:p>
        </w:tc>
      </w:tr>
      <w:tr>
        <w:trPr/>
        <w:tc>
          <w:tcPr>
            <w:tcW w:w="42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BASIC </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79,884,562</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77,651,330</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79,986,325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78,663,884</w:t>
            </w:r>
          </w:p>
        </w:tc>
      </w:tr>
      <w:tr>
        <w:trPr/>
        <w:tc>
          <w:tcPr>
            <w:tcW w:w="42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DILUTED</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82,810,511</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77,651,330</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82,560,235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81,271,610</w:t>
            </w:r>
          </w:p>
        </w:tc>
      </w:tr>
    </w:tbl>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9" w:name="_6c780c49_7d3a_4dc6_95f2_b468136b4ae8"/>
      <w:bookmarkEnd w:id="249"/>
      <w:r>
        <w:rPr>
          <w:rFonts w:ascii="Times New Roman;Times;serif" w:hAnsi="Times New Roman;Times;serif"/>
          <w:b/>
          <w:sz w:val="20"/>
        </w:rPr>
        <w:t>PROTALIX BIOTHERAPEUTICS, INC.</w:t>
      </w:r>
    </w:p>
    <w:p>
      <w:pPr>
        <w:pStyle w:val="TextBody"/>
        <w:bidi w:val="0"/>
        <w:spacing w:before="0" w:after="0"/>
        <w:ind w:left="0" w:right="0" w:hanging="0"/>
        <w:jc w:val="center"/>
        <w:rPr>
          <w:rFonts w:ascii="Times New Roman;Times;serif" w:hAnsi="Times New Roman;Times;serif"/>
          <w:b/>
          <w:sz w:val="20"/>
        </w:rPr>
      </w:pPr>
      <w:bookmarkStart w:id="250" w:name="CONDENSEDCONSOLIDATEDSTATEMENTSOFCHANGES"/>
      <w:bookmarkEnd w:id="250"/>
      <w:r>
        <w:rPr>
          <w:rFonts w:ascii="Times New Roman;Times;serif" w:hAnsi="Times New Roman;Times;serif"/>
          <w:b/>
          <w:sz w:val="20"/>
        </w:rPr>
        <w:t>CONDENSED CONSOLIDATED STATEMENTS OF CHANGES IN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STOCKHOLDERS’ EQUITY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(Unaudited) </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51" w:name="Tc_x9JkK66-o0uVlNZnLJ0tQQ_34_13"/>
      <w:bookmarkStart w:id="252" w:name="Tc_WghCvkvXrECgcj3x6sHsiw_34_10"/>
      <w:bookmarkStart w:id="253" w:name="Tc_xCbhYtPg2kacBu2tAOIbtA_34_7"/>
      <w:bookmarkStart w:id="254" w:name="Tc_Ad6abNtsckitIz0hSPbAWg_34_4"/>
      <w:bookmarkStart w:id="255" w:name="Tc_p2Cm04Q9wEC5oS04fITx1w_34_0"/>
      <w:bookmarkStart w:id="256" w:name="Tc_J0LvcvqgkkyVFme794Qpig_33_0"/>
      <w:bookmarkStart w:id="257" w:name="Tc_gX3eS2d1QEaZVwL-oeSw5Q_32_0"/>
      <w:bookmarkStart w:id="258" w:name="Tc_zCXZz4W3OESmYznhhEZQEg_31_0"/>
      <w:bookmarkStart w:id="259" w:name="Tc_06Khjwcci0ib3aGDnX05Rg_30_0"/>
      <w:bookmarkStart w:id="260" w:name="Tc_4WAkMocVAUCq84hjO3lPBw_29_13"/>
      <w:bookmarkStart w:id="261" w:name="Tc_xlosnepL-EiWn7dnrsvdFQ_29_10"/>
      <w:bookmarkStart w:id="262" w:name="Tc_tx4Y3geK0063Zhvzy6dO2g_29_7"/>
      <w:bookmarkStart w:id="263" w:name="Tc_cgwme8MLK06yxm5ULgIHzw_29_4"/>
      <w:bookmarkStart w:id="264" w:name="Tc_2ZlayApEJU-QWH2SbmAc2A_29_0"/>
      <w:bookmarkStart w:id="265" w:name="Tc_EnQOkubX3US3zcsY9D8SBw_28_13"/>
      <w:bookmarkStart w:id="266" w:name="Tc_jbIoTwTayEC1QWuUp_KXpw_28_10"/>
      <w:bookmarkStart w:id="267" w:name="Tc_icjCv2Z2dkyA2-uV-A26Mw_28_7"/>
      <w:bookmarkStart w:id="268" w:name="Tc_m2mckWHto0yrs0gz29BptQ_28_4"/>
      <w:bookmarkStart w:id="269" w:name="Tc_sF1SijXoPkGMr0FsNIhd0g_28_0"/>
      <w:bookmarkStart w:id="270" w:name="Tc_pw_YHgWXgk68rGaMNt2doQ_27_0"/>
      <w:bookmarkStart w:id="271" w:name="Tc_s1xjda9EQkmoorHf6cQO6Q_26_5"/>
      <w:bookmarkStart w:id="272" w:name="Tc_VMEZcaE7CU-d-iR4uoj6GQ_26_0"/>
      <w:bookmarkStart w:id="273" w:name="Tc_YrWzbmsv5UKJ0m4nFgLeQw_25_0"/>
      <w:bookmarkStart w:id="274" w:name="Tc_Vg_AVPIPc0e80mvR__9I8Q_24_0"/>
      <w:bookmarkStart w:id="275" w:name="Tc_G0YCT5ql-02gEIHSKN1xyg_23_0"/>
      <w:bookmarkStart w:id="276" w:name="Tc_JUNDP4yd1kunLJ6aBpUxbQ_22_0"/>
      <w:bookmarkStart w:id="277" w:name="Tc_jV5ywui7V0aSfaJebfGJDA_21_13"/>
      <w:bookmarkStart w:id="278" w:name="Tc_4pCHhWCyQkCRo_FbOwLazQ_21_10"/>
      <w:bookmarkStart w:id="279" w:name="Tc_oazLTgurRk27kvuOrlDNpA_21_7"/>
      <w:bookmarkStart w:id="280" w:name="Tc_DQeY8mio30mY6yR0YXe4Cg_21_4"/>
      <w:bookmarkStart w:id="281" w:name="Tc_f4Op9GF6Ek6Oam1cS_A-FQ_21_0"/>
      <w:bookmarkStart w:id="282" w:name="Tc_vVUDt76TlkqOV89oNKfkpQ_20_13"/>
      <w:bookmarkStart w:id="283" w:name="Tc__zMfKPlnck2D-YoDgAd2nw_20_10"/>
      <w:bookmarkStart w:id="284" w:name="Tc_hFaFTuKWhEODVTF-x-Oipw_20_7"/>
      <w:bookmarkStart w:id="285" w:name="Tc_gtHuI6WcHUObr45MtMW9Nw_20_4"/>
      <w:bookmarkStart w:id="286" w:name="Tc_Q1eQgUzjkUajEp1GermHRg_20_0"/>
      <w:bookmarkStart w:id="287" w:name="Tc_2owCen2cUE6Y6gLyNdAxrQ_19_0"/>
      <w:bookmarkStart w:id="288" w:name="Tc_W-JHVMfM_U6kc-DCr1v_Yw_18_0"/>
      <w:bookmarkStart w:id="289" w:name="Tc_PuKU1fyGak2lv8HZajmbRQ_17_0"/>
      <w:bookmarkStart w:id="290" w:name="Tc_ioWmB11e90quBbKyPKnG8g_16_0"/>
      <w:bookmarkStart w:id="291" w:name="Tc_NTE7elkuak2rdz9ryGDeNA_15_0"/>
      <w:bookmarkStart w:id="292" w:name="Tc_6t3bT-wHikG9Mwe0ARriDQ_14_13"/>
      <w:bookmarkStart w:id="293" w:name="Tc_7et2LeELRkaQbHU2wx8DIQ_14_10"/>
      <w:bookmarkStart w:id="294" w:name="Tc_X0LdONe0W0erMCncqODJIQ_14_7"/>
      <w:bookmarkStart w:id="295" w:name="Tc_k5U3D7QysE-bzhNFBCCY1w_14_4"/>
      <w:bookmarkStart w:id="296" w:name="Tc__i6lSpXGT0ipfxudbE1Ayg_14_0"/>
      <w:bookmarkStart w:id="297" w:name="Tc_OrOMJJsXuU645Iv9Ip7AzA_13_13"/>
      <w:bookmarkStart w:id="298" w:name="Tc_1QGQkWpz5kuBTT5RvtziBw_13_10"/>
      <w:bookmarkStart w:id="299" w:name="Tc_W_npiNqvPkmaJsRRYzTgFA_13_7"/>
      <w:bookmarkStart w:id="300" w:name="Tc_bENv6e3RNEKprT6noXQYIw_13_4"/>
      <w:bookmarkStart w:id="301" w:name="Tc_6sL8hsD1eEiTOzStozJbGw_13_0"/>
      <w:bookmarkStart w:id="302" w:name="Tc_jApBmJ-4YEy2j7qYskaetg_12_0"/>
      <w:bookmarkStart w:id="303" w:name="Tc_4o2KL9SUlEa39B6plBMaQw_11_0"/>
      <w:bookmarkStart w:id="304" w:name="Tc_mFXYSwoSUEKe1rqbIJJMbA_10_0"/>
      <w:bookmarkStart w:id="305" w:name="Tc_UeEYkhUqc0uEx2ZUNl_oug_9_0"/>
      <w:bookmarkStart w:id="306" w:name="Tc_UvRu8K2lEUa15TJAlov5Ow_8_0"/>
      <w:bookmarkStart w:id="307" w:name="Tc_fYZuHZd2KUmHQfzEBOcptg_7_0"/>
      <w:bookmarkStart w:id="308" w:name="Tc_N6VYecAm20uO0wgIg97ilg_6_13"/>
      <w:bookmarkStart w:id="309" w:name="Tc_z_HK392T4U2LnxOoMCUyZg_6_10"/>
      <w:bookmarkStart w:id="310" w:name="Tc_uNfm1aeS90m3MAjDMZ7tsA_6_7"/>
      <w:bookmarkStart w:id="311" w:name="Tc_nHnRJS8YikijOJjjqwrNKg_6_4"/>
      <w:bookmarkStart w:id="312" w:name="Tc_PugHET4qSE2xYAPNTQVJ3g_6_0"/>
      <w:bookmarkStart w:id="313" w:name="Tc_gjw6kgVyjUihkxjizaGQwg_5_4"/>
      <w:bookmarkStart w:id="314" w:name="Tc_vog52PSyuUC9yrp5k-X_Mg_5_2"/>
      <w:bookmarkStart w:id="315" w:name="Tc_umtsH_XHt0CcgcgH14yFiQ_4_2"/>
      <w:bookmarkStart w:id="316" w:name="Tc_N3pETa-_3EOyH7Uvald_Vw_3_13"/>
      <w:bookmarkStart w:id="317" w:name="Tc_DaYfoxBIQkyhLkaXVWrAMA_3_10"/>
      <w:bookmarkStart w:id="318" w:name="Tc_woczFpbW_Em5rDg7clgl2w_3_7"/>
      <w:bookmarkStart w:id="319" w:name="Tc_C-cTO5cGnUieIMdiYQ-vXQ_3_4"/>
      <w:bookmarkStart w:id="320" w:name="Tc_2EeeR7_P5kq_2j9uZgVdEg_3_2"/>
      <w:bookmarkStart w:id="321" w:name="Tc_t2woXV7naki5cpszjWZfkg_2_10"/>
      <w:bookmarkStart w:id="322" w:name="Tc_rZdk0MppkECzreu24c9s0A_2_7"/>
      <w:bookmarkStart w:id="323" w:name="Tc_LmhyJ6N9PEaZj250MMQnwA_2_4"/>
      <w:bookmarkStart w:id="324" w:name="Tc_IbfQw9tD3ECfuO1RYjplQw_2_2"/>
      <w:bookmarkStart w:id="325" w:name="Tc_HnaHC2-vuUS50VREN52y0w_1_7"/>
      <w:bookmarkStart w:id="326" w:name="_51b0fa27_d06a_4470_84d5_013b9f213bd8"/>
      <w:bookmarkStart w:id="327" w:name="Tc_x9JkK66-o0uVlNZnLJ0tQQ_34_13"/>
      <w:bookmarkStart w:id="328" w:name="Tc_WghCvkvXrECgcj3x6sHsiw_34_10"/>
      <w:bookmarkStart w:id="329" w:name="Tc_xCbhYtPg2kacBu2tAOIbtA_34_7"/>
      <w:bookmarkStart w:id="330" w:name="Tc_Ad6abNtsckitIz0hSPbAWg_34_4"/>
      <w:bookmarkStart w:id="331" w:name="Tc_p2Cm04Q9wEC5oS04fITx1w_34_0"/>
      <w:bookmarkStart w:id="332" w:name="Tc_J0LvcvqgkkyVFme794Qpig_33_0"/>
      <w:bookmarkStart w:id="333" w:name="Tc_gX3eS2d1QEaZVwL-oeSw5Q_32_0"/>
      <w:bookmarkStart w:id="334" w:name="Tc_zCXZz4W3OESmYznhhEZQEg_31_0"/>
      <w:bookmarkStart w:id="335" w:name="Tc_06Khjwcci0ib3aGDnX05Rg_30_0"/>
      <w:bookmarkStart w:id="336" w:name="Tc_4WAkMocVAUCq84hjO3lPBw_29_13"/>
      <w:bookmarkStart w:id="337" w:name="Tc_xlosnepL-EiWn7dnrsvdFQ_29_10"/>
      <w:bookmarkStart w:id="338" w:name="Tc_tx4Y3geK0063Zhvzy6dO2g_29_7"/>
      <w:bookmarkStart w:id="339" w:name="Tc_cgwme8MLK06yxm5ULgIHzw_29_4"/>
      <w:bookmarkStart w:id="340" w:name="Tc_2ZlayApEJU-QWH2SbmAc2A_29_0"/>
      <w:bookmarkStart w:id="341" w:name="Tc_EnQOkubX3US3zcsY9D8SBw_28_13"/>
      <w:bookmarkStart w:id="342" w:name="Tc_jbIoTwTayEC1QWuUp_KXpw_28_10"/>
      <w:bookmarkStart w:id="343" w:name="Tc_icjCv2Z2dkyA2-uV-A26Mw_28_7"/>
      <w:bookmarkStart w:id="344" w:name="Tc_m2mckWHto0yrs0gz29BptQ_28_4"/>
      <w:bookmarkStart w:id="345" w:name="Tc_sF1SijXoPkGMr0FsNIhd0g_28_0"/>
      <w:bookmarkStart w:id="346" w:name="Tc_pw_YHgWXgk68rGaMNt2doQ_27_0"/>
      <w:bookmarkStart w:id="347" w:name="Tc_s1xjda9EQkmoorHf6cQO6Q_26_5"/>
      <w:bookmarkStart w:id="348" w:name="Tc_VMEZcaE7CU-d-iR4uoj6GQ_26_0"/>
      <w:bookmarkStart w:id="349" w:name="Tc_YrWzbmsv5UKJ0m4nFgLeQw_25_0"/>
      <w:bookmarkStart w:id="350" w:name="Tc_Vg_AVPIPc0e80mvR__9I8Q_24_0"/>
      <w:bookmarkStart w:id="351" w:name="Tc_G0YCT5ql-02gEIHSKN1xyg_23_0"/>
      <w:bookmarkStart w:id="352" w:name="Tc_JUNDP4yd1kunLJ6aBpUxbQ_22_0"/>
      <w:bookmarkStart w:id="353" w:name="Tc_jV5ywui7V0aSfaJebfGJDA_21_13"/>
      <w:bookmarkStart w:id="354" w:name="Tc_4pCHhWCyQkCRo_FbOwLazQ_21_10"/>
      <w:bookmarkStart w:id="355" w:name="Tc_oazLTgurRk27kvuOrlDNpA_21_7"/>
      <w:bookmarkStart w:id="356" w:name="Tc_DQeY8mio30mY6yR0YXe4Cg_21_4"/>
      <w:bookmarkStart w:id="357" w:name="Tc_f4Op9GF6Ek6Oam1cS_A-FQ_21_0"/>
      <w:bookmarkStart w:id="358" w:name="Tc_vVUDt76TlkqOV89oNKfkpQ_20_13"/>
      <w:bookmarkStart w:id="359" w:name="Tc__zMfKPlnck2D-YoDgAd2nw_20_10"/>
      <w:bookmarkStart w:id="360" w:name="Tc_hFaFTuKWhEODVTF-x-Oipw_20_7"/>
      <w:bookmarkStart w:id="361" w:name="Tc_gtHuI6WcHUObr45MtMW9Nw_20_4"/>
      <w:bookmarkStart w:id="362" w:name="Tc_Q1eQgUzjkUajEp1GermHRg_20_0"/>
      <w:bookmarkStart w:id="363" w:name="Tc_2owCen2cUE6Y6gLyNdAxrQ_19_0"/>
      <w:bookmarkStart w:id="364" w:name="Tc_W-JHVMfM_U6kc-DCr1v_Yw_18_0"/>
      <w:bookmarkStart w:id="365" w:name="Tc_PuKU1fyGak2lv8HZajmbRQ_17_0"/>
      <w:bookmarkStart w:id="366" w:name="Tc_ioWmB11e90quBbKyPKnG8g_16_0"/>
      <w:bookmarkStart w:id="367" w:name="Tc_NTE7elkuak2rdz9ryGDeNA_15_0"/>
      <w:bookmarkStart w:id="368" w:name="Tc_6t3bT-wHikG9Mwe0ARriDQ_14_13"/>
      <w:bookmarkStart w:id="369" w:name="Tc_7et2LeELRkaQbHU2wx8DIQ_14_10"/>
      <w:bookmarkStart w:id="370" w:name="Tc_X0LdONe0W0erMCncqODJIQ_14_7"/>
      <w:bookmarkStart w:id="371" w:name="Tc_k5U3D7QysE-bzhNFBCCY1w_14_4"/>
      <w:bookmarkStart w:id="372" w:name="Tc__i6lSpXGT0ipfxudbE1Ayg_14_0"/>
      <w:bookmarkStart w:id="373" w:name="Tc_OrOMJJsXuU645Iv9Ip7AzA_13_13"/>
      <w:bookmarkStart w:id="374" w:name="Tc_1QGQkWpz5kuBTT5RvtziBw_13_10"/>
      <w:bookmarkStart w:id="375" w:name="Tc_W_npiNqvPkmaJsRRYzTgFA_13_7"/>
      <w:bookmarkStart w:id="376" w:name="Tc_bENv6e3RNEKprT6noXQYIw_13_4"/>
      <w:bookmarkStart w:id="377" w:name="Tc_6sL8hsD1eEiTOzStozJbGw_13_0"/>
      <w:bookmarkStart w:id="378" w:name="Tc_jApBmJ-4YEy2j7qYskaetg_12_0"/>
      <w:bookmarkStart w:id="379" w:name="Tc_4o2KL9SUlEa39B6plBMaQw_11_0"/>
      <w:bookmarkStart w:id="380" w:name="Tc_mFXYSwoSUEKe1rqbIJJMbA_10_0"/>
      <w:bookmarkStart w:id="381" w:name="Tc_UeEYkhUqc0uEx2ZUNl_oug_9_0"/>
      <w:bookmarkStart w:id="382" w:name="Tc_UvRu8K2lEUa15TJAlov5Ow_8_0"/>
      <w:bookmarkStart w:id="383" w:name="Tc_fYZuHZd2KUmHQfzEBOcptg_7_0"/>
      <w:bookmarkStart w:id="384" w:name="Tc_N6VYecAm20uO0wgIg97ilg_6_13"/>
      <w:bookmarkStart w:id="385" w:name="Tc_z_HK392T4U2LnxOoMCUyZg_6_10"/>
      <w:bookmarkStart w:id="386" w:name="Tc_uNfm1aeS90m3MAjDMZ7tsA_6_7"/>
      <w:bookmarkStart w:id="387" w:name="Tc_nHnRJS8YikijOJjjqwrNKg_6_4"/>
      <w:bookmarkStart w:id="388" w:name="Tc_PugHET4qSE2xYAPNTQVJ3g_6_0"/>
      <w:bookmarkStart w:id="389" w:name="Tc_gjw6kgVyjUihkxjizaGQwg_5_4"/>
      <w:bookmarkStart w:id="390" w:name="Tc_vog52PSyuUC9yrp5k-X_Mg_5_2"/>
      <w:bookmarkStart w:id="391" w:name="Tc_umtsH_XHt0CcgcgH14yFiQ_4_2"/>
      <w:bookmarkStart w:id="392" w:name="Tc_N3pETa-_3EOyH7Uvald_Vw_3_13"/>
      <w:bookmarkStart w:id="393" w:name="Tc_DaYfoxBIQkyhLkaXVWrAMA_3_10"/>
      <w:bookmarkStart w:id="394" w:name="Tc_woczFpbW_Em5rDg7clgl2w_3_7"/>
      <w:bookmarkStart w:id="395" w:name="Tc_C-cTO5cGnUieIMdiYQ-vXQ_3_4"/>
      <w:bookmarkStart w:id="396" w:name="Tc_2EeeR7_P5kq_2j9uZgVdEg_3_2"/>
      <w:bookmarkStart w:id="397" w:name="Tc_t2woXV7naki5cpszjWZfkg_2_10"/>
      <w:bookmarkStart w:id="398" w:name="Tc_rZdk0MppkECzreu24c9s0A_2_7"/>
      <w:bookmarkStart w:id="399" w:name="Tc_LmhyJ6N9PEaZj250MMQnwA_2_4"/>
      <w:bookmarkStart w:id="400" w:name="Tc_IbfQw9tD3ECfuO1RYjplQw_2_2"/>
      <w:bookmarkStart w:id="401" w:name="Tc_HnaHC2-vuUS50VREN52y0w_1_7"/>
      <w:bookmarkStart w:id="402" w:name="_51b0fa27_d06a_4470_84d5_013b9f213bd8"/>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tbl>
      <w:tblPr>
        <w:tblW w:w="10205" w:type="dxa"/>
        <w:jc w:val="left"/>
        <w:tblInd w:w="0" w:type="dxa"/>
        <w:tblLayout w:type="fixed"/>
        <w:tblCellMar>
          <w:top w:w="0" w:type="dxa"/>
          <w:left w:w="0" w:type="dxa"/>
          <w:bottom w:w="0" w:type="dxa"/>
          <w:right w:w="0" w:type="dxa"/>
        </w:tblCellMar>
      </w:tblPr>
      <w:tblGrid>
        <w:gridCol w:w="3803"/>
        <w:gridCol w:w="346"/>
        <w:gridCol w:w="916"/>
        <w:gridCol w:w="346"/>
        <w:gridCol w:w="311"/>
        <w:gridCol w:w="455"/>
        <w:gridCol w:w="346"/>
        <w:gridCol w:w="196"/>
        <w:gridCol w:w="691"/>
        <w:gridCol w:w="346"/>
        <w:gridCol w:w="217"/>
        <w:gridCol w:w="834"/>
        <w:gridCol w:w="346"/>
        <w:gridCol w:w="346"/>
        <w:gridCol w:w="706"/>
      </w:tblGrid>
      <w:tr>
        <w:trPr/>
        <w:tc>
          <w:tcPr>
            <w:tcW w:w="3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414905" cy="175260"/>
                      <wp:effectExtent l="0" t="0" r="0" b="0"/>
                      <wp:wrapNone/>
                      <wp:docPr id="21" name="Frame21"/>
                      <a:graphic xmlns:a="http://schemas.openxmlformats.org/drawingml/2006/main">
                        <a:graphicData uri="http://schemas.microsoft.com/office/word/2010/wordprocessingShape">
                          <wps:wsp>
                            <wps:cNvSpPr txBox="1"/>
                            <wps:spPr>
                              <a:xfrm>
                                <a:off x="0" y="0"/>
                                <a:ext cx="2414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81660" cy="175260"/>
                      <wp:effectExtent l="0" t="0" r="0" b="0"/>
                      <wp:wrapNone/>
                      <wp:docPr id="23" name="Frame2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97485" cy="175260"/>
                      <wp:effectExtent l="0" t="0" r="0" b="0"/>
                      <wp:wrapNone/>
                      <wp:docPr id="25" name="Frame25"/>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88925" cy="175260"/>
                      <wp:effectExtent l="0" t="0" r="0" b="0"/>
                      <wp:wrapNone/>
                      <wp:docPr id="26" name="Frame26"/>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8"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38785" cy="175260"/>
                      <wp:effectExtent l="0" t="0" r="0" b="0"/>
                      <wp:wrapNone/>
                      <wp:docPr id="29" name="Frame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7795" cy="175260"/>
                      <wp:effectExtent l="0" t="0" r="0" b="0"/>
                      <wp:wrapNone/>
                      <wp:docPr id="31" name="Frame3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29590" cy="175260"/>
                      <wp:effectExtent l="0" t="0" r="0" b="0"/>
                      <wp:wrapNone/>
                      <wp:docPr id="32" name="Frame3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48310" cy="175260"/>
                      <wp:effectExtent l="0" t="0" r="0" b="0"/>
                      <wp:wrapNone/>
                      <wp:docPr id="35" name="Frame3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311"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  ​ ​ ​</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left"/>
              <w:rPr/>
            </w:pPr>
            <w:r>
              <w:rPr/>
              <w:t>  ​ ​ ​</w:t>
            </w:r>
          </w:p>
        </w:tc>
        <w:tc>
          <w:tcPr>
            <w:tcW w:w="706" w:type="dxa"/>
            <w:tcBorders/>
            <w:vAlign w:val="center"/>
          </w:tcPr>
          <w:p>
            <w:pPr>
              <w:pStyle w:val="TableContents"/>
              <w:bidi w:val="0"/>
              <w:spacing w:before="0" w:after="1"/>
              <w:ind w:left="0" w:right="0" w:hanging="0"/>
              <w:jc w:val="center"/>
              <w:rPr/>
            </w:pPr>
            <w:r>
              <w:rPr/>
              <w:t>​</w:t>
            </w:r>
          </w:p>
        </w:tc>
      </w:tr>
      <w:tr>
        <w:trPr/>
        <w:tc>
          <w:tcPr>
            <w:tcW w:w="38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r>
      <w:tr>
        <w:trPr/>
        <w:tc>
          <w:tcPr>
            <w:tcW w:w="38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(1)</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r>
      <w:tr>
        <w:trPr/>
        <w:tc>
          <w:tcPr>
            <w:tcW w:w="38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w:t>
            </w:r>
          </w:p>
        </w:tc>
        <w:tc>
          <w:tcPr>
            <w:tcW w:w="479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80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January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75,850,275</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421,528</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(378,393)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43,211</w:t>
            </w:r>
          </w:p>
        </w:tc>
      </w:tr>
      <w:tr>
        <w:trPr/>
        <w:tc>
          <w:tcPr>
            <w:tcW w:w="380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Changes during the six-month period ended June 30, 2025:</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 </w:t>
            </w:r>
          </w:p>
        </w:tc>
        <w:tc>
          <w:tcPr>
            <w:tcW w:w="45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  ​</w:t>
            </w:r>
          </w:p>
        </w:tc>
      </w:tr>
      <w:tr>
        <w:trPr/>
        <w:tc>
          <w:tcPr>
            <w:tcW w:w="38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under the Sales Agreement, net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2,775,215</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6,809</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6,812</w:t>
            </w:r>
          </w:p>
        </w:tc>
      </w:tr>
      <w:tr>
        <w:trPr/>
        <w:tc>
          <w:tcPr>
            <w:tcW w:w="38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related to stock options</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599</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599</w:t>
            </w:r>
          </w:p>
        </w:tc>
      </w:tr>
      <w:tr>
        <w:trPr/>
        <w:tc>
          <w:tcPr>
            <w:tcW w:w="38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related to restricted stock awards</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w:t>
            </w:r>
          </w:p>
        </w:tc>
      </w:tr>
      <w:tr>
        <w:trPr/>
        <w:tc>
          <w:tcPr>
            <w:tcW w:w="38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warrants and options</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1,106,625</w:t>
            </w:r>
          </w:p>
        </w:tc>
        <w:tc>
          <w:tcPr>
            <w:tcW w:w="34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2,367</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2,368</w:t>
            </w:r>
          </w:p>
        </w:tc>
      </w:tr>
      <w:tr>
        <w:trPr/>
        <w:tc>
          <w:tcPr>
            <w:tcW w:w="38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(3,455)</w:t>
            </w:r>
          </w:p>
        </w:tc>
      </w:tr>
      <w:tr>
        <w:trPr/>
        <w:tc>
          <w:tcPr>
            <w:tcW w:w="380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2025</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79,732,115</w:t>
            </w:r>
          </w:p>
        </w:tc>
        <w:tc>
          <w:tcPr>
            <w:tcW w:w="346" w:type="dxa"/>
            <w:tcBorders/>
            <w:vAlign w:val="center"/>
          </w:tcPr>
          <w:p>
            <w:pPr>
              <w:pStyle w:val="TableContents"/>
              <w:bidi w:val="0"/>
              <w:spacing w:before="0" w:after="1"/>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431,671</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(381,848)</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49,903</w:t>
            </w:r>
          </w:p>
        </w:tc>
      </w:tr>
      <w:tr>
        <w:trPr/>
        <w:tc>
          <w:tcPr>
            <w:tcW w:w="380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80,425,981</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433,147</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(384,997)</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48,230</w:t>
            </w:r>
          </w:p>
        </w:tc>
      </w:tr>
      <w:tr>
        <w:trPr/>
        <w:tc>
          <w:tcPr>
            <w:tcW w:w="380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Changes during the six-month period ended June 30, 2026:</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 </w:t>
            </w:r>
          </w:p>
        </w:tc>
        <w:tc>
          <w:tcPr>
            <w:tcW w:w="45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  ​</w:t>
            </w:r>
          </w:p>
        </w:tc>
      </w:tr>
      <w:tr>
        <w:trPr/>
        <w:tc>
          <w:tcPr>
            <w:tcW w:w="38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related to stock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 </w:t>
            </w:r>
          </w:p>
        </w:tc>
        <w:tc>
          <w:tcPr>
            <w:tcW w:w="45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632</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632</w:t>
            </w:r>
          </w:p>
        </w:tc>
      </w:tr>
      <w:tr>
        <w:trPr/>
        <w:tc>
          <w:tcPr>
            <w:tcW w:w="38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related to restricted stock awards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w:t>
            </w:r>
          </w:p>
        </w:tc>
      </w:tr>
      <w:tr>
        <w:trPr/>
        <w:tc>
          <w:tcPr>
            <w:tcW w:w="38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145,661</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r>
      <w:tr>
        <w:trPr/>
        <w:tc>
          <w:tcPr>
            <w:tcW w:w="38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for the period</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22,094</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22,094</w:t>
            </w:r>
          </w:p>
        </w:tc>
      </w:tr>
      <w:tr>
        <w:trPr/>
        <w:tc>
          <w:tcPr>
            <w:tcW w:w="380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80,571,642</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434,226</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(362,903)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71,404</w:t>
            </w:r>
          </w:p>
        </w:tc>
      </w:tr>
      <w:tr>
        <w:trPr/>
        <w:tc>
          <w:tcPr>
            <w:tcW w:w="380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March 31, 2025</w:t>
            </w:r>
          </w:p>
        </w:tc>
        <w:tc>
          <w:tcPr>
            <w:tcW w:w="346" w:type="dxa"/>
            <w:tcBorders/>
            <w:vAlign w:val="center"/>
          </w:tcPr>
          <w:p>
            <w:pPr>
              <w:pStyle w:val="TableContents"/>
              <w:bidi w:val="0"/>
              <w:spacing w:before="0" w:after="1"/>
              <w:ind w:left="0" w:right="0" w:hanging="0"/>
              <w:jc w:val="left"/>
              <w:rPr>
                <w:color w:val="FF0000"/>
              </w:rPr>
            </w:pPr>
            <w:r>
              <w:rPr>
                <w:color w:val="FF0000"/>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78,133,829</w:t>
            </w:r>
          </w:p>
        </w:tc>
        <w:tc>
          <w:tcPr>
            <w:tcW w:w="34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55"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427,142</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(382,012)</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45,208</w:t>
            </w:r>
          </w:p>
        </w:tc>
      </w:tr>
      <w:tr>
        <w:trPr/>
        <w:tc>
          <w:tcPr>
            <w:tcW w:w="380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Changes during the three-month period ended June 30, 2025:</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r>
      <w:tr>
        <w:trPr/>
        <w:tc>
          <w:tcPr>
            <w:tcW w:w="38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under the Sales Agreement, net</w:t>
            </w:r>
          </w:p>
        </w:tc>
        <w:tc>
          <w:tcPr>
            <w:tcW w:w="346" w:type="dxa"/>
            <w:tcBorders/>
            <w:vAlign w:val="center"/>
          </w:tcPr>
          <w:p>
            <w:pPr>
              <w:pStyle w:val="TableContents"/>
              <w:bidi w:val="0"/>
              <w:spacing w:before="0" w:after="1"/>
              <w:ind w:left="0" w:right="0" w:hanging="0"/>
              <w:jc w:val="left"/>
              <w:rPr>
                <w:color w:val="FF0000"/>
              </w:rPr>
            </w:pPr>
            <w:r>
              <w:rPr>
                <w:color w:val="FF0000"/>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1,450,036</w:t>
            </w:r>
          </w:p>
        </w:tc>
        <w:tc>
          <w:tcPr>
            <w:tcW w:w="34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3,949</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3,951</w:t>
            </w:r>
          </w:p>
        </w:tc>
      </w:tr>
      <w:tr>
        <w:trPr/>
        <w:tc>
          <w:tcPr>
            <w:tcW w:w="38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related to stock options</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w:t>
            </w:r>
          </w:p>
        </w:tc>
      </w:tr>
      <w:tr>
        <w:trPr/>
        <w:tc>
          <w:tcPr>
            <w:tcW w:w="38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related to restricted stock awards</w:t>
            </w:r>
          </w:p>
        </w:tc>
        <w:tc>
          <w:tcPr>
            <w:tcW w:w="346" w:type="dxa"/>
            <w:tcBorders/>
            <w:vAlign w:val="center"/>
          </w:tcPr>
          <w:p>
            <w:pPr>
              <w:pStyle w:val="TableContents"/>
              <w:bidi w:val="0"/>
              <w:spacing w:before="0" w:after="1"/>
              <w:ind w:left="0" w:right="0" w:hanging="0"/>
              <w:jc w:val="left"/>
              <w:rPr>
                <w:color w:val="FF0000"/>
              </w:rPr>
            </w:pPr>
            <w:r>
              <w:rPr>
                <w:color w:val="FF0000"/>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w:t>
            </w:r>
          </w:p>
        </w:tc>
      </w:tr>
      <w:tr>
        <w:trPr/>
        <w:tc>
          <w:tcPr>
            <w:tcW w:w="38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warrants and options</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148,250</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w:t>
            </w:r>
          </w:p>
        </w:tc>
      </w:tr>
      <w:tr>
        <w:trPr/>
        <w:tc>
          <w:tcPr>
            <w:tcW w:w="38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for the period</w:t>
            </w:r>
          </w:p>
        </w:tc>
        <w:tc>
          <w:tcPr>
            <w:tcW w:w="346" w:type="dxa"/>
            <w:tcBorders/>
            <w:vAlign w:val="center"/>
          </w:tcPr>
          <w:p>
            <w:pPr>
              <w:pStyle w:val="TableContents"/>
              <w:bidi w:val="0"/>
              <w:spacing w:before="0" w:after="1"/>
              <w:ind w:left="0" w:right="0" w:hanging="0"/>
              <w:jc w:val="left"/>
              <w:rPr>
                <w:color w:val="FF0000"/>
              </w:rPr>
            </w:pPr>
            <w:r>
              <w:rPr>
                <w:color w:val="FF0000"/>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w:t>
            </w:r>
          </w:p>
        </w:tc>
      </w:tr>
      <w:tr>
        <w:trPr/>
        <w:tc>
          <w:tcPr>
            <w:tcW w:w="380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2025</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79,732,115</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431,671</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(381,848)</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49,903</w:t>
            </w:r>
          </w:p>
        </w:tc>
      </w:tr>
      <w:tr>
        <w:trPr/>
        <w:tc>
          <w:tcPr>
            <w:tcW w:w="380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March 31, 2026</w:t>
            </w:r>
          </w:p>
        </w:tc>
        <w:tc>
          <w:tcPr>
            <w:tcW w:w="346" w:type="dxa"/>
            <w:tcBorders/>
            <w:vAlign w:val="center"/>
          </w:tcPr>
          <w:p>
            <w:pPr>
              <w:pStyle w:val="TableContents"/>
              <w:bidi w:val="0"/>
              <w:spacing w:before="0" w:after="1"/>
              <w:ind w:left="0" w:right="0" w:hanging="0"/>
              <w:jc w:val="left"/>
              <w:rPr>
                <w:color w:val="FF0000"/>
              </w:rPr>
            </w:pPr>
            <w:r>
              <w:rPr>
                <w:color w:val="FF0000"/>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80,571,642</w:t>
            </w:r>
          </w:p>
        </w:tc>
        <w:tc>
          <w:tcPr>
            <w:tcW w:w="346" w:type="dxa"/>
            <w:tcBorders/>
            <w:vAlign w:val="center"/>
          </w:tcPr>
          <w:p>
            <w:pPr>
              <w:pStyle w:val="TableContents"/>
              <w:bidi w:val="0"/>
              <w:spacing w:before="0" w:after="1"/>
              <w:ind w:left="0" w:right="0" w:hanging="0"/>
              <w:jc w:val="left"/>
              <w:rPr>
                <w:color w:val="FF0000"/>
              </w:rPr>
            </w:pPr>
            <w:r>
              <w:rPr>
                <w:color w:val="FF0000"/>
              </w:rPr>
              <w:t>​</w:t>
            </w:r>
          </w:p>
        </w:tc>
        <w:tc>
          <w:tcPr>
            <w:tcW w:w="31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55"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433,828</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(366,680)</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67,229</w:t>
            </w:r>
          </w:p>
        </w:tc>
      </w:tr>
      <w:tr>
        <w:trPr/>
        <w:tc>
          <w:tcPr>
            <w:tcW w:w="380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Changes during the three-month period ended June 30, 2026:</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11"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455"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691"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7"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834"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706" w:type="dxa"/>
            <w:tcBorders/>
            <w:shd w:fill="CCEEFF" w:val="clear"/>
            <w:vAlign w:val="center"/>
          </w:tcPr>
          <w:p>
            <w:pPr>
              <w:pStyle w:val="TableContents"/>
              <w:bidi w:val="0"/>
              <w:spacing w:before="0" w:after="1"/>
              <w:ind w:left="0" w:right="0" w:hanging="0"/>
              <w:jc w:val="left"/>
              <w:rPr>
                <w:color w:val="FF0000"/>
              </w:rPr>
            </w:pPr>
            <w:r>
              <w:rPr>
                <w:color w:val="FF0000"/>
              </w:rPr>
              <w:t>​</w:t>
            </w:r>
          </w:p>
        </w:tc>
      </w:tr>
      <w:tr>
        <w:trPr/>
        <w:tc>
          <w:tcPr>
            <w:tcW w:w="38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related to stock options</w:t>
            </w:r>
          </w:p>
        </w:tc>
        <w:tc>
          <w:tcPr>
            <w:tcW w:w="346" w:type="dxa"/>
            <w:tcBorders/>
            <w:vAlign w:val="center"/>
          </w:tcPr>
          <w:p>
            <w:pPr>
              <w:pStyle w:val="TableContents"/>
              <w:bidi w:val="0"/>
              <w:spacing w:before="0" w:after="1"/>
              <w:ind w:left="0" w:right="0" w:hanging="0"/>
              <w:jc w:val="left"/>
              <w:rPr>
                <w:color w:val="FF0000"/>
              </w:rPr>
            </w:pPr>
            <w:r>
              <w:rPr>
                <w:color w:val="FF0000"/>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color w:val="FF0000"/>
              </w:rPr>
            </w:pPr>
            <w:r>
              <w:rPr>
                <w:color w:val="FF0000"/>
              </w:rPr>
              <w:t>​</w:t>
            </w:r>
          </w:p>
        </w:tc>
        <w:tc>
          <w:tcPr>
            <w:tcW w:w="311" w:type="dxa"/>
            <w:tcBorders/>
            <w:vAlign w:val="center"/>
          </w:tcPr>
          <w:p>
            <w:pPr>
              <w:pStyle w:val="TableContents"/>
              <w:bidi w:val="0"/>
              <w:spacing w:before="0" w:after="1"/>
              <w:ind w:left="0" w:right="0" w:hanging="0"/>
              <w:jc w:val="left"/>
              <w:rPr>
                <w:color w:val="FF0000"/>
              </w:rPr>
            </w:pPr>
            <w:r>
              <w:rPr>
                <w:color w:val="FF0000"/>
              </w:rPr>
              <w:t>​</w:t>
            </w:r>
          </w:p>
        </w:tc>
        <w:tc>
          <w:tcPr>
            <w:tcW w:w="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w:t>
            </w:r>
          </w:p>
        </w:tc>
      </w:tr>
      <w:tr>
        <w:trPr/>
        <w:tc>
          <w:tcPr>
            <w:tcW w:w="38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related to restricted stock awards</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11"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w:t>
            </w:r>
          </w:p>
        </w:tc>
      </w:tr>
      <w:tr>
        <w:trPr/>
        <w:tc>
          <w:tcPr>
            <w:tcW w:w="38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for the period</w:t>
            </w:r>
          </w:p>
        </w:tc>
        <w:tc>
          <w:tcPr>
            <w:tcW w:w="346" w:type="dxa"/>
            <w:tcBorders/>
            <w:vAlign w:val="center"/>
          </w:tcPr>
          <w:p>
            <w:pPr>
              <w:pStyle w:val="TableContents"/>
              <w:bidi w:val="0"/>
              <w:spacing w:before="0" w:after="1"/>
              <w:ind w:left="0" w:right="0" w:hanging="0"/>
              <w:jc w:val="left"/>
              <w:rPr>
                <w:color w:val="FF0000"/>
              </w:rPr>
            </w:pPr>
            <w:r>
              <w:rPr>
                <w:color w:val="FF0000"/>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color w:val="FF0000"/>
              </w:rPr>
            </w:pPr>
            <w:r>
              <w:rPr>
                <w:color w:val="FF0000"/>
              </w:rPr>
              <w:t>​</w:t>
            </w:r>
          </w:p>
        </w:tc>
        <w:tc>
          <w:tcPr>
            <w:tcW w:w="311" w:type="dxa"/>
            <w:tcBorders>
              <w:bottom w:val="single" w:sz="2" w:space="0" w:color="000000"/>
            </w:tcBorders>
            <w:tcMar>
              <w:bottom w:w="28" w:type="dxa"/>
            </w:tcMar>
            <w:vAlign w:val="center"/>
          </w:tcPr>
          <w:p>
            <w:pPr>
              <w:pStyle w:val="TableContents"/>
              <w:bidi w:val="0"/>
              <w:spacing w:before="0" w:after="1"/>
              <w:ind w:left="0" w:right="0" w:hanging="0"/>
              <w:jc w:val="left"/>
              <w:rPr>
                <w:color w:val="FF0000"/>
              </w:rPr>
            </w:pPr>
            <w:r>
              <w:rPr>
                <w:color w:val="FF0000"/>
              </w:rPr>
              <w:t>​</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3,777</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3,777</w:t>
            </w:r>
          </w:p>
        </w:tc>
      </w:tr>
      <w:tr>
        <w:trPr/>
        <w:tc>
          <w:tcPr>
            <w:tcW w:w="380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2026</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80,571,642</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434,226</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(362,903)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71,404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03" w:name="_cefa0851_a3d6_4564_bfa9_2a41b5ad0ad9"/>
      <w:bookmarkStart w:id="404" w:name="_cefa0851_a3d6_4564_bfa9_2a41b5ad0ad9"/>
      <w:bookmarkEnd w:id="404"/>
    </w:p>
    <w:tbl>
      <w:tblPr>
        <w:tblW w:w="3212" w:type="dxa"/>
        <w:jc w:val="left"/>
        <w:tblInd w:w="0" w:type="dxa"/>
        <w:tblLayout w:type="fixed"/>
        <w:tblCellMar>
          <w:top w:w="0" w:type="dxa"/>
          <w:left w:w="0" w:type="dxa"/>
          <w:bottom w:w="0" w:type="dxa"/>
          <w:right w:w="0" w:type="dxa"/>
        </w:tblCellMar>
      </w:tblPr>
      <w:tblGrid>
        <w:gridCol w:w="226"/>
        <w:gridCol w:w="2986"/>
      </w:tblGrid>
      <w:tr>
        <w:trPr/>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2986" w:type="dxa"/>
            <w:tcBorders/>
            <w:vAlign w:val="center"/>
          </w:tcPr>
          <w:p>
            <w:pPr>
              <w:pStyle w:val="TableContents"/>
              <w:bidi w:val="0"/>
              <w:spacing w:before="0" w:after="283"/>
              <w:ind w:left="0" w:right="0" w:hanging="0"/>
              <w:jc w:val="left"/>
              <w:rPr>
                <w:sz w:val="4"/>
                <w:szCs w:val="4"/>
              </w:rPr>
            </w:pPr>
            <w:r>
              <w:rPr>
                <w:sz w:val="4"/>
                <w:szCs w:val="4"/>
              </w:rPr>
            </w:r>
          </w:p>
        </w:tc>
      </w:tr>
      <w:tr>
        <w:trPr/>
        <w:tc>
          <w:tcPr>
            <w:tcW w:w="226"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t>
            </w:r>
          </w:p>
        </w:tc>
        <w:tc>
          <w:tcPr>
            <w:tcW w:w="2986"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Represents an amount less than $1.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Common stock, $0.001 par value; Authorized – as of June 30, 2026 and December 31, 2025 – 185,000,000 shares.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05" w:name="_e83de3e3_1f66_44b8_9483_5eaadacd446f"/>
      <w:bookmarkEnd w:id="405"/>
      <w:r>
        <w:rPr>
          <w:rFonts w:ascii="Times New Roman;Times;serif" w:hAnsi="Times New Roman;Times;serif"/>
          <w:b/>
          <w:sz w:val="20"/>
        </w:rPr>
        <w:t>PROTALIX BIOTHERAPEUTICS, INC.</w:t>
      </w:r>
    </w:p>
    <w:p>
      <w:pPr>
        <w:pStyle w:val="TextBody"/>
        <w:bidi w:val="0"/>
        <w:spacing w:before="0" w:after="0"/>
        <w:ind w:left="0" w:right="0" w:hanging="0"/>
        <w:jc w:val="center"/>
        <w:rPr>
          <w:rFonts w:ascii="Times New Roman;Times;serif" w:hAnsi="Times New Roman;Times;serif"/>
          <w:b/>
          <w:sz w:val="20"/>
        </w:rPr>
      </w:pPr>
      <w:bookmarkStart w:id="406" w:name="CONDENSEDCONSOLIDATEDSTATEMENTSOFCASHFLO"/>
      <w:bookmarkEnd w:id="406"/>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(Unaudited) </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07" w:name="Tc_m1u_4Yt200aCqlnLWIdEtQ_35_5"/>
      <w:bookmarkStart w:id="408" w:name="Tc_W8bZPm6JNkKj4qVXI5WSxQ_35_2"/>
      <w:bookmarkStart w:id="409" w:name="Tc_4Pk-GUIKY0GaqZUjvDkyDg_35_0"/>
      <w:bookmarkStart w:id="410" w:name="Tc_-TfBAY1TykyL1-YQd7qXKg_34_0"/>
      <w:bookmarkStart w:id="411" w:name="Tc_5pJo5OIgjEOxOVVlFUPo8w_33_0"/>
      <w:bookmarkStart w:id="412" w:name="Tc_zowc2fyxkEuaz-MWS048xw_32_5"/>
      <w:bookmarkStart w:id="413" w:name="Tc_UqKwvBHW-USfusfLXheMlw_32_2"/>
      <w:bookmarkStart w:id="414" w:name="Tc_L5_3BCpXBkSCgcv1a8aZgg_32_0"/>
      <w:bookmarkStart w:id="415" w:name="Tc_9aZ9y5FVeUeRAxtii-vIMw_31_5"/>
      <w:bookmarkStart w:id="416" w:name="Tc_EVHWz8wgukqN_BoKUZE-0w_31_2"/>
      <w:bookmarkStart w:id="417" w:name="Tc_EnIvz55oDkiemG_tljscfQ_31_0"/>
      <w:bookmarkStart w:id="418" w:name="Tc_rvVWnbvLkEej4cyIMWVyoQ_30_0"/>
      <w:bookmarkStart w:id="419" w:name="Tc_heeQ11OyLUOwx3_IPWimxA_29_5"/>
      <w:bookmarkStart w:id="420" w:name="Tc_-B56I-JicUirt9bf4zpv8w_29_3"/>
      <w:bookmarkStart w:id="421" w:name="Tc_zWwPG3oQ9kWnbwuZQhdnbQ_29_2"/>
      <w:bookmarkStart w:id="422" w:name="Tc_Vd61cf3LmkiwZ9tsavMG2w_29_0"/>
      <w:bookmarkStart w:id="423" w:name="Tc_7vIE47FB60-hZzlxcYCEEA_28_0"/>
      <w:bookmarkStart w:id="424" w:name="Tc_NPEqRIyavEO4-OZXcn-zDQ_26_5"/>
      <w:bookmarkStart w:id="425" w:name="Tc_7NABeXDaFEyzAzekOVyi_A_26_2"/>
      <w:bookmarkStart w:id="426" w:name="Tc_zP6DgvaIhUiKDxPMLBCEvQ_26_0"/>
      <w:bookmarkStart w:id="427" w:name="Tc_OwvBPpyTjEW6mPYoPkl3Zw_25_6"/>
      <w:bookmarkStart w:id="428" w:name="Tc_MkzP7DLXCUCn8RYUrTewag_25_0"/>
      <w:bookmarkStart w:id="429" w:name="Tc_qCTlQo8c2EqCjXWffP8hTA_24_0"/>
      <w:bookmarkStart w:id="430" w:name="Tc_AOGZDMe2HkS-rhn8rF6ySQ_23_0"/>
      <w:bookmarkStart w:id="431" w:name="Tc_VdQb_pHKm0W6ZGYEBgAdGA_22_6"/>
      <w:bookmarkStart w:id="432" w:name="Tc_P5VaBraBukKMlMWwG2jOzg_22_0"/>
      <w:bookmarkStart w:id="433" w:name="Tc_x5Tuw0qs8ESAc7K1h9tKcg_21_6"/>
      <w:bookmarkStart w:id="434" w:name="Tc_u_VaaY0sqEimkKn7WCJvqg_21_5"/>
      <w:bookmarkStart w:id="435" w:name="Tc_OXTjgwgsKEOvQeXvPZ0Upg_21_2"/>
      <w:bookmarkStart w:id="436" w:name="Tc_wdg3w46wSEqOnFqCMS7KXA_21_0"/>
      <w:bookmarkStart w:id="437" w:name="Tc_UJy6ox1aXEy5ebUubcEekg_20_0"/>
      <w:bookmarkStart w:id="438" w:name="Tc_u-O1jnALmU6ao6fMmh9Jpg_18_5"/>
      <w:bookmarkStart w:id="439" w:name="Tc_txuzKmi8mUyANwtyWFmrPg_18_2"/>
      <w:bookmarkStart w:id="440" w:name="Tc_NO_bJ0jmk0Cn6KRP_0qweg_18_0"/>
      <w:bookmarkStart w:id="441" w:name="Tc_QBFRNmGOx0WpepshF0bwfg_17_0"/>
      <w:bookmarkStart w:id="442" w:name="Tc_5QW_Z13ULkWq8GEywJk2jw_16_6"/>
      <w:bookmarkStart w:id="443" w:name="Tc_J-8b4Ec37UWYVrXAbs5I3g_16_0"/>
      <w:bookmarkStart w:id="444" w:name="Tc_k6KC7nyVG0Gv-8rN30Dpcw_15_0"/>
      <w:bookmarkStart w:id="445" w:name="Tc_b7RNgreLxUij2ZZ488RMjQ_14_0"/>
      <w:bookmarkStart w:id="446" w:name="Tc_BW6DmvcY9UGxCBcB-inIsw_13_0"/>
      <w:bookmarkStart w:id="447" w:name="Tc_vy4yZiLg7EaSjJeo7Va3NA_12_0"/>
      <w:bookmarkStart w:id="448" w:name="Tc_-8BoKQ7f206ShnhBNdc2mg_11_3"/>
      <w:bookmarkStart w:id="449" w:name="Tc_iXUQboY3z0-ktrz8qIC0tg_11_0"/>
      <w:bookmarkStart w:id="450" w:name="Tc_tWG_HGzdlE67S0qTucj00g_10_0"/>
      <w:bookmarkStart w:id="451" w:name="Tc_su22JYdhAUCG90Vaa1LmIA_9_0"/>
      <w:bookmarkStart w:id="452" w:name="Tc_eaiL3zds9kuNQua0qq56xw_8_0"/>
      <w:bookmarkStart w:id="453" w:name="Tc_2nf-a11U4EujHAG3tY_fWw_7_0"/>
      <w:bookmarkStart w:id="454" w:name="Tc_sJxnm3sTOk-1BE9rSz3srQ_6_0"/>
      <w:bookmarkStart w:id="455" w:name="Tc_ay5IHvmfTUiVLz11OjRIaw_5_0"/>
      <w:bookmarkStart w:id="456" w:name="Tc_GtJ2l_KJVkOcEppxsPv2eQ_4_5"/>
      <w:bookmarkStart w:id="457" w:name="Tc_jDVX5ylOEUKoMKUwqU2R7Q_4_2"/>
      <w:bookmarkStart w:id="458" w:name="Tc_p8_x7UCd1kOkZssKqgHspQ_4_0"/>
      <w:bookmarkStart w:id="459" w:name="Tc_GcCxQLxvNUWFrGYzKrD5zA_3_0"/>
      <w:bookmarkStart w:id="460" w:name="Tc_nRzfPYf4lUeHxgIDEBlGMw_2_5"/>
      <w:bookmarkStart w:id="461" w:name="Tc_r1Iq2Uk9x0G_I-K24pqPVw_2_2"/>
      <w:bookmarkStart w:id="462" w:name="Tc_CqGGSx9riUe0x_tQ4XTFUg_1_2"/>
      <w:bookmarkStart w:id="463" w:name="_036b0258_18a7_4ba6_9dee_ce3a7dd27b55"/>
      <w:bookmarkStart w:id="464" w:name="Tc_m1u_4Yt200aCqlnLWIdEtQ_35_5"/>
      <w:bookmarkStart w:id="465" w:name="Tc_W8bZPm6JNkKj4qVXI5WSxQ_35_2"/>
      <w:bookmarkStart w:id="466" w:name="Tc_4Pk-GUIKY0GaqZUjvDkyDg_35_0"/>
      <w:bookmarkStart w:id="467" w:name="Tc_-TfBAY1TykyL1-YQd7qXKg_34_0"/>
      <w:bookmarkStart w:id="468" w:name="Tc_5pJo5OIgjEOxOVVlFUPo8w_33_0"/>
      <w:bookmarkStart w:id="469" w:name="Tc_zowc2fyxkEuaz-MWS048xw_32_5"/>
      <w:bookmarkStart w:id="470" w:name="Tc_UqKwvBHW-USfusfLXheMlw_32_2"/>
      <w:bookmarkStart w:id="471" w:name="Tc_L5_3BCpXBkSCgcv1a8aZgg_32_0"/>
      <w:bookmarkStart w:id="472" w:name="Tc_9aZ9y5FVeUeRAxtii-vIMw_31_5"/>
      <w:bookmarkStart w:id="473" w:name="Tc_EVHWz8wgukqN_BoKUZE-0w_31_2"/>
      <w:bookmarkStart w:id="474" w:name="Tc_EnIvz55oDkiemG_tljscfQ_31_0"/>
      <w:bookmarkStart w:id="475" w:name="Tc_rvVWnbvLkEej4cyIMWVyoQ_30_0"/>
      <w:bookmarkStart w:id="476" w:name="Tc_heeQ11OyLUOwx3_IPWimxA_29_5"/>
      <w:bookmarkStart w:id="477" w:name="Tc_-B56I-JicUirt9bf4zpv8w_29_3"/>
      <w:bookmarkStart w:id="478" w:name="Tc_zWwPG3oQ9kWnbwuZQhdnbQ_29_2"/>
      <w:bookmarkStart w:id="479" w:name="Tc_Vd61cf3LmkiwZ9tsavMG2w_29_0"/>
      <w:bookmarkStart w:id="480" w:name="Tc_7vIE47FB60-hZzlxcYCEEA_28_0"/>
      <w:bookmarkStart w:id="481" w:name="Tc_NPEqRIyavEO4-OZXcn-zDQ_26_5"/>
      <w:bookmarkStart w:id="482" w:name="Tc_7NABeXDaFEyzAzekOVyi_A_26_2"/>
      <w:bookmarkStart w:id="483" w:name="Tc_zP6DgvaIhUiKDxPMLBCEvQ_26_0"/>
      <w:bookmarkStart w:id="484" w:name="Tc_OwvBPpyTjEW6mPYoPkl3Zw_25_6"/>
      <w:bookmarkStart w:id="485" w:name="Tc_MkzP7DLXCUCn8RYUrTewag_25_0"/>
      <w:bookmarkStart w:id="486" w:name="Tc_qCTlQo8c2EqCjXWffP8hTA_24_0"/>
      <w:bookmarkStart w:id="487" w:name="Tc_AOGZDMe2HkS-rhn8rF6ySQ_23_0"/>
      <w:bookmarkStart w:id="488" w:name="Tc_VdQb_pHKm0W6ZGYEBgAdGA_22_6"/>
      <w:bookmarkStart w:id="489" w:name="Tc_P5VaBraBukKMlMWwG2jOzg_22_0"/>
      <w:bookmarkStart w:id="490" w:name="Tc_x5Tuw0qs8ESAc7K1h9tKcg_21_6"/>
      <w:bookmarkStart w:id="491" w:name="Tc_u_VaaY0sqEimkKn7WCJvqg_21_5"/>
      <w:bookmarkStart w:id="492" w:name="Tc_OXTjgwgsKEOvQeXvPZ0Upg_21_2"/>
      <w:bookmarkStart w:id="493" w:name="Tc_wdg3w46wSEqOnFqCMS7KXA_21_0"/>
      <w:bookmarkStart w:id="494" w:name="Tc_UJy6ox1aXEy5ebUubcEekg_20_0"/>
      <w:bookmarkStart w:id="495" w:name="Tc_u-O1jnALmU6ao6fMmh9Jpg_18_5"/>
      <w:bookmarkStart w:id="496" w:name="Tc_txuzKmi8mUyANwtyWFmrPg_18_2"/>
      <w:bookmarkStart w:id="497" w:name="Tc_NO_bJ0jmk0Cn6KRP_0qweg_18_0"/>
      <w:bookmarkStart w:id="498" w:name="Tc_QBFRNmGOx0WpepshF0bwfg_17_0"/>
      <w:bookmarkStart w:id="499" w:name="Tc_5QW_Z13ULkWq8GEywJk2jw_16_6"/>
      <w:bookmarkStart w:id="500" w:name="Tc_J-8b4Ec37UWYVrXAbs5I3g_16_0"/>
      <w:bookmarkStart w:id="501" w:name="Tc_k6KC7nyVG0Gv-8rN30Dpcw_15_0"/>
      <w:bookmarkStart w:id="502" w:name="Tc_b7RNgreLxUij2ZZ488RMjQ_14_0"/>
      <w:bookmarkStart w:id="503" w:name="Tc_BW6DmvcY9UGxCBcB-inIsw_13_0"/>
      <w:bookmarkStart w:id="504" w:name="Tc_vy4yZiLg7EaSjJeo7Va3NA_12_0"/>
      <w:bookmarkStart w:id="505" w:name="Tc_-8BoKQ7f206ShnhBNdc2mg_11_3"/>
      <w:bookmarkStart w:id="506" w:name="Tc_iXUQboY3z0-ktrz8qIC0tg_11_0"/>
      <w:bookmarkStart w:id="507" w:name="Tc_tWG_HGzdlE67S0qTucj00g_10_0"/>
      <w:bookmarkStart w:id="508" w:name="Tc_su22JYdhAUCG90Vaa1LmIA_9_0"/>
      <w:bookmarkStart w:id="509" w:name="Tc_eaiL3zds9kuNQua0qq56xw_8_0"/>
      <w:bookmarkStart w:id="510" w:name="Tc_2nf-a11U4EujHAG3tY_fWw_7_0"/>
      <w:bookmarkStart w:id="511" w:name="Tc_sJxnm3sTOk-1BE9rSz3srQ_6_0"/>
      <w:bookmarkStart w:id="512" w:name="Tc_ay5IHvmfTUiVLz11OjRIaw_5_0"/>
      <w:bookmarkStart w:id="513" w:name="Tc_GtJ2l_KJVkOcEppxsPv2eQ_4_5"/>
      <w:bookmarkStart w:id="514" w:name="Tc_jDVX5ylOEUKoMKUwqU2R7Q_4_2"/>
      <w:bookmarkStart w:id="515" w:name="Tc_p8_x7UCd1kOkZssKqgHspQ_4_0"/>
      <w:bookmarkStart w:id="516" w:name="Tc_GcCxQLxvNUWFrGYzKrD5zA_3_0"/>
      <w:bookmarkStart w:id="517" w:name="Tc_nRzfPYf4lUeHxgIDEBlGMw_2_5"/>
      <w:bookmarkStart w:id="518" w:name="Tc_r1Iq2Uk9x0G_I-K24pqPVw_2_2"/>
      <w:bookmarkStart w:id="519" w:name="Tc_CqGGSx9riUe0x_tQ4XTFUg_1_2"/>
      <w:bookmarkStart w:id="520" w:name="_036b0258_18a7_4ba6_9dee_ce3a7dd27b55"/>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tbl>
      <w:tblPr>
        <w:tblW w:w="10205" w:type="dxa"/>
        <w:jc w:val="left"/>
        <w:tblInd w:w="0" w:type="dxa"/>
        <w:tblLayout w:type="fixed"/>
        <w:tblCellMar>
          <w:top w:w="0" w:type="dxa"/>
          <w:left w:w="0" w:type="dxa"/>
          <w:bottom w:w="0" w:type="dxa"/>
          <w:right w:w="0" w:type="dxa"/>
        </w:tblCellMar>
      </w:tblPr>
      <w:tblGrid>
        <w:gridCol w:w="7216"/>
        <w:gridCol w:w="346"/>
        <w:gridCol w:w="267"/>
        <w:gridCol w:w="859"/>
        <w:gridCol w:w="346"/>
        <w:gridCol w:w="249"/>
        <w:gridCol w:w="922"/>
      </w:tblGrid>
      <w:tr>
        <w:trPr/>
        <w:tc>
          <w:tcPr>
            <w:tcW w:w="7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582160" cy="175260"/>
                      <wp:effectExtent l="0" t="0" r="0" b="0"/>
                      <wp:wrapNone/>
                      <wp:docPr id="36" name="Frame36"/>
                      <a:graphic xmlns:a="http://schemas.openxmlformats.org/drawingml/2006/main">
                        <a:graphicData uri="http://schemas.microsoft.com/office/word/2010/wordprocessingShape">
                          <wps:wsp>
                            <wps:cNvSpPr txBox="1"/>
                            <wps:spPr>
                              <a:xfrm>
                                <a:off x="0" y="0"/>
                                <a:ext cx="458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69545" cy="175260"/>
                      <wp:effectExtent l="0" t="0" r="0" b="0"/>
                      <wp:wrapNone/>
                      <wp:docPr id="38" name="Frame3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45465" cy="175260"/>
                      <wp:effectExtent l="0" t="0" r="0" b="0"/>
                      <wp:wrapNone/>
                      <wp:docPr id="39" name="Frame39"/>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58115" cy="175260"/>
                      <wp:effectExtent l="0" t="0" r="0" b="0"/>
                      <wp:wrapNone/>
                      <wp:docPr id="41" name="Frame4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85470" cy="175260"/>
                      <wp:effectExtent l="0" t="0" r="0" b="0"/>
                      <wp:wrapNone/>
                      <wp:docPr id="42" name="Frame42"/>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7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49"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pPr>
            <w:r>
              <w:rPr/>
              <w:t>  ​</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22,094</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(3,455)</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required to reconcile net income (loss) to net cash provided by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pPr>
            <w:r>
              <w:rPr/>
              <w:t>​</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930</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Financial expenses, net </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accrued liability for employee rights upon retirement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deferred income tax asset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amounts funded in respect of employee rights upon retirement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pPr>
            <w:r>
              <w:rPr/>
              <w:t>​</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accounts receivable-trade and 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(8,626)</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(6,919)</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lease right of use assets, net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(increase) in 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(6,563)</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R&amp;D grant receivable</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(decrease) in accounts payable and accruals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4,173</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(1,894)</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11,625</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(10,291)</w:t>
            </w:r>
          </w:p>
        </w:tc>
      </w:tr>
      <w:tr>
        <w:trPr/>
        <w:tc>
          <w:tcPr>
            <w:tcW w:w="72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left"/>
              <w:rPr/>
            </w:pPr>
            <w:r>
              <w:rPr/>
              <w:t>​</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pPr>
            <w:r>
              <w:rPr/>
              <w:t>​</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 bank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(8,000)</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deposit withdrawal</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(1,354)</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funded in respect of employee rights upon retirement, net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restricted deposit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72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pPr>
            <w:r>
              <w:rPr/>
              <w:t>​</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pPr>
            <w:r>
              <w:rPr/>
              <w:t>​</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issuance of common stock under the Sales Agreement, net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6,812</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of warrants and options</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2,368</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9,180</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EFFECT OF EXCHANGE RATE CHANGES ON CASH AND CASH EQUIVALENTS</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INCREASE (DECREASE)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12,740</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(1,865)</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OF CASH AND CASH EQUIVALENTS AT BEGINNING OF PERIOD</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14,680</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19,760</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OF CASH AND CASH EQUIVALENTS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27,420</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17,895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PROTALIX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(Unaudited) </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21" w:name="Tc_SVbd1y2D30mkhoVDCR6RZg_10_5"/>
      <w:bookmarkStart w:id="522" w:name="Tc_O-804tI55UyzXcoPONzLqw_10_2"/>
      <w:bookmarkStart w:id="523" w:name="Tc_aQKXSlpAk06PoAey0DfKyA_10_0"/>
      <w:bookmarkStart w:id="524" w:name="Tc_J5Ju9TMm6kKmVOWxt1Rr_g_9_2"/>
      <w:bookmarkStart w:id="525" w:name="Tc_VOfl2mrFj0qwLlNcRAYQYQ_9_0"/>
      <w:bookmarkStart w:id="526" w:name="Tc_d5encE67m0SGhjOHJ82mgw_8_0"/>
      <w:bookmarkStart w:id="527" w:name="Tc_VV3VD5wM9EG2YC7jGHcwSQ_6_2"/>
      <w:bookmarkStart w:id="528" w:name="Tc_jCHSGFDRXUqSH9FnmDdWjA_6_0"/>
      <w:bookmarkStart w:id="529" w:name="Tc_qvtrk4RnbUelNDDkYzAlIg_5_5"/>
      <w:bookmarkStart w:id="530" w:name="Tc_lHpkaqmPi0yuID-1pWZ81w_5_2"/>
      <w:bookmarkStart w:id="531" w:name="Tc_dSpbq-ja90OBM9nz0Mifag_5_0"/>
      <w:bookmarkStart w:id="532" w:name="Tc_lRsQeS7e-UeN-CyqzIQkGQ_4_5"/>
      <w:bookmarkStart w:id="533" w:name="Tc_UJN6pUJjsEGOLoIyl6vY2A_4_2"/>
      <w:bookmarkStart w:id="534" w:name="Tc_K6f88UqjAEyX4EFB1xbv4A_4_0"/>
      <w:bookmarkStart w:id="535" w:name="Tc_3E0ckla_dEGv_fwNps8GqQ_3_0"/>
      <w:bookmarkStart w:id="536" w:name="Tc_132AfRdzf0yH_zEIqjcSlw_2_5"/>
      <w:bookmarkStart w:id="537" w:name="Tc_cdQOSR55rkK6ITRfR6wT9g_2_2"/>
      <w:bookmarkStart w:id="538" w:name="Tc_m2X9kFuFJ06veZ7Mg1ujpg_1_2"/>
      <w:bookmarkStart w:id="539" w:name="_46a503f9_bdde_4384_ae1e_7932ccc325a6"/>
      <w:bookmarkStart w:id="540" w:name="Tc_SVbd1y2D30mkhoVDCR6RZg_10_5"/>
      <w:bookmarkStart w:id="541" w:name="Tc_O-804tI55UyzXcoPONzLqw_10_2"/>
      <w:bookmarkStart w:id="542" w:name="Tc_aQKXSlpAk06PoAey0DfKyA_10_0"/>
      <w:bookmarkStart w:id="543" w:name="Tc_J5Ju9TMm6kKmVOWxt1Rr_g_9_2"/>
      <w:bookmarkStart w:id="544" w:name="Tc_VOfl2mrFj0qwLlNcRAYQYQ_9_0"/>
      <w:bookmarkStart w:id="545" w:name="Tc_d5encE67m0SGhjOHJ82mgw_8_0"/>
      <w:bookmarkStart w:id="546" w:name="Tc_VV3VD5wM9EG2YC7jGHcwSQ_6_2"/>
      <w:bookmarkStart w:id="547" w:name="Tc_jCHSGFDRXUqSH9FnmDdWjA_6_0"/>
      <w:bookmarkStart w:id="548" w:name="Tc_qvtrk4RnbUelNDDkYzAlIg_5_5"/>
      <w:bookmarkStart w:id="549" w:name="Tc_lHpkaqmPi0yuID-1pWZ81w_5_2"/>
      <w:bookmarkStart w:id="550" w:name="Tc_dSpbq-ja90OBM9nz0Mifag_5_0"/>
      <w:bookmarkStart w:id="551" w:name="Tc_lRsQeS7e-UeN-CyqzIQkGQ_4_5"/>
      <w:bookmarkStart w:id="552" w:name="Tc_UJN6pUJjsEGOLoIyl6vY2A_4_2"/>
      <w:bookmarkStart w:id="553" w:name="Tc_K6f88UqjAEyX4EFB1xbv4A_4_0"/>
      <w:bookmarkStart w:id="554" w:name="Tc_3E0ckla_dEGv_fwNps8GqQ_3_0"/>
      <w:bookmarkStart w:id="555" w:name="Tc_132AfRdzf0yH_zEIqjcSlw_2_5"/>
      <w:bookmarkStart w:id="556" w:name="Tc_cdQOSR55rkK6ITRfR6wT9g_2_2"/>
      <w:bookmarkStart w:id="557" w:name="Tc_m2X9kFuFJ06veZ7Mg1ujpg_1_2"/>
      <w:bookmarkStart w:id="558" w:name="_46a503f9_bdde_4384_ae1e_7932ccc325a6"/>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tbl>
      <w:tblPr>
        <w:tblW w:w="10205" w:type="dxa"/>
        <w:jc w:val="left"/>
        <w:tblInd w:w="0" w:type="dxa"/>
        <w:tblLayout w:type="fixed"/>
        <w:tblCellMar>
          <w:top w:w="0" w:type="dxa"/>
          <w:left w:w="0" w:type="dxa"/>
          <w:bottom w:w="0" w:type="dxa"/>
          <w:right w:w="0" w:type="dxa"/>
        </w:tblCellMar>
      </w:tblPr>
      <w:tblGrid>
        <w:gridCol w:w="7216"/>
        <w:gridCol w:w="346"/>
        <w:gridCol w:w="303"/>
        <w:gridCol w:w="823"/>
        <w:gridCol w:w="346"/>
        <w:gridCol w:w="335"/>
        <w:gridCol w:w="836"/>
      </w:tblGrid>
      <w:tr>
        <w:trPr/>
        <w:tc>
          <w:tcPr>
            <w:tcW w:w="7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582160" cy="175260"/>
                      <wp:effectExtent l="0" t="0" r="0" b="0"/>
                      <wp:wrapNone/>
                      <wp:docPr id="43" name="Frame43"/>
                      <a:graphic xmlns:a="http://schemas.openxmlformats.org/drawingml/2006/main">
                        <a:graphicData uri="http://schemas.microsoft.com/office/word/2010/wordprocessingShape">
                          <wps:wsp>
                            <wps:cNvSpPr txBox="1"/>
                            <wps:spPr>
                              <a:xfrm>
                                <a:off x="0" y="0"/>
                                <a:ext cx="458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92405" cy="175260"/>
                      <wp:effectExtent l="0" t="0" r="0" b="0"/>
                      <wp:wrapNone/>
                      <wp:docPr id="45" name="Frame4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22605" cy="175260"/>
                      <wp:effectExtent l="0" t="0" r="0" b="0"/>
                      <wp:wrapNone/>
                      <wp:docPr id="46" name="Frame46"/>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2725" cy="175260"/>
                      <wp:effectExtent l="0" t="0" r="0" b="0"/>
                      <wp:wrapNone/>
                      <wp:docPr id="48" name="Frame48"/>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30860" cy="175260"/>
                      <wp:effectExtent l="0" t="0" r="0" b="0"/>
                      <wp:wrapNone/>
                      <wp:docPr id="49" name="Frame49"/>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7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SUPPLEMENTARY INFORMATION ON INVESTING AND FINANCING ACTIVITIES NOT INVOLVING CASH FLOWS: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property and equipment</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 of use assets obtained in exchange for new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of liability for employee rights upon retirement through transfer of the related funds</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SUPPLEMENTARY DISCLOSURE ON CASH FLOWS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pPr>
            <w:r>
              <w:rPr/>
              <w:t>  ​</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paid</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received</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220</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PROTALIX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00"/>
        <w:ind w:left="0" w:right="0" w:hanging="0"/>
        <w:jc w:val="left"/>
        <w:rPr>
          <w:rFonts w:ascii="Times New Roman;Times;serif" w:hAnsi="Times New Roman;Times;serif"/>
          <w:b/>
          <w:sz w:val="20"/>
        </w:rPr>
      </w:pPr>
      <w:bookmarkStart w:id="559" w:name="NOTE1SIGNIFICANTACCOUNTINGPOLICIES_79340"/>
      <w:bookmarkEnd w:id="559"/>
      <w:r>
        <w:rPr>
          <w:rFonts w:ascii="Times New Roman;Times;serif" w:hAnsi="Times New Roman;Times;serif"/>
          <w:b/>
          <w:sz w:val="20"/>
        </w:rPr>
        <w:t>NOTE 1 - SIGNIFICANT ACCOUNTING POLICIES</w:t>
      </w:r>
    </w:p>
    <w:tbl>
      <w:tblPr>
        <w:tblW w:w="1221" w:type="dxa"/>
        <w:jc w:val="left"/>
        <w:tblInd w:w="0" w:type="dxa"/>
        <w:tblLayout w:type="fixed"/>
        <w:tblCellMar>
          <w:top w:w="0" w:type="dxa"/>
          <w:left w:w="0" w:type="dxa"/>
          <w:bottom w:w="0" w:type="dxa"/>
          <w:right w:w="0" w:type="dxa"/>
        </w:tblCellMar>
      </w:tblPr>
      <w:tblGrid>
        <w:gridCol w:w="124"/>
        <w:gridCol w:w="256"/>
        <w:gridCol w:w="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w:t>
            </w:r>
          </w:p>
        </w:tc>
        <w:tc>
          <w:tcPr>
            <w:tcW w:w="84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General</w:t>
            </w:r>
          </w:p>
        </w:tc>
      </w:tr>
    </w:tbl>
    <w:p>
      <w:pPr>
        <w:pStyle w:val="TextBody"/>
        <w:bidi w:val="0"/>
        <w:spacing w:lineRule="auto" w:line="240" w:before="0" w:after="200"/>
        <w:ind w:left="1080" w:right="0" w:hanging="0"/>
        <w:jc w:val="left"/>
        <w:rPr>
          <w:rFonts w:ascii="Times New Roman;Times;serif" w:hAnsi="Times New Roman;Times;serif"/>
          <w:sz w:val="20"/>
        </w:rPr>
      </w:pPr>
      <w:r>
        <w:rPr>
          <w:rFonts w:ascii="Times New Roman;Times;serif" w:hAnsi="Times New Roman;Times;serif"/>
          <w:sz w:val="20"/>
        </w:rPr>
        <w:t>Protalix BioTherapeutics, Inc. and its wholly-owned subsidiary, Protalix Ltd. (collectively, the “Company”), are commercial stage biopharmaceutical companies focused on the discovery, development, production, and commercialization of innovative therapeutics for rare diseases with significant unmet needs. ProCellEx</w:t>
      </w:r>
      <w:r>
        <w:rPr>
          <w:rFonts w:ascii="Times New Roman;Times;serif" w:hAnsi="Times New Roman;Times;serif"/>
          <w:sz w:val="15"/>
        </w:rPr>
        <w:t>®</w:t>
      </w:r>
      <w:r>
        <w:rPr>
          <w:rFonts w:ascii="Times New Roman;Times;serif" w:hAnsi="Times New Roman;Times;serif"/>
          <w:sz w:val="20"/>
        </w:rPr>
        <w:t>, the Company’s proprietary plant cell-based protein expression system (“ProCellEx”), represents a new method for developing recombinant proteins in an industrial-scale manner.</w:t>
      </w:r>
    </w:p>
    <w:p>
      <w:pPr>
        <w:pStyle w:val="TextBody"/>
        <w:bidi w:val="0"/>
        <w:spacing w:before="0" w:after="200"/>
        <w:ind w:left="1080" w:right="0" w:hanging="0"/>
        <w:jc w:val="left"/>
        <w:rPr>
          <w:rFonts w:ascii="Times New Roman;Times;serif" w:hAnsi="Times New Roman;Times;serif"/>
          <w:sz w:val="20"/>
        </w:rPr>
      </w:pPr>
      <w:r>
        <w:rPr>
          <w:rFonts w:ascii="Times New Roman;Times;serif" w:hAnsi="Times New Roman;Times;serif"/>
          <w:sz w:val="20"/>
        </w:rPr>
        <w:t>The Company’s commercial product portfolio consists of two enzyme replacement therapies (ERTs):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Elelyso</w:t>
            </w:r>
            <w:r>
              <w:rPr>
                <w:rFonts w:ascii="Times New Roman;Times;serif" w:hAnsi="Times New Roman;Times;serif"/>
                <w:b w:val="false"/>
                <w:i w:val="false"/>
                <w:caps w:val="false"/>
                <w:smallCaps w:val="false"/>
                <w:sz w:val="15"/>
              </w:rPr>
              <w:t>®</w:t>
            </w:r>
            <w:r>
              <w:rPr>
                <w:caps w:val="false"/>
                <w:smallCaps w:val="false"/>
              </w:rPr>
              <w:t> </w:t>
            </w:r>
            <w:r>
              <w:rPr>
                <w:rFonts w:ascii="Times New Roman;Times;serif" w:hAnsi="Times New Roman;Times;serif"/>
                <w:b w:val="false"/>
                <w:i w:val="false"/>
                <w:caps w:val="false"/>
                <w:smallCaps w:val="false"/>
                <w:sz w:val="20"/>
              </w:rPr>
              <w:t>(taliglucerase alfa) for the treatment of adult patients and children four years of age and older with Gaucher disease. This product is approved in the United States, Brazil, and Israel, as well as many other jurisdictions.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Elfabrio</w:t>
            </w:r>
            <w:r>
              <w:rPr>
                <w:rFonts w:ascii="Times New Roman;Times;serif" w:hAnsi="Times New Roman;Times;serif"/>
                <w:b w:val="false"/>
                <w:i w:val="false"/>
                <w:caps w:val="false"/>
                <w:smallCaps w:val="false"/>
                <w:sz w:val="15"/>
              </w:rPr>
              <w:t>®</w:t>
            </w:r>
            <w:r>
              <w:rPr>
                <w:caps w:val="false"/>
                <w:smallCaps w:val="false"/>
              </w:rPr>
              <w:t> </w:t>
            </w:r>
            <w:r>
              <w:rPr>
                <w:rFonts w:ascii="Times New Roman;Times;serif" w:hAnsi="Times New Roman;Times;serif"/>
                <w:b w:val="false"/>
                <w:i w:val="false"/>
                <w:caps w:val="false"/>
                <w:smallCaps w:val="false"/>
                <w:sz w:val="20"/>
              </w:rPr>
              <w:t>(pegunigalsidase alfa) for the treatment of adult patients with a confirmed diagnosis of Fabry disease. This product is approved in the United States, the European Union, and other jurisdictions with a 1 mg/kg every-two-weeks (E2W) dosage. In March 2026, Elfabrio was approved for a 2 mg/kg every-four-weeks (E4W) dosage in the European Union.</w:t>
            </w:r>
          </w:p>
        </w:tc>
      </w:tr>
    </w:tbl>
    <w:p>
      <w:pPr>
        <w:pStyle w:val="TextBody"/>
        <w:bidi w:val="0"/>
        <w:spacing w:before="0" w:after="200"/>
        <w:ind w:left="1080" w:right="0" w:hanging="0"/>
        <w:jc w:val="left"/>
        <w:rPr>
          <w:rFonts w:ascii="Times New Roman;Times;serif" w:hAnsi="Times New Roman;Times;serif"/>
          <w:sz w:val="20"/>
        </w:rPr>
      </w:pPr>
      <w:r>
        <w:rPr>
          <w:rFonts w:ascii="Times New Roman;Times;serif" w:hAnsi="Times New Roman;Times;serif"/>
          <w:sz w:val="20"/>
        </w:rPr>
        <w:t>On March 31, 2026, following the approval of the E4W dosing regimen for Elfabrio in the EU, the Company received a $25.0 million milestone payment from its commercialization partner for Elafabrio, Chiesi Farmaceutici S.p.A. (“Chiesi”).</w:t>
      </w:r>
    </w:p>
    <w:p>
      <w:pPr>
        <w:pStyle w:val="TextBody"/>
        <w:bidi w:val="0"/>
        <w:spacing w:before="0" w:after="200"/>
        <w:ind w:left="1080" w:right="0" w:hanging="0"/>
        <w:jc w:val="left"/>
        <w:rPr>
          <w:rFonts w:ascii="Times New Roman;Times;serif" w:hAnsi="Times New Roman;Times;serif"/>
          <w:sz w:val="20"/>
        </w:rPr>
      </w:pPr>
      <w:r>
        <w:rPr>
          <w:rFonts w:ascii="Times New Roman;Times;serif" w:hAnsi="Times New Roman;Times;serif"/>
          <w:sz w:val="20"/>
        </w:rPr>
        <w:t>In addition, the Company’s product pipeline currently includes, among other candidates: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PRX 115, the Company’s plant cell-expressed recombinant PEGylated uricase (urate oxidase) – a chemically modified enzyme to treat uncontrolled gout;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PRX 119, the Company’s plant cell-expressed PEGylated recombinant human DNase I product candidate for long and customized systemic circulation in the bloodstream for NETs-related diseases (neutrophil extracellular traps).</w:t>
            </w:r>
          </w:p>
        </w:tc>
      </w:tr>
    </w:tbl>
    <w:p>
      <w:pPr>
        <w:pStyle w:val="TextBody"/>
        <w:bidi w:val="0"/>
        <w:spacing w:before="0" w:after="200"/>
        <w:ind w:left="1080" w:right="0" w:hanging="0"/>
        <w:jc w:val="left"/>
        <w:rPr>
          <w:rFonts w:ascii="Times New Roman;Times;serif" w:hAnsi="Times New Roman;Times;serif"/>
          <w:sz w:val="20"/>
        </w:rPr>
      </w:pPr>
      <w:r>
        <w:rPr>
          <w:rFonts w:ascii="Times New Roman;Times;serif" w:hAnsi="Times New Roman;Times;serif"/>
          <w:sz w:val="20"/>
        </w:rPr>
        <w:t>The Company is committed to leveraging its record of success as the Company develops treatments for rare and orphan diseases. In addition, the Company is continuously further developing and enhancing its ProCellEx technology. Accordingly, the Company is turning its focus to new, early-stage product candidates that treat indications for which there are high unmet needs in terms of efficacy and safety, including renal diseases. The Company currently intends to focus on treatments that will address both genetic and non-genetic diseases. The Company plans to use its ProCellEx platform and PEGylation capabilities, as well as other modalities such as small molecules and antibodies, to take advantage of highly innovative opportunities. The Company is also exploring novel platform technologies. Consistent with its strategy, the Company continuously evaluates potential strategic marketing partnerships, as well as collaboration programs with biotechnology and pharmaceutical companies and academic research institutions. Except with respect to Elfabrio and Elelyso, the Company holds the worldwide commercialization rights to its other proprietary development candidates.</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 xml:space="preserve">Because the Company’s operations are conducted in the State of Israel, the Company’s business and operations face risks related to the military, economic, political, and geopolitical conditions in Israel. Since October 2023, Israel has suffered from missile and other similar attacks and has been engaged in military activity on a number of fronts, including with the Hamas and other terrorist groups in the Gaza Strip, with Hezbollah in Lebanon, in Iran, with the Houthis terrorist group that controls parts of Yemen, and others, and both civilian and military targets in Israel have been attacked. In addition, Israel and the U.S. have conducted strikes against Iranian military and nuclear infrastructure which involved Iranian counterattacks as well as Hezbollah attacks on Israel. These situations remain volatile, with the potential for escalation at any time. The Company’s facilities are deemed an “essential enterprise,” which means it operates or can be operated for the purposes of state defense or public security or for the maintenance of essential supplies or services, allowing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PROTALIX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00"/>
        <w:ind w:left="1080" w:right="0" w:hanging="0"/>
        <w:jc w:val="left"/>
        <w:rPr>
          <w:rFonts w:ascii="Times New Roman;Times;serif" w:hAnsi="Times New Roman;Times;serif"/>
          <w:sz w:val="20"/>
        </w:rPr>
      </w:pPr>
      <w:bookmarkStart w:id="560" w:name="_cp_change_33"/>
      <w:bookmarkStart w:id="561" w:name="_cp_change_32"/>
      <w:bookmarkEnd w:id="560"/>
      <w:bookmarkEnd w:id="561"/>
      <w:r>
        <w:rPr>
          <w:rFonts w:ascii="Times New Roman;Times;serif" w:hAnsi="Times New Roman;Times;serif"/>
          <w:sz w:val="20"/>
        </w:rPr>
        <w:t>Company to maintain operations during emergencies. The Company has elected to store manufactured drug substance in multiple locations, both within and outside of Israel, to mitigate the risk of loss. It is currently not possible to predict the duration or severity of the above conflicts or the effects of such conflicts, or any of them, on the Company’s operations. As of the issuance of these financial statements, the impacts of the military actions described above have not had a material adverse effect on the Company’s business, results of operations, and financial condition.</w:t>
      </w:r>
    </w:p>
    <w:p>
      <w:pPr>
        <w:pStyle w:val="TextBody"/>
        <w:bidi w:val="0"/>
        <w:spacing w:before="0" w:after="160"/>
        <w:ind w:left="1080" w:right="0" w:hanging="0"/>
        <w:jc w:val="left"/>
        <w:rPr>
          <w:rFonts w:ascii="Times New Roman;Times;serif" w:hAnsi="Times New Roman;Times;serif"/>
          <w:sz w:val="20"/>
        </w:rPr>
      </w:pPr>
      <w:r>
        <w:rPr>
          <w:rFonts w:ascii="Times New Roman;Times;serif" w:hAnsi="Times New Roman;Times;serif"/>
          <w:sz w:val="20"/>
        </w:rPr>
        <w:t>The Company expects to continue to incur significant expenditures in the near future due to research and development efforts with respect to its product candidates. The Company believes that its cash and cash equivalents and short-term bank deposits are sufficient to satisfy the Company’s capital needs for at least 12 months from the date that these financial statements are issued.</w:t>
      </w:r>
    </w:p>
    <w:tbl>
      <w:tblPr>
        <w:tblW w:w="2286" w:type="dxa"/>
        <w:jc w:val="left"/>
        <w:tblInd w:w="0" w:type="dxa"/>
        <w:tblLayout w:type="fixed"/>
        <w:tblCellMar>
          <w:top w:w="0" w:type="dxa"/>
          <w:left w:w="0" w:type="dxa"/>
          <w:bottom w:w="0" w:type="dxa"/>
          <w:right w:w="0"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160"/>
              <w:jc w:val="left"/>
              <w:rPr>
                <w:rFonts w:ascii="Times New Roman;Times;serif" w:hAnsi="Times New Roman;Times;serif"/>
                <w:b/>
                <w:sz w:val="20"/>
              </w:rPr>
            </w:pPr>
            <w:r>
              <w:rPr>
                <w:rFonts w:ascii="Times New Roman;Times;serif" w:hAnsi="Times New Roman;Times;serif"/>
                <w:b/>
                <w:sz w:val="20"/>
              </w:rPr>
              <w:t>b.</w:t>
            </w:r>
          </w:p>
        </w:tc>
        <w:tc>
          <w:tcPr>
            <w:tcW w:w="1906" w:type="dxa"/>
            <w:tcBorders/>
            <w:vAlign w:val="center"/>
          </w:tcPr>
          <w:p>
            <w:pPr>
              <w:pStyle w:val="TableContents"/>
              <w:bidi w:val="0"/>
              <w:spacing w:before="0" w:after="160"/>
              <w:jc w:val="left"/>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of the Company have been prepared in accordance with generally accepted accounting principles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These unaudited condensed consolidated financial statements should be read in conjunction with the audited consolidated financial statements in the Annual Report on Form 10-K for the year ended December 31, 2025, filed by the Company with the U.S. Securities and Exchange Commission (the “Commission”) on March 18, 2026. The comparative balance sheet at December 31, 2025 has been derived from the audited financial statements at that date. There have been no material changes in our significant accounting policies as described in our consolidated financial statements for the year ended December 31, 2025.</w:t>
      </w:r>
    </w:p>
    <w:tbl>
      <w:tblPr>
        <w:tblW w:w="2901" w:type="dxa"/>
        <w:jc w:val="left"/>
        <w:tblInd w:w="0" w:type="dxa"/>
        <w:tblLayout w:type="fixed"/>
        <w:tblCellMar>
          <w:top w:w="0" w:type="dxa"/>
          <w:left w:w="0" w:type="dxa"/>
          <w:bottom w:w="0" w:type="dxa"/>
          <w:right w:w="0" w:type="dxa"/>
        </w:tblCellMar>
      </w:tblPr>
      <w:tblGrid>
        <w:gridCol w:w="124"/>
        <w:gridCol w:w="241"/>
        <w:gridCol w:w="2536"/>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25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Net earnings (loss) per share</w:t>
            </w:r>
          </w:p>
        </w:tc>
      </w:tr>
    </w:tbl>
    <w:p>
      <w:pPr>
        <w:pStyle w:val="TextBody"/>
        <w:bidi w:val="0"/>
        <w:spacing w:before="0" w:after="200"/>
        <w:ind w:left="1080" w:right="0" w:hanging="0"/>
        <w:jc w:val="left"/>
        <w:rPr>
          <w:rFonts w:ascii="Times New Roman;Times;serif" w:hAnsi="Times New Roman;Times;serif"/>
          <w:sz w:val="20"/>
        </w:rPr>
      </w:pPr>
      <w:r>
        <w:rPr>
          <w:rFonts w:ascii="Times New Roman;Times;serif" w:hAnsi="Times New Roman;Times;serif"/>
          <w:sz w:val="20"/>
        </w:rPr>
        <w:t>Basic earnings (loss) per share is calculated by dividing net income (loss) by the weighted average number of shares of common stock, par value $0.001 per share (“Common Stock”), outstanding for each period.</w:t>
      </w:r>
    </w:p>
    <w:p>
      <w:pPr>
        <w:pStyle w:val="TextBody"/>
        <w:bidi w:val="0"/>
        <w:spacing w:before="0" w:after="200"/>
        <w:ind w:left="1080" w:right="0" w:hanging="0"/>
        <w:jc w:val="left"/>
        <w:rPr>
          <w:rFonts w:ascii="Times New Roman;Times;serif" w:hAnsi="Times New Roman;Times;serif"/>
          <w:sz w:val="20"/>
        </w:rPr>
      </w:pPr>
      <w:r>
        <w:rPr>
          <w:rFonts w:ascii="Times New Roman;Times;serif" w:hAnsi="Times New Roman;Times;serif"/>
          <w:sz w:val="20"/>
        </w:rPr>
        <w:t>In computing diluted earnings per share, basic earnings per share are adjusted to take into account the potential dilution that could occur upon: (i) the exercise of options and non-vested restricted stock granted under employee stock compensation plans using the treasury stock method; and (ii) the exercise of warrants using the treasury stock method.</w:t>
      </w:r>
    </w:p>
    <w:tbl>
      <w:tblPr>
        <w:tblW w:w="3306" w:type="dxa"/>
        <w:jc w:val="left"/>
        <w:tblInd w:w="0" w:type="dxa"/>
        <w:tblLayout w:type="fixed"/>
        <w:tblCellMar>
          <w:top w:w="0" w:type="dxa"/>
          <w:left w:w="0" w:type="dxa"/>
          <w:bottom w:w="0" w:type="dxa"/>
          <w:right w:w="0" w:type="dxa"/>
        </w:tblCellMar>
      </w:tblPr>
      <w:tblGrid>
        <w:gridCol w:w="124"/>
        <w:gridCol w:w="256"/>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d.</w:t>
            </w:r>
          </w:p>
        </w:tc>
        <w:tc>
          <w:tcPr>
            <w:tcW w:w="292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shd w:fill="FFFFFF" w:val="clear"/>
              </w:rPr>
              <w:t xml:space="preserve">New </w:t>
            </w:r>
            <w:r>
              <w:rPr>
                <w:rFonts w:ascii="Times New Roman;Times;serif" w:hAnsi="Times New Roman;Times;serif"/>
                <w:b/>
                <w:sz w:val="20"/>
              </w:rPr>
              <w:t>accounting pronouncements</w:t>
            </w:r>
          </w:p>
        </w:tc>
      </w:tr>
    </w:tbl>
    <w:p>
      <w:pPr>
        <w:pStyle w:val="TextBody"/>
        <w:pBdr/>
        <w:bidi w:val="0"/>
        <w:spacing w:before="0" w:after="200"/>
        <w:ind w:left="1080" w:right="0" w:hanging="360"/>
        <w:jc w:val="left"/>
        <w:rPr>
          <w:rFonts w:ascii="Times New Roman;Times;serif" w:hAnsi="Times New Roman;Times;serif"/>
          <w:i/>
          <w:sz w:val="20"/>
        </w:rPr>
      </w:pPr>
      <w:r>
        <w:rPr>
          <w:rFonts w:ascii="Times New Roman;Times;serif" w:hAnsi="Times New Roman;Times;serif"/>
          <w:i/>
          <w:sz w:val="20"/>
        </w:rPr>
        <w:t>Recently issued accounting pronouncements, not yet adopted</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(Subtopic 220-40): Disaggregation of Income Statement Expenses,” which requires disclosure about the types of costs and expenses included in certain expense captions presented on the income statement. ASU 2024-03 is effective for fiscal years beginning after December 15, 2026, and interim periods within fiscal years beginning after December 15, 2027, with early adoption permitted, and may be applied either prospectively or retrospectively. The Company is currently evaluating this guidance to determine the impact it may have on its consolidated financial statements disclosures</w:t>
      </w:r>
      <w:r>
        <w:rPr>
          <w:rFonts w:ascii="Palatino Linotype" w:hAnsi="Palatino Linotype"/>
          <w:sz w:val="20"/>
          <w:shd w:fill="FFFFFF" w:val="clea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In December 2025, the FASB issued ASU 2025-10 “Government Grants (Topic 832)” to establish authoritative guidance on the accounting for government grants received by business entities. This update is effective beginning with the Company’s 2029 fiscal year annual reporting period, with early adoption permitted. The Company is currently evaluating the impact that the adoption of this standard will have on its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PROTALIX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In December 2025, the FASB issued ASU 2025-11 to amend the guidance in “Interim Reporting”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ASU is effective for fiscal years beginning after December 15, 2027, and interim periods within those fiscal years. The Company is currently evaluating the effects that ASU 2025-11 will have on its interim consolidated financial statements and related disclosures.</w:t>
      </w:r>
    </w:p>
    <w:p>
      <w:pPr>
        <w:pStyle w:val="TextBody"/>
        <w:bidi w:val="0"/>
        <w:spacing w:before="0" w:after="0"/>
        <w:ind w:left="108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562" w:name="Tc_h6eAGNicjECLFYwo1w_Tew_6_5"/>
      <w:bookmarkStart w:id="563" w:name="Tc_LXU14R658Eq8YJ8CoohP6w_6_2"/>
      <w:bookmarkStart w:id="564" w:name="Tc_9IGGJL1ubkG5kndn3F2o1A_6_0"/>
      <w:bookmarkStart w:id="565" w:name="Tc_xax41iOxsEunYLpPKv2m7w_5_0"/>
      <w:bookmarkStart w:id="566" w:name="Tc_nyoRffHEbUKPloRFodoF4Q_4_0"/>
      <w:bookmarkStart w:id="567" w:name="Tc_d_OxAPbVHkaCp5Tw46XY3g_3_5"/>
      <w:bookmarkStart w:id="568" w:name="Tc_Zuw2wlyGlEuAni3vDqYV4g_3_2"/>
      <w:bookmarkStart w:id="569" w:name="Tc_ofns77yUP0yNcsL0JO2ISg_3_0"/>
      <w:bookmarkStart w:id="570" w:name="Tc_P-9neEoUTEG-Ff8fU-QgWQ_2_5"/>
      <w:bookmarkStart w:id="571" w:name="Tc_3NBrjkTX3EW9of0XX0Dz9w_2_2"/>
      <w:bookmarkStart w:id="572" w:name="Tc_jnKrDn7zVEmldiU4kYCe0Q_2_0"/>
      <w:bookmarkStart w:id="573" w:name="Tc_p4pQPfljHU2P5ksMNbDOWA_1_5"/>
      <w:bookmarkStart w:id="574" w:name="Tc_hEXS5taad0-1DNExyzL2RA_1_2"/>
      <w:bookmarkEnd w:id="562"/>
      <w:bookmarkEnd w:id="563"/>
      <w:bookmarkEnd w:id="564"/>
      <w:bookmarkEnd w:id="565"/>
      <w:bookmarkEnd w:id="566"/>
      <w:bookmarkEnd w:id="567"/>
      <w:bookmarkEnd w:id="568"/>
      <w:bookmarkEnd w:id="569"/>
      <w:bookmarkEnd w:id="570"/>
      <w:bookmarkEnd w:id="571"/>
      <w:bookmarkEnd w:id="572"/>
      <w:bookmarkEnd w:id="573"/>
      <w:bookmarkEnd w:id="574"/>
      <w:r>
        <w:rPr>
          <w:rFonts w:ascii="Times New Roman;Times;serif" w:hAnsi="Times New Roman;Times;serif"/>
          <w:b/>
          <w:sz w:val="20"/>
        </w:rPr>
        <w:t>NOTE 2 - INVENTORIES</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Inventories at June 30, 2026 and December 31, 2025 consisted of the following:</w:t>
      </w:r>
    </w:p>
    <w:p>
      <w:pPr>
        <w:pStyle w:val="TextBody"/>
        <w:bidi w:val="0"/>
        <w:spacing w:before="0" w:after="0"/>
        <w:ind w:left="0" w:right="0" w:hanging="0"/>
        <w:jc w:val="left"/>
        <w:rPr/>
      </w:pPr>
      <w:r>
        <w:rPr/>
        <w:t>​</w:t>
      </w:r>
    </w:p>
    <w:tbl>
      <w:tblPr>
        <w:tblW w:w="4869" w:type="dxa"/>
        <w:jc w:val="left"/>
        <w:tblInd w:w="0" w:type="dxa"/>
        <w:tblLayout w:type="fixed"/>
        <w:tblCellMar>
          <w:top w:w="0" w:type="dxa"/>
          <w:left w:w="0" w:type="dxa"/>
          <w:bottom w:w="0" w:type="dxa"/>
          <w:right w:w="0" w:type="dxa"/>
        </w:tblCellMar>
      </w:tblPr>
      <w:tblGrid>
        <w:gridCol w:w="1996"/>
        <w:gridCol w:w="346"/>
        <w:gridCol w:w="211"/>
        <w:gridCol w:w="676"/>
        <w:gridCol w:w="346"/>
        <w:gridCol w:w="271"/>
        <w:gridCol w:w="869"/>
        <w:gridCol w:w="154"/>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67460" cy="175260"/>
                      <wp:effectExtent l="0" t="0" r="0" b="0"/>
                      <wp:wrapNone/>
                      <wp:docPr id="50" name="Frame50"/>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29260" cy="175260"/>
                      <wp:effectExtent l="0" t="0" r="0" b="0"/>
                      <wp:wrapNone/>
                      <wp:docPr id="53" name="Frame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72085" cy="175260"/>
                      <wp:effectExtent l="0" t="0" r="0" b="0"/>
                      <wp:wrapNone/>
                      <wp:docPr id="55" name="Frame5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51815" cy="175260"/>
                      <wp:effectExtent l="0" t="0" r="0" b="0"/>
                      <wp:wrapNone/>
                      <wp:docPr id="56" name="Frame56"/>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97790" cy="175260"/>
                      <wp:effectExtent l="0" t="0" r="0" b="0"/>
                      <wp:wrapNone/>
                      <wp:docPr id="57" name="Frame5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left"/>
              <w:rPr/>
            </w:pPr>
            <w:r>
              <w:rPr/>
              <w:t>​</w:t>
            </w:r>
          </w:p>
        </w:tc>
      </w:tr>
      <w:tr>
        <w:trPr/>
        <w:tc>
          <w:tcPr>
            <w:tcW w:w="1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r>
              <w:rPr>
                <w:rFonts w:ascii="Times New Roman;Times;serif" w:hAnsi="Times New Roman;Times;serif"/>
                <w:i/>
                <w:sz w:val="16"/>
              </w:rPr>
              <w:t>U.S. dollars in thousands)</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6,083</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8,254</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9,375</w:t>
            </w:r>
          </w:p>
        </w:tc>
        <w:tc>
          <w:tcPr>
            <w:tcW w:w="154" w:type="dxa"/>
            <w:tcBorders/>
            <w:vAlign w:val="center"/>
          </w:tcPr>
          <w:p>
            <w:pPr>
              <w:pStyle w:val="TableContents"/>
              <w:bidi w:val="0"/>
              <w:spacing w:before="0" w:after="0"/>
              <w:ind w:left="0" w:right="0" w:hanging="0"/>
              <w:jc w:val="lef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17,955</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32,292</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25,729</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LIABILITY FOR EMPLOYEE RIGHTS UPON RETIREMENT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Prior to the three months ended June 30, 2026, Protalix Ltd., the Company’s Israeli subsidiary, was required in certain circumstances to make a severance payment upon retirement of certain employees. The Company recorded the liability resulting from this obligation on its balance sheets under “Liability for employee rights upon retirement.” The Company funded this liability, in part, through the purchase of insurance policies or by the establishment of pension funds, and the amounts so funded were recorded in the Company’s balance sheets under “Funds in respect of employee rights upon retirement.” During the three months ended June 30, 2026, the Company amended its agreements with the relevant employees to be consistent with the Company’s agreements with the remainder of its employees. Giving effect to such amendments, the Company makes deposits to certain insurance companies or pension funds for accounts controlled by each applicable employee in order to secure the employee’s rights upon retirement in lieu of severance. Accordingly, the Company no longer has any remaining funds or liabilities for employee rights upon retirement recognized in its balance sheet and has no subsequent liabilities for severance. The liability accrued and the amounts funded are not recorded in the Company’s balance sheets as the amounts funded are not under the Company’s control or management, and the liability has been irrevocably transferred to the applicable insurance companies or pension funds.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4 – FAIR VALUE MEASUREMENT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The Company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The accounting standard establishes a fair value hierarchy that prioritizes observable and unobservable inputs used to measure fair value into three broad levels, which are described below:</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Level 1: Quoted prices (unadjusted) in active markets that are accessible at the measurement date for assets or liabilities. The fair value hierarchy gives the highest priority to Level 1 inputs.</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Level 2: Observable prices that are based on inputs not quoted on active markets, but corroborated by market data.</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Level 3: Unobservable inputs are used when little or no market data is available. The fair value hierarchy gives the lowest priority to Level 3 inputs.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PROTALIX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In determining fair value, the Company utilizes valuation techniques that maximize the use of observable inputs and minimize the use of unobservable inputs to the extent possible and considers counterparty credit risk in its assessment of fair value.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The fair value of the financial instruments included in the working capital of the Company is identical or close to their carrying value.</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5 – STOCK TRANSACTIONS</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During the six months ended June 30, 2026, the Company issued, in the aggregate, 145,661 shares of Common Stock in connection with the exercise of options to purchase 145,661 shares of Common Stock by certain current and former employees of the Company. The Company received cash proceeds equal to $0.2 million in connection with such exercises.</w:t>
      </w:r>
    </w:p>
    <w:p>
      <w:pPr>
        <w:pStyle w:val="TextBody"/>
        <w:bidi w:val="0"/>
        <w:spacing w:before="0" w:after="200"/>
        <w:ind w:left="0" w:right="0" w:hanging="0"/>
        <w:jc w:val="left"/>
        <w:rPr>
          <w:rFonts w:ascii="Times New Roman;Times;serif" w:hAnsi="Times New Roman;Times;serif"/>
          <w:b/>
          <w:sz w:val="20"/>
        </w:rPr>
      </w:pPr>
      <w:bookmarkStart w:id="575" w:name="Tc_S-QV-eRrLkOr-nBurW_H-Q_8_0"/>
      <w:bookmarkStart w:id="576" w:name="Tc_wgLo6atWEUCJDL6i7r3m-Q_7_0"/>
      <w:bookmarkStart w:id="577" w:name="Tc_3cvf7cfYrUS-SuxZ77R1dQ_6_0"/>
      <w:bookmarkStart w:id="578" w:name="Tc_wr3Bs5zl5UaZoUl7jZTT7Q_5_0"/>
      <w:bookmarkStart w:id="579" w:name="Tc_ML_8paLSCEKXZWCqjCYOsw_4_11"/>
      <w:bookmarkStart w:id="580" w:name="Tc_Nq0IfZY2e0CEqQd-uK5cRw_4_8"/>
      <w:bookmarkStart w:id="581" w:name="Tc_tjPF4DHjI0OfA6tvHYnO9Q_4_5"/>
      <w:bookmarkStart w:id="582" w:name="Tc_Q42QSM-fk0aCgmpaXXJSGw_4_2"/>
      <w:bookmarkStart w:id="583" w:name="Tc_8Z1u37yLfk6-THxOq3WCcA_4_0"/>
      <w:bookmarkStart w:id="584" w:name="Tc_2Yshspr7Tkenjsoh_2IZaw_3_0"/>
      <w:bookmarkStart w:id="585" w:name="Tc_RKycyG1SKke6r13MOhV12w_2_11"/>
      <w:bookmarkStart w:id="586" w:name="Tc_W1H9Zvp5bkOlX7Q_hTouIg_2_8"/>
      <w:bookmarkStart w:id="587" w:name="Tc_kIuIFN3axEStTSmeUaiIwg_2_5"/>
      <w:bookmarkStart w:id="588" w:name="Tc_K3biVhJEC0e5ERUA2mAopg_2_2"/>
      <w:bookmarkStart w:id="589" w:name="Tc_enn8OwaM8EqO-NyVs5YbEw_2_0"/>
      <w:bookmarkStart w:id="590" w:name="Tc_mgch5ty0W0Odfg-UXMhCLw_1_9"/>
      <w:bookmarkStart w:id="591" w:name="Tc_LegsT7-I2EOFcvXFyCNzRw_1_3"/>
      <w:bookmarkStart w:id="592" w:name="_6decb5fe_5bf4_42a7_8c51_83efe763b9f1"/>
      <w:bookmarkStart w:id="593" w:name="_52facc95_de4b_48ea_acd3_67a58de452b5"/>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r>
        <w:rPr>
          <w:rFonts w:ascii="Times New Roman;Times;serif" w:hAnsi="Times New Roman;Times;serif"/>
          <w:b/>
          <w:sz w:val="20"/>
        </w:rPr>
        <w:t>NOTE 6 – EARNINGS (LOSS) PER SHARE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Basic and diluted earnings (loss) per share attributable to common stockholders were calculated as follows:</w:t>
      </w:r>
    </w:p>
    <w:tbl>
      <w:tblPr>
        <w:tblW w:w="10205" w:type="dxa"/>
        <w:jc w:val="left"/>
        <w:tblInd w:w="0" w:type="dxa"/>
        <w:tblLayout w:type="fixed"/>
        <w:tblCellMar>
          <w:top w:w="0" w:type="dxa"/>
          <w:left w:w="0" w:type="dxa"/>
          <w:bottom w:w="0" w:type="dxa"/>
          <w:right w:w="0" w:type="dxa"/>
        </w:tblCellMar>
      </w:tblPr>
      <w:tblGrid>
        <w:gridCol w:w="3488"/>
        <w:gridCol w:w="406"/>
        <w:gridCol w:w="211"/>
        <w:gridCol w:w="1036"/>
        <w:gridCol w:w="406"/>
        <w:gridCol w:w="211"/>
        <w:gridCol w:w="1036"/>
        <w:gridCol w:w="406"/>
        <w:gridCol w:w="211"/>
        <w:gridCol w:w="1036"/>
        <w:gridCol w:w="406"/>
        <w:gridCol w:w="211"/>
        <w:gridCol w:w="1141"/>
      </w:tblGrid>
      <w:tr>
        <w:trPr/>
        <w:tc>
          <w:tcPr>
            <w:tcW w:w="3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214880" cy="175260"/>
                      <wp:effectExtent l="0" t="0" r="0" b="0"/>
                      <wp:wrapNone/>
                      <wp:docPr id="58" name="Frame58"/>
                      <a:graphic xmlns:a="http://schemas.openxmlformats.org/drawingml/2006/main">
                        <a:graphicData uri="http://schemas.microsoft.com/office/word/2010/wordprocessingShape">
                          <wps:wsp>
                            <wps:cNvSpPr txBox="1"/>
                            <wps:spPr>
                              <a:xfrm>
                                <a:off x="0" y="0"/>
                                <a:ext cx="2214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57810" cy="175260"/>
                      <wp:effectExtent l="0" t="0" r="0" b="0"/>
                      <wp:wrapNone/>
                      <wp:docPr id="59" name="Frame5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57860" cy="175260"/>
                      <wp:effectExtent l="0" t="0" r="0" b="0"/>
                      <wp:wrapNone/>
                      <wp:docPr id="61" name="Frame6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57810" cy="175260"/>
                      <wp:effectExtent l="0" t="0" r="0" b="0"/>
                      <wp:wrapNone/>
                      <wp:docPr id="62" name="Frame6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57860" cy="175260"/>
                      <wp:effectExtent l="0" t="0" r="0" b="0"/>
                      <wp:wrapNone/>
                      <wp:docPr id="64" name="Frame6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57810" cy="175260"/>
                      <wp:effectExtent l="0" t="0" r="0" b="0"/>
                      <wp:wrapNone/>
                      <wp:docPr id="65" name="Frame6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57860" cy="175260"/>
                      <wp:effectExtent l="0" t="0" r="0" b="0"/>
                      <wp:wrapNone/>
                      <wp:docPr id="67" name="Frame6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57810" cy="175260"/>
                      <wp:effectExtent l="0" t="0" r="0" b="0"/>
                      <wp:wrapNone/>
                      <wp:docPr id="68" name="Frame6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24535" cy="175260"/>
                      <wp:effectExtent l="0" t="0" r="0" b="0"/>
                      <wp:wrapNone/>
                      <wp:docPr id="70" name="Frame7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8"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48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 except share data)</w:t>
            </w:r>
          </w:p>
        </w:tc>
        <w:tc>
          <w:tcPr>
            <w:tcW w:w="406" w:type="dxa"/>
            <w:tcBorders/>
            <w:vAlign w:val="center"/>
          </w:tcPr>
          <w:p>
            <w:pPr>
              <w:pStyle w:val="TableContents"/>
              <w:bidi w:val="0"/>
              <w:spacing w:before="0" w:after="0"/>
              <w:ind w:left="0" w:right="0" w:hanging="0"/>
              <w:jc w:val="left"/>
              <w:rPr/>
            </w:pPr>
            <w:r>
              <w:rPr/>
              <w:t>  ​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0"/>
              <w:ind w:left="0" w:right="0" w:hanging="0"/>
              <w:jc w:val="center"/>
              <w:rPr/>
            </w:pPr>
            <w:r>
              <w:rPr/>
              <w:t>  ​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center"/>
              <w:rPr/>
            </w:pPr>
            <w:r>
              <w:rPr/>
              <w:t>  ​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0"/>
              <w:ind w:left="0" w:right="0" w:hanging="0"/>
              <w:jc w:val="center"/>
              <w:rPr/>
            </w:pPr>
            <w:r>
              <w:rPr/>
              <w:t>  ​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r>
      <w:tr>
        <w:trPr/>
        <w:tc>
          <w:tcPr>
            <w:tcW w:w="34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for basic and diluted calculation</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22,094</w:t>
            </w:r>
          </w:p>
        </w:tc>
        <w:tc>
          <w:tcPr>
            <w:tcW w:w="406" w:type="dxa"/>
            <w:tcBorders/>
            <w:vAlign w:val="center"/>
          </w:tcPr>
          <w:p>
            <w:pPr>
              <w:pStyle w:val="TableContents"/>
              <w:bidi w:val="0"/>
              <w:spacing w:before="0" w:after="0"/>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(3,455)</w:t>
            </w:r>
          </w:p>
        </w:tc>
        <w:tc>
          <w:tcPr>
            <w:tcW w:w="406" w:type="dxa"/>
            <w:tcBorders/>
            <w:vAlign w:val="center"/>
          </w:tcPr>
          <w:p>
            <w:pPr>
              <w:pStyle w:val="TableContents"/>
              <w:bidi w:val="0"/>
              <w:spacing w:before="0" w:after="0"/>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w:t>
            </w:r>
          </w:p>
        </w:tc>
        <w:tc>
          <w:tcPr>
            <w:tcW w:w="406" w:type="dxa"/>
            <w:tcBorders/>
            <w:vAlign w:val="center"/>
          </w:tcPr>
          <w:p>
            <w:pPr>
              <w:pStyle w:val="TableContents"/>
              <w:bidi w:val="0"/>
              <w:spacing w:before="0" w:after="0"/>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34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r>
      <w:tr>
        <w:trPr/>
        <w:tc>
          <w:tcPr>
            <w:tcW w:w="34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for basic calculation</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79,884,562</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77,651,330</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79,986,325</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78,663,884</w:t>
            </w:r>
          </w:p>
        </w:tc>
      </w:tr>
      <w:tr>
        <w:trPr/>
        <w:tc>
          <w:tcPr>
            <w:tcW w:w="34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dilutive effect of stock options and unvested restricted stock</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2,925,949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2,573,910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2,607,726</w:t>
            </w:r>
          </w:p>
        </w:tc>
      </w:tr>
      <w:tr>
        <w:trPr/>
        <w:tc>
          <w:tcPr>
            <w:tcW w:w="34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for diluted calculation</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82,810,511</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77,651,330</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82,560,235</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81,271,610</w:t>
            </w:r>
          </w:p>
        </w:tc>
      </w:tr>
    </w:tbl>
    <w:p>
      <w:pPr>
        <w:pStyle w:val="TextBody"/>
        <w:bidi w:val="0"/>
        <w:spacing w:before="0" w:after="0"/>
        <w:ind w:left="0" w:right="0" w:hanging="0"/>
        <w:jc w:val="left"/>
        <w:rPr/>
      </w:pPr>
      <w:r>
        <w:rPr/>
        <w:t>​</w:t>
      </w:r>
    </w:p>
    <w:p>
      <w:pPr>
        <w:pStyle w:val="TextBody"/>
        <w:bidi w:val="0"/>
        <w:spacing w:before="200" w:after="200"/>
        <w:ind w:left="720" w:right="0" w:hanging="0"/>
        <w:jc w:val="left"/>
        <w:rPr>
          <w:rFonts w:ascii="Times New Roman;Times;serif" w:hAnsi="Times New Roman;Times;serif"/>
          <w:sz w:val="20"/>
        </w:rPr>
      </w:pPr>
      <w:r>
        <w:rPr>
          <w:rFonts w:ascii="Times New Roman;Times;serif" w:hAnsi="Times New Roman;Times;serif"/>
          <w:sz w:val="20"/>
        </w:rPr>
        <w:t>Diluted earnings per share do not include 1,351,303 and 1,947,890 shares of Common Stock underlying outstanding stock options for the six and three months ended June 30, 2026, respectively, because the effect would be anti-dilutive.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Diluted loss per share do not include 12,936,429 shares of Common Stock underlying outstanding stock options, unvested shares of restricted stock, and warrants for the six months ended June 30, 2025, and 2,365,709 shares of Common Stock underlying outstanding stock options for the three months ended June 30, 2025, because the effect would be anti-dilutive.</w:t>
      </w:r>
    </w:p>
    <w:p>
      <w:pPr>
        <w:pStyle w:val="TextBody"/>
        <w:bidi w:val="0"/>
        <w:spacing w:before="0" w:after="200"/>
        <w:ind w:left="0" w:right="0" w:hanging="0"/>
        <w:jc w:val="left"/>
        <w:rPr>
          <w:rFonts w:ascii="Times New Roman;Times;serif" w:hAnsi="Times New Roman;Times;serif"/>
          <w:b/>
          <w:sz w:val="20"/>
        </w:rPr>
      </w:pPr>
      <w:bookmarkStart w:id="594" w:name="Tc_MHUVpLEHwEyWAumrRdzfNw_5_11"/>
      <w:bookmarkStart w:id="595" w:name="Tc_xH-gaId6kE-duFOdnjN43Q_5_8"/>
      <w:bookmarkStart w:id="596" w:name="Tc_orYxJoXwHEyVfbOw3L1CjA_5_5"/>
      <w:bookmarkStart w:id="597" w:name="Tc_9vrNFusdEECIn3GXhCabYA_5_2"/>
      <w:bookmarkStart w:id="598" w:name="Tc_0Hvtg9mUrUC9TWcJeHglog_5_0"/>
      <w:bookmarkStart w:id="599" w:name="Tc_jxdMECvjQ0uuL3uc5g6n5A_4_11"/>
      <w:bookmarkStart w:id="600" w:name="Tc_69nyv1j1mEehbAg6lgUFHg_4_8"/>
      <w:bookmarkStart w:id="601" w:name="Tc_E0VG3Bt6CEy3y5NkKME2bg_4_0"/>
      <w:bookmarkStart w:id="602" w:name="Tc_Z22nEL2hCkWt8kwACSKh2g_3_11"/>
      <w:bookmarkStart w:id="603" w:name="Tc_s1JVld9A3kScpYYCDYNx5w_3_8"/>
      <w:bookmarkStart w:id="604" w:name="Tc__FdV8uMjgk2fCMKT54Zm_w_3_5"/>
      <w:bookmarkStart w:id="605" w:name="Tc_7LN-Koy2502860e1BX1Jrg_3_2"/>
      <w:bookmarkStart w:id="606" w:name="Tc_-wQnrXVM_Eit8-JhIlc9NA_3_0"/>
      <w:bookmarkStart w:id="607" w:name="Tc_dfpASjdv2U-8FpmSHhP1rA_2_11"/>
      <w:bookmarkStart w:id="608" w:name="Tc_hN59nkDPgEeU7vbtw7fifQ_2_8"/>
      <w:bookmarkStart w:id="609" w:name="Tc_Khx27HWiDE2vsOKr60MdMQ_2_5"/>
      <w:bookmarkStart w:id="610" w:name="Tc_NaKF5cCOg02ZJIafPROXCQ_2_2"/>
      <w:bookmarkStart w:id="611" w:name="Tc_ivOZLDqQmEaPDGsQBMy5xQ_2_0"/>
      <w:bookmarkStart w:id="612" w:name="Tc_9qRIrgeKskaUZfRBa8nIYQ_1_8"/>
      <w:bookmarkStart w:id="613" w:name="Tc_XwY80hcXGEelYv1l9It63Q_1_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r>
        <w:rPr>
          <w:rFonts w:ascii="Times New Roman;Times;serif" w:hAnsi="Times New Roman;Times;serif"/>
          <w:b/>
          <w:sz w:val="20"/>
        </w:rPr>
        <w:t>NOTE 7 – TAXES ON INCOME</w:t>
      </w:r>
    </w:p>
    <w:tbl>
      <w:tblPr>
        <w:tblW w:w="5811" w:type="dxa"/>
        <w:jc w:val="left"/>
        <w:tblInd w:w="0" w:type="dxa"/>
        <w:tblLayout w:type="fixed"/>
        <w:tblCellMar>
          <w:top w:w="0" w:type="dxa"/>
          <w:left w:w="0" w:type="dxa"/>
          <w:bottom w:w="0" w:type="dxa"/>
          <w:right w:w="0" w:type="dxa"/>
        </w:tblCellMar>
      </w:tblPr>
      <w:tblGrid>
        <w:gridCol w:w="124"/>
        <w:gridCol w:w="241"/>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00"/>
              <w:jc w:val="left"/>
              <w:rPr>
                <w:rFonts w:ascii="Times New Roman;Times;serif" w:hAnsi="Times New Roman;Times;serif"/>
                <w:sz w:val="20"/>
                <w:shd w:fill="FFFFFF" w:val="clear"/>
              </w:rPr>
            </w:pPr>
            <w:r>
              <w:rPr>
                <w:rFonts w:ascii="Times New Roman;Times;serif" w:hAnsi="Times New Roman;Times;serif"/>
                <w:sz w:val="20"/>
                <w:shd w:fill="FFFFFF" w:val="clear"/>
              </w:rPr>
              <w:t>a.</w:t>
            </w:r>
          </w:p>
        </w:tc>
        <w:tc>
          <w:tcPr>
            <w:tcW w:w="5446" w:type="dxa"/>
            <w:tcBorders/>
            <w:vAlign w:val="center"/>
          </w:tcPr>
          <w:p>
            <w:pPr>
              <w:pStyle w:val="TableContents"/>
              <w:bidi w:val="0"/>
              <w:spacing w:before="0" w:after="200"/>
              <w:jc w:val="left"/>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the Company’s taxes on income:</w:t>
            </w:r>
          </w:p>
        </w:tc>
      </w:tr>
    </w:tbl>
    <w:p>
      <w:pPr>
        <w:pStyle w:val="TextBody"/>
        <w:bidi w:val="0"/>
        <w:spacing w:before="0" w:after="0"/>
        <w:ind w:left="0" w:right="0" w:hanging="0"/>
        <w:jc w:val="left"/>
        <w:rPr/>
      </w:pPr>
      <w:r>
        <w:rPr/>
        <w:t>​</w:t>
      </w:r>
    </w:p>
    <w:tbl>
      <w:tblPr>
        <w:tblW w:w="8464" w:type="dxa"/>
        <w:jc w:val="left"/>
        <w:tblInd w:w="0" w:type="dxa"/>
        <w:tblLayout w:type="fixed"/>
        <w:tblCellMar>
          <w:top w:w="0" w:type="dxa"/>
          <w:left w:w="0" w:type="dxa"/>
          <w:bottom w:w="0" w:type="dxa"/>
          <w:right w:w="0" w:type="dxa"/>
        </w:tblCellMar>
      </w:tblPr>
      <w:tblGrid>
        <w:gridCol w:w="3331"/>
        <w:gridCol w:w="346"/>
        <w:gridCol w:w="211"/>
        <w:gridCol w:w="920"/>
        <w:gridCol w:w="175"/>
        <w:gridCol w:w="340"/>
        <w:gridCol w:w="678"/>
        <w:gridCol w:w="109"/>
        <w:gridCol w:w="305"/>
        <w:gridCol w:w="826"/>
        <w:gridCol w:w="157"/>
        <w:gridCol w:w="305"/>
        <w:gridCol w:w="761"/>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15185" cy="175260"/>
                      <wp:effectExtent l="0" t="0" r="0" b="0"/>
                      <wp:wrapNone/>
                      <wp:docPr id="71" name="Frame71"/>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84200" cy="175260"/>
                      <wp:effectExtent l="0" t="0" r="0" b="0"/>
                      <wp:wrapNone/>
                      <wp:docPr id="74" name="Frame74"/>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11125" cy="175260"/>
                      <wp:effectExtent l="0" t="0" r="0" b="0"/>
                      <wp:wrapNone/>
                      <wp:docPr id="75" name="Frame75"/>
                      <a:graphic xmlns:a="http://schemas.openxmlformats.org/drawingml/2006/main">
                        <a:graphicData uri="http://schemas.microsoft.com/office/word/2010/wordprocessingShape">
                          <wps:wsp>
                            <wps:cNvSpPr txBox="1"/>
                            <wps:spPr>
                              <a:xfrm>
                                <a:off x="0" y="0"/>
                                <a:ext cx="111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5900" cy="175260"/>
                      <wp:effectExtent l="0" t="0" r="0" b="0"/>
                      <wp:wrapNone/>
                      <wp:docPr id="76" name="Frame76"/>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30530" cy="175260"/>
                      <wp:effectExtent l="0" t="0" r="0" b="0"/>
                      <wp:wrapNone/>
                      <wp:docPr id="77" name="Frame77"/>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93675" cy="175260"/>
                      <wp:effectExtent l="0" t="0" r="0" b="0"/>
                      <wp:wrapNone/>
                      <wp:docPr id="79" name="Frame79"/>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24510" cy="175260"/>
                      <wp:effectExtent l="0" t="0" r="0" b="0"/>
                      <wp:wrapNone/>
                      <wp:docPr id="80" name="Frame8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99695" cy="175260"/>
                      <wp:effectExtent l="0" t="0" r="0" b="0"/>
                      <wp:wrapNone/>
                      <wp:docPr id="81" name="Frame81"/>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93675" cy="175260"/>
                      <wp:effectExtent l="0" t="0" r="0" b="0"/>
                      <wp:wrapNone/>
                      <wp:docPr id="82" name="Frame82"/>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83235" cy="175260"/>
                      <wp:effectExtent l="0" t="0" r="0" b="0"/>
                      <wp:wrapNone/>
                      <wp:docPr id="83" name="Frame83"/>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09" w:type="dxa"/>
            <w:tcBorders/>
            <w:vAlign w:val="center"/>
          </w:tcPr>
          <w:p>
            <w:pPr>
              <w:pStyle w:val="TableContents"/>
              <w:bidi w:val="0"/>
              <w:spacing w:before="0" w:after="0"/>
              <w:ind w:left="0" w:right="0" w:hanging="0"/>
              <w:jc w:val="left"/>
              <w:rPr/>
            </w:pPr>
            <w:r>
              <w:rPr/>
              <w:t>​</w:t>
            </w:r>
          </w:p>
        </w:tc>
        <w:tc>
          <w:tcPr>
            <w:tcW w:w="23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(U.S. dollars in thousands)</w:t>
            </w:r>
          </w:p>
        </w:tc>
        <w:tc>
          <w:tcPr>
            <w:tcW w:w="346" w:type="dxa"/>
            <w:tcBorders/>
            <w:vAlign w:val="center"/>
          </w:tcPr>
          <w:p>
            <w:pPr>
              <w:pStyle w:val="TableContents"/>
              <w:bidi w:val="0"/>
              <w:spacing w:before="0" w:after="0"/>
              <w:ind w:left="0" w:right="0" w:hanging="0"/>
              <w:jc w:val="left"/>
              <w:rPr/>
            </w:pPr>
            <w:r>
              <w:rPr/>
              <w:t>​</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75" w:type="dxa"/>
            <w:tcBorders/>
            <w:vAlign w:val="center"/>
          </w:tcPr>
          <w:p>
            <w:pPr>
              <w:pStyle w:val="TableContents"/>
              <w:bidi w:val="0"/>
              <w:spacing w:before="0" w:after="0"/>
              <w:ind w:left="0" w:right="0" w:hanging="0"/>
              <w:jc w:val="left"/>
              <w:rPr/>
            </w:pPr>
            <w:r>
              <w:rPr/>
              <w:t>​</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7"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taxes on income - U.S. (federal)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3,765</w:t>
            </w:r>
          </w:p>
        </w:tc>
        <w:tc>
          <w:tcPr>
            <w:tcW w:w="175"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157"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taxes on income - U.S.(federal)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175" w:type="dxa"/>
            <w:tcBorders/>
            <w:shd w:fill="CCEEFF" w:val="clear"/>
            <w:vAlign w:val="center"/>
          </w:tcPr>
          <w:p>
            <w:pPr>
              <w:pStyle w:val="TableContents"/>
              <w:bidi w:val="0"/>
              <w:spacing w:before="0" w:after="0"/>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157"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taxes on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3,907</w:t>
            </w:r>
          </w:p>
        </w:tc>
        <w:tc>
          <w:tcPr>
            <w:tcW w:w="175" w:type="dxa"/>
            <w:tcBorders/>
            <w:vAlign w:val="center"/>
          </w:tcPr>
          <w:p>
            <w:pPr>
              <w:pStyle w:val="TableContents"/>
              <w:bidi w:val="0"/>
              <w:spacing w:before="0" w:after="0"/>
              <w:ind w:left="0" w:right="0" w:hanging="0"/>
              <w:jc w:val="left"/>
              <w:rPr/>
            </w:pPr>
            <w:r>
              <w:rPr/>
              <w:t>​</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157" w:type="dxa"/>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497</w:t>
            </w:r>
          </w:p>
        </w:tc>
      </w:tr>
    </w:tbl>
    <w:p>
      <w:pPr>
        <w:pStyle w:val="TextBody"/>
        <w:bidi w:val="0"/>
        <w:spacing w:before="0" w:after="0"/>
        <w:ind w:left="0" w:right="0" w:hanging="0"/>
        <w:jc w:val="left"/>
        <w:rPr/>
      </w:pPr>
      <w:r>
        <w:rPr/>
        <w:t>​</w:t>
      </w:r>
    </w:p>
    <w:p>
      <w:pPr>
        <w:pStyle w:val="TextBody"/>
        <w:bidi w:val="0"/>
        <w:spacing w:before="0" w:after="200"/>
        <w:ind w:left="1080" w:right="0" w:hanging="0"/>
        <w:jc w:val="left"/>
        <w:rPr>
          <w:rFonts w:ascii="Times New Roman;Times;serif" w:hAnsi="Times New Roman;Times;serif"/>
          <w:sz w:val="20"/>
        </w:rPr>
      </w:pPr>
      <w:r>
        <w:rPr>
          <w:rFonts w:ascii="Times New Roman;Times;serif" w:hAnsi="Times New Roman;Times;serif"/>
          <w:sz w:val="20"/>
        </w:rPr>
        <w:t>On July 4, 2025, tax reform legislation was enacted in the United States through the passage of H.R.1, The One Big Beautiful Bill Act, which includes significant corporate tax changes, including a restoration of the current deductibility for domestic research expenditures beginning in 2025, with transition options for previously capitalized amounts.</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rFonts w:ascii="Times New Roman;Times;serif" w:hAnsi="Times New Roman;Times;serif"/>
                <w:sz w:val="20"/>
                <w:shd w:fill="FFFFFF" w:val="clear"/>
              </w:rPr>
            </w:pPr>
            <w:r>
              <w:rPr>
                <w:rFonts w:ascii="Times New Roman;Times;serif" w:hAnsi="Times New Roman;Times;serif"/>
                <w:sz w:val="20"/>
                <w:shd w:fill="FFFFFF" w:val="clear"/>
              </w:rPr>
              <w:t>b.</w:t>
            </w:r>
          </w:p>
        </w:tc>
        <w:tc>
          <w:tcPr>
            <w:tcW w:w="9825" w:type="dxa"/>
            <w:tcBorders/>
            <w:vAlign w:val="center"/>
          </w:tcPr>
          <w:p>
            <w:pPr>
              <w:pStyle w:val="TableContents"/>
              <w:bidi w:val="0"/>
              <w:spacing w:before="0" w:after="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On March 31, 2026, the Israeli Knesset enacted the “Law for the Encouragement and Incentivization of Research and Development, 2026” (the “R&amp;D Law”). The R&amp;D Law introduces a refundable tax credit regime calculated as a percentage of qualifying research and development expenditures incurred in Israel (with respect to clinical trials,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PROTALIX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00"/>
        <w:ind w:left="108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expenses incurred outside of Israel may, under certain conditions, also qualify), effective from tax year 2026. Subject to certain conditions, eligible companies may apply the credit against Israeli income tax liabilities or the Israeli qualified domestic minimum top-up tax, or, alternatively, to receive a government grant if the credit is not utilized or if the company choose irrevocably to receive a grant instead of the credit.</w:t>
      </w:r>
    </w:p>
    <w:p>
      <w:pPr>
        <w:pStyle w:val="TextBody"/>
        <w:bidi w:val="0"/>
        <w:spacing w:before="0" w:after="200"/>
        <w:ind w:left="108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R&amp;D Law requires income from a “Preferred Enterprise” or a “Preferred Technological Enterprise” in order to be eligible for the tax credit, and does not include reference to the historic “Approved Enterprise” track. </w:t>
      </w:r>
    </w:p>
    <w:p>
      <w:pPr>
        <w:pStyle w:val="TextBody"/>
        <w:bidi w:val="0"/>
        <w:spacing w:before="0" w:after="200"/>
        <w:ind w:left="108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Following analysis, and after considering, inter alia, (i) the existing tax regime in Israel, including the benefits described above, (ii) the Company’s existing net operating loss carryforwards (“NOLs”), (iii) the ability to apply for additional governmental grants for capital investments, (iv) the short-, medium- and long-term benefits as compared with the longer-term benefit available under the Company’s current structure, and (v) the 7.5% flat tax rate applicable to “Preferred Technological Income” of a “Preferred Technological Enterprise” (“PTE”), the Company elected to waive its “Approved Enterprise” status and to have the Investment Law, as amended, apply to it under the PTE benefit track. As a result, the Company is eligible to, and intends to, file for grants under the R&amp;D Law (as noted above, the R&amp;D Law includes an option pursuant to which a qualifying company entitled to a tax credit that has not utilized such credit by the tax year ending three years following the year in which the related R&amp;D activity was performed or if the Company chooses irrevocably, to receive the full amount of the unused credit as a grant payment instead of the credit).</w:t>
      </w:r>
    </w:p>
    <w:p>
      <w:pPr>
        <w:pStyle w:val="TextBody"/>
        <w:bidi w:val="0"/>
        <w:spacing w:before="0" w:after="200"/>
        <w:ind w:left="108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Government grants and refundable tax credits, such as those provided under the recently enacted R&amp;D Law, are recognized as a reduction of the related expense when there is reasonable assurance that the Company will comply with the required conditions and that the incentive will be received. For the six and three months ended June 30, 2026, the Company recorded $2.1 million as a reduction of research and development expenses and as a long-term asset.</w:t>
      </w:r>
    </w:p>
    <w:tbl>
      <w:tblPr>
        <w:tblW w:w="10205" w:type="dxa"/>
        <w:jc w:val="left"/>
        <w:tblInd w:w="0" w:type="dxa"/>
        <w:tblLayout w:type="fixed"/>
        <w:tblCellMar>
          <w:top w:w="0" w:type="dxa"/>
          <w:left w:w="0" w:type="dxa"/>
          <w:bottom w:w="0" w:type="dxa"/>
          <w:right w:w="0"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98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On April 2, 2026, the U.S. announced significant tariffs pursuant to a national security investigation under Section 232 of the U.S. Trade Expansion Act of 1962 on certain pharmaceutical products, active pharmaceutical ingredients, and key starting materials. These tariffs, which will generally go into effect in September 2026, are subject to a number of exemptions and exclusions. Increased tariffs may impact the Company’s ability to commercialize its current and future products under development in the U.S. The extent of the impact that such tariffs will have on the Company specifically, or on the U.S. market and global economy generally, is uncertain and unpredictable, and could have a material adverse effect on the Company’s business, results of operations, and financial condition.</w:t>
            </w:r>
          </w:p>
        </w:tc>
      </w:tr>
    </w:tbl>
    <w:p>
      <w:pPr>
        <w:pStyle w:val="TextBody"/>
        <w:bidi w:val="0"/>
        <w:spacing w:before="0" w:after="200"/>
        <w:ind w:left="0" w:right="0" w:hanging="0"/>
        <w:jc w:val="left"/>
        <w:rPr>
          <w:rFonts w:ascii="Times New Roman;Times;serif" w:hAnsi="Times New Roman;Times;serif"/>
          <w:b/>
          <w:sz w:val="20"/>
        </w:rPr>
      </w:pPr>
      <w:bookmarkStart w:id="614" w:name="Tc_loo6U_Fd3kSaBMJ-0-MGAA_14_11"/>
      <w:bookmarkStart w:id="615" w:name="Tc_MaZSRNUqj025C_tBCfaauA_14_8"/>
      <w:bookmarkStart w:id="616" w:name="Tc_eH0lZUJpDkCzVZXrMbUmRQ_14_5"/>
      <w:bookmarkStart w:id="617" w:name="Tc_rD1iLGnJnUuL2YPVsEn4_w_14_2"/>
      <w:bookmarkStart w:id="618" w:name="Tc__vAnzPydmkm-RNwQL7dOLg_14_0"/>
      <w:bookmarkStart w:id="619" w:name="Tc_JE6kSrYHJUqIFfVk_FV1tw_13_0"/>
      <w:bookmarkStart w:id="620" w:name="Tc_VY5kLxVl6kSu8r7BCVfskA_12_0"/>
      <w:bookmarkStart w:id="621" w:name="Tc_vd7svg-IfEaAtQ5PnHSGMw_11_0"/>
      <w:bookmarkStart w:id="622" w:name="Tc_hVKOMuL0Fk26yVN3lpx9uA_10_0"/>
      <w:bookmarkStart w:id="623" w:name="Tc_4ldXFM1i90C0E_puS9F2CA_9_0"/>
      <w:bookmarkStart w:id="624" w:name="Tc_QOzxX2HMTkyg8cLJ_G1jPg_8_0"/>
      <w:bookmarkStart w:id="625" w:name="Tc_GmMHVjwewEavxALqS-f2JA_7_12"/>
      <w:bookmarkStart w:id="626" w:name="Tc_Vlx_T4HwU0eJENi3gh-dTA_7_9"/>
      <w:bookmarkStart w:id="627" w:name="Tc_0gc_isZgREqOJE5J4moKMQ_7_6"/>
      <w:bookmarkStart w:id="628" w:name="Tc_4Iig4ojgsE2JBiA6QpdwVQ_7_3"/>
      <w:bookmarkStart w:id="629" w:name="Tc_eXaNwf6EXk2Q0ndOkBDcWA_7_0"/>
      <w:bookmarkStart w:id="630" w:name="Tc_-vObesQET0u_ZUfEhDPDIg_6_0"/>
      <w:bookmarkStart w:id="631" w:name="Tc_zaw-IEu93ESYa0rnv5_Jzg_5_0"/>
      <w:bookmarkStart w:id="632" w:name="Tc_WfyVHa2GEkCu3cA9DTVy1w_4_0"/>
      <w:bookmarkStart w:id="633" w:name="Tc_j14asVbU806LJLm2TEwD9g_3_11"/>
      <w:bookmarkStart w:id="634" w:name="Tc_oQ-8t442TkGbYK18ErtGTA_3_8"/>
      <w:bookmarkStart w:id="635" w:name="Tc_smxCEBv-K0q0F61PwFYiaQ_3_5"/>
      <w:bookmarkStart w:id="636" w:name="Tc_wdYYXcB0zkW4QYxdYdkurA_3_2"/>
      <w:bookmarkStart w:id="637" w:name="Tc_qWYX9SZ7pUeaGCB0p_fXPg_3_0"/>
      <w:bookmarkStart w:id="638" w:name="Tc_WNg5v05_ek2QTVx_nz3q2g_2_11"/>
      <w:bookmarkStart w:id="639" w:name="Tc_PIbTDwKX1U2vRYHCzdqvzQ_2_8"/>
      <w:bookmarkStart w:id="640" w:name="Tc_JeHBJBMlaEKi8uvhTqyXdw_2_5"/>
      <w:bookmarkStart w:id="641" w:name="Tc_YrXhkadTYUeMA7JZyj3YKQ_2_2"/>
      <w:bookmarkStart w:id="642" w:name="Tc_K803S6LoU0-jqdNRGrW9EA_2_0"/>
      <w:bookmarkStart w:id="643" w:name="Tc_YHynKZpuk02nj-5Td20DOQ_1_8"/>
      <w:bookmarkStart w:id="644" w:name="Tc_RE4iBKM3kU2yI6tHT2kcZw_1_2"/>
      <w:bookmarkStart w:id="645" w:name="_f10d0571_9307_4863_b1ac_d02a1bb9aefb"/>
      <w:bookmarkStart w:id="646" w:name="NOTE_7"/>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r>
        <w:rPr>
          <w:rFonts w:ascii="Times New Roman;Times;serif" w:hAnsi="Times New Roman;Times;serif"/>
          <w:b/>
          <w:sz w:val="20"/>
        </w:rPr>
        <w:t xml:space="preserve">NOTE 8 – </w:t>
      </w:r>
      <w:r>
        <w:rPr>
          <w:rFonts w:ascii="Times New Roman;Times;serif" w:hAnsi="Times New Roman;Times;serif"/>
          <w:b/>
          <w:sz w:val="20"/>
          <w:shd w:fill="FFFFFF" w:val="clear"/>
        </w:rPr>
        <w:t>SEGMENT INFORMATION</w:t>
      </w:r>
    </w:p>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operates in Israel as a single</w:t>
            </w:r>
            <w:r>
              <w:rPr>
                <w:caps w:val="false"/>
                <w:smallCaps w:val="false"/>
              </w:rPr>
              <w:t xml:space="preserve"> </w:t>
            </w:r>
            <w:r>
              <w:rPr>
                <w:rFonts w:ascii="Times New Roman;Times;serif" w:hAnsi="Times New Roman;Times;serif"/>
                <w:b w:val="false"/>
                <w:i w:val="false"/>
                <w:caps w:val="false"/>
                <w:smallCaps w:val="false"/>
                <w:sz w:val="20"/>
              </w:rPr>
              <w:t>operating segment. The Company’s President and Chief Executive Officer is the CODM. The CODM makes decisions on resource allocation, assesses performance of the business, and monitors budget versus actual results on a consolidated basis based on net income (losses).</w:t>
            </w:r>
          </w:p>
        </w:tc>
      </w:tr>
    </w:tbl>
    <w:tbl>
      <w:tblPr>
        <w:tblW w:w="2301" w:type="dxa"/>
        <w:jc w:val="left"/>
        <w:tblInd w:w="0" w:type="dxa"/>
        <w:tblLayout w:type="fixed"/>
        <w:tblCellMar>
          <w:top w:w="28" w:type="dxa"/>
          <w:left w:w="28" w:type="dxa"/>
          <w:bottom w:w="28" w:type="dxa"/>
          <w:right w:w="28" w:type="dxa"/>
        </w:tblCellMar>
      </w:tblPr>
      <w:tblGrid>
        <w:gridCol w:w="124"/>
        <w:gridCol w:w="256"/>
        <w:gridCol w:w="1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information:</w:t>
            </w:r>
          </w:p>
        </w:tc>
      </w:tr>
    </w:tbl>
    <w:tbl>
      <w:tblPr>
        <w:tblW w:w="8001" w:type="dxa"/>
        <w:jc w:val="left"/>
        <w:tblInd w:w="0" w:type="dxa"/>
        <w:tblLayout w:type="fixed"/>
        <w:tblCellMar>
          <w:top w:w="0" w:type="dxa"/>
          <w:left w:w="0" w:type="dxa"/>
          <w:bottom w:w="0" w:type="dxa"/>
          <w:right w:w="0" w:type="dxa"/>
        </w:tblCellMar>
      </w:tblPr>
      <w:tblGrid>
        <w:gridCol w:w="3316"/>
        <w:gridCol w:w="109"/>
        <w:gridCol w:w="233"/>
        <w:gridCol w:w="764"/>
        <w:gridCol w:w="120"/>
        <w:gridCol w:w="233"/>
        <w:gridCol w:w="764"/>
        <w:gridCol w:w="109"/>
        <w:gridCol w:w="255"/>
        <w:gridCol w:w="837"/>
        <w:gridCol w:w="132"/>
        <w:gridCol w:w="255"/>
        <w:gridCol w:w="874"/>
      </w:tblGrid>
      <w:tr>
        <w:trPr/>
        <w:tc>
          <w:tcPr>
            <w:tcW w:w="3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7955" cy="175260"/>
                      <wp:effectExtent l="0" t="0" r="0" b="0"/>
                      <wp:wrapNone/>
                      <wp:docPr id="84" name="Frame8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85140" cy="175260"/>
                      <wp:effectExtent l="0" t="0" r="0" b="0"/>
                      <wp:wrapNone/>
                      <wp:docPr id="85" name="Frame85"/>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6200" cy="175260"/>
                      <wp:effectExtent l="0" t="0" r="0" b="0"/>
                      <wp:wrapNone/>
                      <wp:docPr id="86" name="Frame86"/>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47955" cy="175260"/>
                      <wp:effectExtent l="0" t="0" r="0" b="0"/>
                      <wp:wrapNone/>
                      <wp:docPr id="87" name="Frame8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85140" cy="175260"/>
                      <wp:effectExtent l="0" t="0" r="0" b="0"/>
                      <wp:wrapNone/>
                      <wp:docPr id="88" name="Frame88"/>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61925" cy="175260"/>
                      <wp:effectExtent l="0" t="0" r="0" b="0"/>
                      <wp:wrapNone/>
                      <wp:docPr id="90" name="Frame9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31495" cy="175260"/>
                      <wp:effectExtent l="0" t="0" r="0" b="0"/>
                      <wp:wrapNone/>
                      <wp:docPr id="91" name="Frame91"/>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83820" cy="175260"/>
                      <wp:effectExtent l="0" t="0" r="0" b="0"/>
                      <wp:wrapNone/>
                      <wp:docPr id="92" name="Frame92"/>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61925" cy="175260"/>
                      <wp:effectExtent l="0" t="0" r="0" b="0"/>
                      <wp:wrapNone/>
                      <wp:docPr id="93" name="Frame9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54990" cy="175260"/>
                      <wp:effectExtent l="0" t="0" r="0" b="0"/>
                      <wp:wrapNone/>
                      <wp:docPr id="94" name="Frame94"/>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09" w:type="dxa"/>
            <w:tcBorders/>
            <w:vAlign w:val="center"/>
          </w:tcPr>
          <w:p>
            <w:pPr>
              <w:pStyle w:val="TableContents"/>
              <w:bidi w:val="0"/>
              <w:spacing w:before="0" w:after="1"/>
              <w:ind w:left="0" w:right="0" w:hanging="0"/>
              <w:jc w:val="left"/>
              <w:rPr/>
            </w:pPr>
            <w:r>
              <w:rPr/>
              <w:t>​</w:t>
            </w:r>
          </w:p>
        </w:tc>
        <w:tc>
          <w:tcPr>
            <w:tcW w:w="23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3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(U.S. dollars in thousands)</w:t>
            </w:r>
          </w:p>
        </w:tc>
        <w:tc>
          <w:tcPr>
            <w:tcW w:w="109" w:type="dxa"/>
            <w:tcBorders/>
            <w:vAlign w:val="center"/>
          </w:tcPr>
          <w:p>
            <w:pPr>
              <w:pStyle w:val="TableContents"/>
              <w:bidi w:val="0"/>
              <w:spacing w:before="0" w:after="1"/>
              <w:ind w:left="0" w:right="0" w:hanging="0"/>
              <w:jc w:val="left"/>
              <w:rPr/>
            </w:pPr>
            <w:r>
              <w:rPr/>
              <w:t>​</w:t>
            </w:r>
          </w:p>
        </w:tc>
        <w:tc>
          <w:tcPr>
            <w:tcW w:w="9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0" w:type="dxa"/>
            <w:tcBorders/>
            <w:vAlign w:val="center"/>
          </w:tcPr>
          <w:p>
            <w:pPr>
              <w:pStyle w:val="TableContents"/>
              <w:bidi w:val="0"/>
              <w:spacing w:before="0" w:after="1"/>
              <w:ind w:left="0" w:right="0" w:hanging="0"/>
              <w:jc w:val="left"/>
              <w:rPr/>
            </w:pPr>
            <w:r>
              <w:rPr/>
              <w:t>​</w:t>
            </w:r>
          </w:p>
        </w:tc>
        <w:tc>
          <w:tcPr>
            <w:tcW w:w="9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10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2" w:type="dxa"/>
            <w:tcBorders/>
            <w:vAlign w:val="center"/>
          </w:tcPr>
          <w:p>
            <w:pPr>
              <w:pStyle w:val="TableContents"/>
              <w:bidi w:val="0"/>
              <w:spacing w:before="0" w:after="1"/>
              <w:ind w:left="0" w:right="0" w:hanging="0"/>
              <w:jc w:val="left"/>
              <w:rPr/>
            </w:pPr>
            <w:r>
              <w:rPr/>
              <w:t>​</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 from customers</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53,646</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25,771</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19,896</w:t>
            </w:r>
          </w:p>
        </w:tc>
        <w:tc>
          <w:tcPr>
            <w:tcW w:w="132"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15,658</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left"/>
              <w:rPr/>
            </w:pPr>
            <w:r>
              <w:rPr/>
              <w:t>​</w:t>
            </w:r>
          </w:p>
        </w:tc>
        <w:tc>
          <w:tcPr>
            <w:tcW w:w="132"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lef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salaries and related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14,352</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10,649</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7,655</w:t>
            </w:r>
          </w:p>
        </w:tc>
        <w:tc>
          <w:tcPr>
            <w:tcW w:w="132"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5,444</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Sub-contractors expense</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8,340</w:t>
            </w:r>
          </w:p>
        </w:tc>
        <w:tc>
          <w:tcPr>
            <w:tcW w:w="12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7,463</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3,899</w:t>
            </w:r>
          </w:p>
        </w:tc>
        <w:tc>
          <w:tcPr>
            <w:tcW w:w="132"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4,773</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32"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w:t>
            </w:r>
          </w:p>
        </w:tc>
        <w:tc>
          <w:tcPr>
            <w:tcW w:w="12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w:t>
            </w:r>
          </w:p>
        </w:tc>
        <w:tc>
          <w:tcPr>
            <w:tcW w:w="132"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w:t>
            </w:r>
          </w:p>
        </w:tc>
        <w:tc>
          <w:tcPr>
            <w:tcW w:w="132"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R&amp;D grant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c>
          <w:tcPr>
            <w:tcW w:w="12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c>
          <w:tcPr>
            <w:tcW w:w="132"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lef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segment expenses, net*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7,091</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10,552</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5,836</w:t>
            </w:r>
          </w:p>
        </w:tc>
        <w:tc>
          <w:tcPr>
            <w:tcW w:w="132"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4,692</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taxes on income</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26,001</w:t>
            </w:r>
          </w:p>
        </w:tc>
        <w:tc>
          <w:tcPr>
            <w:tcW w:w="12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(3,071)</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4,860</w:t>
            </w:r>
          </w:p>
        </w:tc>
        <w:tc>
          <w:tcPr>
            <w:tcW w:w="132"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on income</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3,907</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1,083</w:t>
            </w:r>
          </w:p>
        </w:tc>
        <w:tc>
          <w:tcPr>
            <w:tcW w:w="132"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net income (loss)</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22,094</w:t>
            </w:r>
          </w:p>
        </w:tc>
        <w:tc>
          <w:tcPr>
            <w:tcW w:w="120"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(3,455)</w:t>
            </w:r>
          </w:p>
        </w:tc>
        <w:tc>
          <w:tcPr>
            <w:tcW w:w="109"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3,777</w:t>
            </w:r>
          </w:p>
        </w:tc>
        <w:tc>
          <w:tcPr>
            <w:tcW w:w="132"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164</w:t>
            </w:r>
          </w:p>
        </w:tc>
      </w:tr>
    </w:tbl>
    <w:p>
      <w:pPr>
        <w:pStyle w:val="TextBody"/>
        <w:bidi w:val="0"/>
        <w:spacing w:before="0" w:after="240"/>
        <w:ind w:left="7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PROTALIX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990" w:right="0" w:hanging="0"/>
        <w:jc w:val="left"/>
        <w:rPr>
          <w:rFonts w:ascii="Times New Roman;Times;serif" w:hAnsi="Times New Roman;Times;serif"/>
          <w:sz w:val="20"/>
        </w:rPr>
      </w:pPr>
      <w:bookmarkStart w:id="647" w:name="Tc_JKMJKg3ywUy2HKEFbHPm2Q_9_10"/>
      <w:bookmarkStart w:id="648" w:name="Tc_lwNDyIEgqkiaIXHF1NUg5w_9_7"/>
      <w:bookmarkStart w:id="649" w:name="Tc__pjkzqK1Hkq_XuBm4460zA_9_4"/>
      <w:bookmarkStart w:id="650" w:name="Tc_vOlT_yatVEKBMHQeCZZHtw_9_1"/>
      <w:bookmarkStart w:id="651" w:name="Tc_TuRUp1H0PUG9wXKVOfkE3w_9_0"/>
      <w:bookmarkStart w:id="652" w:name="Tc_TUKRVu6N7EuR14KQzhCyPQ_8_10"/>
      <w:bookmarkStart w:id="653" w:name="Tc_K1m0u-zmGk-domFi0cW4HQ_8_7"/>
      <w:bookmarkStart w:id="654" w:name="Tc_cro2v6DzEUyTQ-kPbo1ttA_8_4"/>
      <w:bookmarkStart w:id="655" w:name="Tc_MrBamilz0kG7XdvFozAiVg_8_1"/>
      <w:bookmarkStart w:id="656" w:name="Tc_XjZbp7uW00a2E1hckf6pFQ_8_0"/>
      <w:bookmarkStart w:id="657" w:name="Tc_97WquhUSCkSwiO23am-X7w_7_10"/>
      <w:bookmarkStart w:id="658" w:name="Tc_dhxoAb4UPUeHqIH3FSNFOA_7_7"/>
      <w:bookmarkStart w:id="659" w:name="Tc_bmk5eR30uESEn9bvmEcZKA_7_4"/>
      <w:bookmarkStart w:id="660" w:name="Tc_VvxRUVa3fE6OOJrz6arsyA_7_1"/>
      <w:bookmarkStart w:id="661" w:name="Tc_Tx7BR2xlOEuI4GSY6CyIuQ_7_0"/>
      <w:bookmarkStart w:id="662" w:name="Tc_hJzm8Wpg4E6LYNSbFjLmLA_6_0"/>
      <w:bookmarkStart w:id="663" w:name="Tc_XrfqT69DTUyHNEr6giRtow_5_11"/>
      <w:bookmarkStart w:id="664" w:name="Tc_DW5cAbfMDkKvtaudlQUijg_5_10"/>
      <w:bookmarkStart w:id="665" w:name="Tc_PwMhcJWCw0u8vR9QSXMj2g_5_7"/>
      <w:bookmarkStart w:id="666" w:name="Tc_6wVw9bIXLkO77BQjrJZ1QA_5_4"/>
      <w:bookmarkStart w:id="667" w:name="Tc_4DMaGlqI3Ey8rTXy0maOKA_5_1"/>
      <w:bookmarkStart w:id="668" w:name="Tc_4sDYU6SFM0ilups3mbAwIQ_5_0"/>
      <w:bookmarkStart w:id="669" w:name="Tc_d4sdTm6FBk2fUwuYNlDPaQ_4_10"/>
      <w:bookmarkStart w:id="670" w:name="Tc_Y4uTS3PBCEG-XpldWQsz-w_4_7"/>
      <w:bookmarkStart w:id="671" w:name="Tc_2XZIMe5hb0ymkDQC4N0SsA_4_4"/>
      <w:bookmarkStart w:id="672" w:name="Tc_NO6eD9KujEyjiWGyzzxsdA_4_1"/>
      <w:bookmarkStart w:id="673" w:name="Tc_KQ0tPFB03ECMKxlkQbFoYg_4_0"/>
      <w:bookmarkStart w:id="674" w:name="Tc_SHEZvvSOo0m-DE0VbbJitA_3_0"/>
      <w:bookmarkStart w:id="675" w:name="Tc_jMGcprJioUupHPiESzrosQ_2_10"/>
      <w:bookmarkStart w:id="676" w:name="Tc_3kFCIC7vCEKMcrKOtjO2Yw_2_7"/>
      <w:bookmarkStart w:id="677" w:name="Tc_Ner4Rm-lxE6qSWnPzKRsSw_2_4"/>
      <w:bookmarkStart w:id="678" w:name="Tc_qzHbtKmMG06r-6_Hn0XA_Q_2_1"/>
      <w:bookmarkStart w:id="679" w:name="Tc_Jc3BD1PVMECvlQVvr--8eg_2_0"/>
      <w:bookmarkStart w:id="680" w:name="Tc_U-seV4xLekmSEPT9IRmFTA_1_7"/>
      <w:bookmarkStart w:id="681" w:name="Tc_yZOqVQLAo0231TEalNAhzw_1_1"/>
      <w:bookmarkStart w:id="682" w:name="_efea1927_263e_4853_975e_490fff50e12e"/>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Pr>
          <w:rFonts w:ascii="Times New Roman;Times;serif" w:hAnsi="Times New Roman;Times;serif"/>
          <w:sz w:val="20"/>
        </w:rPr>
        <w:t>* Other expenses included in net income include raw materials, rent, and utilities, and others.</w:t>
      </w:r>
    </w:p>
    <w:tbl>
      <w:tblPr>
        <w:tblW w:w="6681" w:type="dxa"/>
        <w:jc w:val="left"/>
        <w:tblInd w:w="0" w:type="dxa"/>
        <w:tblLayout w:type="fixed"/>
        <w:tblCellMar>
          <w:top w:w="28" w:type="dxa"/>
          <w:left w:w="28" w:type="dxa"/>
          <w:bottom w:w="28" w:type="dxa"/>
          <w:right w:w="28" w:type="dxa"/>
        </w:tblCellMar>
      </w:tblPr>
      <w:tblGrid>
        <w:gridCol w:w="124"/>
        <w:gridCol w:w="241"/>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disaggregation of revenues:</w:t>
            </w:r>
          </w:p>
        </w:tc>
      </w:tr>
    </w:tbl>
    <w:tbl>
      <w:tblPr>
        <w:tblW w:w="8372" w:type="dxa"/>
        <w:jc w:val="left"/>
        <w:tblInd w:w="0" w:type="dxa"/>
        <w:tblLayout w:type="fixed"/>
        <w:tblCellMar>
          <w:top w:w="0" w:type="dxa"/>
          <w:left w:w="0" w:type="dxa"/>
          <w:bottom w:w="0" w:type="dxa"/>
          <w:right w:w="0" w:type="dxa"/>
        </w:tblCellMar>
      </w:tblPr>
      <w:tblGrid>
        <w:gridCol w:w="3451"/>
        <w:gridCol w:w="237"/>
        <w:gridCol w:w="759"/>
        <w:gridCol w:w="122"/>
        <w:gridCol w:w="237"/>
        <w:gridCol w:w="759"/>
        <w:gridCol w:w="346"/>
        <w:gridCol w:w="258"/>
        <w:gridCol w:w="829"/>
        <w:gridCol w:w="133"/>
        <w:gridCol w:w="258"/>
        <w:gridCol w:w="829"/>
        <w:gridCol w:w="154"/>
      </w:tblGrid>
      <w:tr>
        <w:trPr/>
        <w:tc>
          <w:tcPr>
            <w:tcW w:w="3451"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50495" cy="175260"/>
                      <wp:effectExtent l="0" t="0" r="0" b="0"/>
                      <wp:wrapNone/>
                      <wp:docPr id="95" name="Frame9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81965" cy="175260"/>
                      <wp:effectExtent l="0" t="0" r="0" b="0"/>
                      <wp:wrapNone/>
                      <wp:docPr id="96" name="Frame96"/>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77470" cy="175260"/>
                      <wp:effectExtent l="0" t="0" r="0" b="0"/>
                      <wp:wrapNone/>
                      <wp:docPr id="97" name="Frame97"/>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50495" cy="175260"/>
                      <wp:effectExtent l="0" t="0" r="0" b="0"/>
                      <wp:wrapNone/>
                      <wp:docPr id="98" name="Frame98"/>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81965" cy="175260"/>
                      <wp:effectExtent l="0" t="0" r="0" b="0"/>
                      <wp:wrapNone/>
                      <wp:docPr id="99" name="Frame99"/>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3830" cy="175260"/>
                      <wp:effectExtent l="0" t="0" r="0" b="0"/>
                      <wp:wrapNone/>
                      <wp:docPr id="101" name="Frame10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26415" cy="175260"/>
                      <wp:effectExtent l="0" t="0" r="0" b="0"/>
                      <wp:wrapNone/>
                      <wp:docPr id="102" name="Frame102"/>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84455" cy="175260"/>
                      <wp:effectExtent l="0" t="0" r="0" b="0"/>
                      <wp:wrapNone/>
                      <wp:docPr id="103" name="Frame103"/>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63830" cy="175260"/>
                      <wp:effectExtent l="0" t="0" r="0" b="0"/>
                      <wp:wrapNone/>
                      <wp:docPr id="104" name="Frame10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26415" cy="175260"/>
                      <wp:effectExtent l="0" t="0" r="0" b="0"/>
                      <wp:wrapNone/>
                      <wp:docPr id="105" name="Frame105"/>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97790" cy="175260"/>
                      <wp:effectExtent l="0" t="0" r="0" b="0"/>
                      <wp:wrapNone/>
                      <wp:docPr id="106" name="Frame10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left"/>
              <w:rPr/>
            </w:pPr>
            <w:r>
              <w:rPr/>
              <w:t>​</w:t>
            </w:r>
          </w:p>
        </w:tc>
        <w:tc>
          <w:tcPr>
            <w:tcW w:w="230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54" w:type="dxa"/>
            <w:tcBorders/>
            <w:vAlign w:val="center"/>
          </w:tcPr>
          <w:p>
            <w:pPr>
              <w:pStyle w:val="TableContents"/>
              <w:bidi w:val="0"/>
              <w:spacing w:before="0" w:after="1"/>
              <w:ind w:left="0" w:right="0" w:hanging="0"/>
              <w:jc w:val="left"/>
              <w:rPr/>
            </w:pPr>
            <w:r>
              <w:rPr/>
              <w:t>​</w:t>
            </w:r>
          </w:p>
        </w:tc>
      </w:tr>
      <w:tr>
        <w:trPr/>
        <w:tc>
          <w:tcPr>
            <w:tcW w:w="34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(U.S. dollars in thousands)</w:t>
            </w:r>
          </w:p>
        </w:tc>
        <w:tc>
          <w:tcPr>
            <w:tcW w:w="9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2" w:type="dxa"/>
            <w:tcBorders/>
            <w:vAlign w:val="center"/>
          </w:tcPr>
          <w:p>
            <w:pPr>
              <w:pStyle w:val="TableContents"/>
              <w:bidi w:val="0"/>
              <w:spacing w:before="0" w:after="1"/>
              <w:ind w:left="0" w:right="0" w:hanging="0"/>
              <w:jc w:val="left"/>
              <w:rPr/>
            </w:pPr>
            <w:r>
              <w:rPr/>
              <w:t>​</w:t>
            </w:r>
          </w:p>
        </w:tc>
        <w:tc>
          <w:tcPr>
            <w:tcW w:w="9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3" w:type="dxa"/>
            <w:tcBorders/>
            <w:vAlign w:val="center"/>
          </w:tcPr>
          <w:p>
            <w:pPr>
              <w:pStyle w:val="TableContents"/>
              <w:bidi w:val="0"/>
              <w:spacing w:before="0" w:after="1"/>
              <w:ind w:left="0" w:right="0" w:hanging="0"/>
              <w:jc w:val="left"/>
              <w:rPr/>
            </w:pPr>
            <w:r>
              <w:rPr/>
              <w:t>​</w:t>
            </w:r>
          </w:p>
        </w:tc>
        <w:tc>
          <w:tcPr>
            <w:tcW w:w="10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1"/>
              <w:ind w:left="0" w:right="0" w:hanging="0"/>
              <w:jc w:val="left"/>
              <w:rPr/>
            </w:pPr>
            <w:r>
              <w:rPr/>
              <w:t>​</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Gaucher disease:</w:t>
            </w:r>
          </w:p>
        </w:tc>
        <w:tc>
          <w:tcPr>
            <w:tcW w:w="237" w:type="dxa"/>
            <w:tcBorders/>
            <w:shd w:fill="CCEEFF" w:val="clear"/>
            <w:vAlign w:val="center"/>
          </w:tcPr>
          <w:p>
            <w:pPr>
              <w:pStyle w:val="TableContents"/>
              <w:bidi w:val="0"/>
              <w:spacing w:before="0" w:after="1"/>
              <w:ind w:left="0" w:right="0" w:hanging="0"/>
              <w:jc w:val="left"/>
              <w:rPr/>
            </w:pPr>
            <w:r>
              <w:rPr/>
              <w:t>​</w:t>
            </w:r>
          </w:p>
        </w:tc>
        <w:tc>
          <w:tcPr>
            <w:tcW w:w="759" w:type="dxa"/>
            <w:tcBorders/>
            <w:shd w:fill="CCEEFF" w:val="clear"/>
            <w:vAlign w:val="center"/>
          </w:tcPr>
          <w:p>
            <w:pPr>
              <w:pStyle w:val="TableContents"/>
              <w:bidi w:val="0"/>
              <w:spacing w:before="0" w:after="1"/>
              <w:ind w:left="0" w:right="0" w:hanging="0"/>
              <w:jc w:val="left"/>
              <w:rPr/>
            </w:pPr>
            <w:r>
              <w:rPr/>
              <w:t>​</w:t>
            </w:r>
          </w:p>
        </w:tc>
        <w:tc>
          <w:tcPr>
            <w:tcW w:w="122"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75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left"/>
              <w:rPr/>
            </w:pPr>
            <w:r>
              <w:rPr/>
              <w:t>​</w:t>
            </w:r>
          </w:p>
        </w:tc>
        <w:tc>
          <w:tcPr>
            <w:tcW w:w="133"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Pfizer (Ireland)</w:t>
            </w:r>
          </w:p>
        </w:tc>
        <w:tc>
          <w:tcPr>
            <w:tcW w:w="2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5,731</w:t>
            </w:r>
          </w:p>
        </w:tc>
        <w:tc>
          <w:tcPr>
            <w:tcW w:w="122"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12,626</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4,279</w:t>
            </w:r>
          </w:p>
        </w:tc>
        <w:tc>
          <w:tcPr>
            <w:tcW w:w="133"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5,647</w:t>
            </w:r>
          </w:p>
        </w:tc>
        <w:tc>
          <w:tcPr>
            <w:tcW w:w="154" w:type="dxa"/>
            <w:tcBorders/>
            <w:vAlign w:val="center"/>
          </w:tcPr>
          <w:p>
            <w:pPr>
              <w:pStyle w:val="TableContents"/>
              <w:bidi w:val="0"/>
              <w:spacing w:before="0" w:after="1"/>
              <w:ind w:left="0" w:right="0" w:hanging="0"/>
              <w:jc w:val="left"/>
              <w:rPr/>
            </w:pPr>
            <w:r>
              <w:rPr/>
              <w:t>​</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Fiocruz (Brazil)</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3,968</w:t>
            </w:r>
          </w:p>
        </w:tc>
        <w:tc>
          <w:tcPr>
            <w:tcW w:w="122"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3,016</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w:t>
            </w:r>
          </w:p>
        </w:tc>
        <w:tc>
          <w:tcPr>
            <w:tcW w:w="133"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1"/>
              <w:ind w:left="0" w:right="0" w:hanging="0"/>
              <w:jc w:val="right"/>
              <w:rPr>
                <w:rFonts w:ascii="Helvetica;sans-serif" w:hAnsi="Helvetica;sans-serif"/>
                <w:sz w:val="22"/>
              </w:rPr>
            </w:pPr>
            <w:r>
              <w:rPr>
                <w:rFonts w:ascii="Helvetica;sans-serif" w:hAnsi="Helvetica;sans-serif"/>
                <w:sz w:val="22"/>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Fabry disease:</w:t>
            </w:r>
          </w:p>
        </w:tc>
        <w:tc>
          <w:tcPr>
            <w:tcW w:w="237" w:type="dxa"/>
            <w:tcBorders/>
            <w:vAlign w:val="center"/>
          </w:tcPr>
          <w:p>
            <w:pPr>
              <w:pStyle w:val="TableContents"/>
              <w:bidi w:val="0"/>
              <w:spacing w:before="0" w:after="1"/>
              <w:ind w:left="0" w:right="0" w:hanging="0"/>
              <w:jc w:val="left"/>
              <w:rPr/>
            </w:pPr>
            <w:r>
              <w:rPr/>
              <w:t>​</w:t>
            </w:r>
          </w:p>
        </w:tc>
        <w:tc>
          <w:tcPr>
            <w:tcW w:w="759" w:type="dxa"/>
            <w:tcBorders/>
            <w:vAlign w:val="center"/>
          </w:tcPr>
          <w:p>
            <w:pPr>
              <w:pStyle w:val="TableContents"/>
              <w:bidi w:val="0"/>
              <w:spacing w:before="0" w:after="1"/>
              <w:ind w:left="0" w:right="0" w:hanging="0"/>
              <w:jc w:val="right"/>
              <w:rPr/>
            </w:pPr>
            <w:r>
              <w:rPr/>
              <w:t>​</w:t>
            </w:r>
          </w:p>
        </w:tc>
        <w:tc>
          <w:tcPr>
            <w:tcW w:w="122"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7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pPr>
            <w:r>
              <w:rPr/>
              <w:t>​</w:t>
            </w:r>
          </w:p>
        </w:tc>
        <w:tc>
          <w:tcPr>
            <w:tcW w:w="133"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Chiesi (Italy)</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17,548</w:t>
            </w:r>
          </w:p>
        </w:tc>
        <w:tc>
          <w:tcPr>
            <w:tcW w:w="122"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9,793</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14,035</w:t>
            </w:r>
          </w:p>
        </w:tc>
        <w:tc>
          <w:tcPr>
            <w:tcW w:w="133"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from selling goods</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27,247</w:t>
            </w:r>
          </w:p>
        </w:tc>
        <w:tc>
          <w:tcPr>
            <w:tcW w:w="122"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25,435</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19,828</w:t>
            </w:r>
          </w:p>
        </w:tc>
        <w:tc>
          <w:tcPr>
            <w:tcW w:w="133"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15,440</w:t>
            </w:r>
          </w:p>
        </w:tc>
        <w:tc>
          <w:tcPr>
            <w:tcW w:w="154" w:type="dxa"/>
            <w:tcBorders/>
            <w:vAlign w:val="center"/>
          </w:tcPr>
          <w:p>
            <w:pPr>
              <w:pStyle w:val="TableContents"/>
              <w:bidi w:val="0"/>
              <w:spacing w:before="0" w:after="1"/>
              <w:ind w:left="0" w:right="0" w:hanging="0"/>
              <w:jc w:val="left"/>
              <w:rPr/>
            </w:pPr>
            <w:r>
              <w:rPr/>
              <w:t>​</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 from license and R&amp;D services</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26,399</w:t>
            </w:r>
          </w:p>
        </w:tc>
        <w:tc>
          <w:tcPr>
            <w:tcW w:w="122"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133"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1080" w:right="0" w:hanging="0"/>
        <w:jc w:val="left"/>
        <w:rPr/>
      </w:pPr>
      <w:r>
        <w:rPr/>
        <w:t>​</w:t>
      </w:r>
    </w:p>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lived assets are located in Israel.</w:t>
            </w:r>
          </w:p>
        </w:tc>
      </w:tr>
    </w:tbl>
    <w:p>
      <w:pPr>
        <w:pStyle w:val="TextBody"/>
        <w:bidi w:val="0"/>
        <w:spacing w:before="0" w:after="200"/>
        <w:ind w:left="0" w:right="0" w:hanging="0"/>
        <w:jc w:val="left"/>
        <w:rPr>
          <w:rFonts w:ascii="Times New Roman;Times;serif" w:hAnsi="Times New Roman;Times;serif"/>
          <w:b/>
          <w:sz w:val="20"/>
        </w:rPr>
      </w:pPr>
      <w:bookmarkStart w:id="683" w:name="Tc_AEYHkKABV0CoMEJjLejVJw_9_11"/>
      <w:bookmarkStart w:id="684" w:name="Tc_ad3-J0YmfEqmEGwG60ZIyg_9_8"/>
      <w:bookmarkStart w:id="685" w:name="Tc_RB3TxpikGUSi2BLzr3HQqg_9_5"/>
      <w:bookmarkStart w:id="686" w:name="Tc_diLQ8AtVKUGeOgJb20Xn8Q_9_2"/>
      <w:bookmarkStart w:id="687" w:name="Tc_SakfURCoLkuOOXD0L6SoRw_8_12"/>
      <w:bookmarkStart w:id="688" w:name="Tc_0Xo6jP9X0U-UumuXqps2Zw_8_6"/>
      <w:bookmarkStart w:id="689" w:name="Tc_V7L4Z9hQ_kqON_lxAfwL7w_8_0"/>
      <w:bookmarkStart w:id="690" w:name="Tc_fIAUpLxLdUO__yjRUWOw4w_7_0"/>
      <w:bookmarkStart w:id="691" w:name="Tc_Z1GOO8df7k-kT9QLRGXtAQ_6_0"/>
      <w:bookmarkStart w:id="692" w:name="Tc_QZzMB0zhtkud0ebFTtP68Q_5_0"/>
      <w:bookmarkStart w:id="693" w:name="Tc_N4SJW62XWkqy1osfidegCg_4_0"/>
      <w:bookmarkStart w:id="694" w:name="Tc_NKJFkT-g_kee4810O2hg6w_3_11"/>
      <w:bookmarkStart w:id="695" w:name="Tc_jRcUdPzNvEmmX1PHzWRKXg_3_8"/>
      <w:bookmarkStart w:id="696" w:name="Tc__oxyYxP7bkCP6A7AbqoLKA_3_5"/>
      <w:bookmarkStart w:id="697" w:name="Tc_ANpMXa85IkCB3rqkGSX8rA_3_2"/>
      <w:bookmarkStart w:id="698" w:name="Tc_yiN3M1zROkqAwww1qjnhOg_3_0"/>
      <w:bookmarkStart w:id="699" w:name="Tc_PSSxu2uGBEyCEpuZCkn7iw_2_11"/>
      <w:bookmarkStart w:id="700" w:name="Tc_dJfNi7AemEqNtS7A-Z6m-Q_2_8"/>
      <w:bookmarkStart w:id="701" w:name="Tc_ITzBoqnZrEm-AgrPlBSLlA_2_5"/>
      <w:bookmarkStart w:id="702" w:name="Tc_Oq5ofMPmb0u7y0VVJgeAdg_2_2"/>
      <w:bookmarkStart w:id="703" w:name="Tc_0uIk2jLUt0C1bn69O2bXVQ_2_0"/>
      <w:bookmarkStart w:id="704" w:name="Tc_5zalZeAWtU6BvGvNwnP_6g_1_8"/>
      <w:bookmarkStart w:id="705" w:name="Tc_7ia4SHg6BEaCrPXmpM5ieA_1_2"/>
      <w:bookmarkStart w:id="706" w:name="Tc_CljCfQFZjkieUvSaPjbdkQ_1_0"/>
      <w:bookmarkStart w:id="707" w:name="Tc_OvQO0pOJKU-aAQtVL0afLQ_11_5"/>
      <w:bookmarkStart w:id="708" w:name="Tc_gKztc3an60Ok0-TzIbBNwQ_11_2"/>
      <w:bookmarkStart w:id="709" w:name="Tc_8MUkXy-LEk-cfXALmFoCng_10_0"/>
      <w:bookmarkStart w:id="710" w:name="Tc_znW3q-1x60aL6v_QfBgqFA_9_0"/>
      <w:bookmarkStart w:id="711" w:name="Tc_PQJ-nosVMU24TccqhIDjlQ_8_0"/>
      <w:bookmarkStart w:id="712" w:name="Tc_gdQ6KjQJuE6y1HMAx5bIIg_7_0"/>
      <w:bookmarkStart w:id="713" w:name="Tc_ZMc-Bu8GmUOdzCBfbSY9TQ_6_0"/>
      <w:bookmarkStart w:id="714" w:name="Tc_hekZZUyiLEG67bGs79oZGg_5_0"/>
      <w:bookmarkStart w:id="715" w:name="Tc_Lu_KNcjicUSQLg8g5CaD8w_4_5"/>
      <w:bookmarkStart w:id="716" w:name="Tc_UbGlCd6tEk2zj-CwFqW7bw_4_2"/>
      <w:bookmarkStart w:id="717" w:name="Tc_Wez34qXGeEKD4AkTmO86Xw_4_0"/>
      <w:bookmarkStart w:id="718" w:name="Tc_awQspkWkxUK6vEapE0uRIQ_3_0"/>
      <w:bookmarkStart w:id="719" w:name="Tc_0m2E37S5_Uu_Xeq9oWvRHg_2_5"/>
      <w:bookmarkStart w:id="720" w:name="Tc_qHUFTqXBSkujKArJhFLVuw_2_2"/>
      <w:bookmarkStart w:id="721" w:name="Tc_r0fuHr0vqUq4SRwvquEBDg_2_0"/>
      <w:bookmarkStart w:id="722" w:name="Tc_LDrsgFmvJ0-22gApgsSWew_1_5"/>
      <w:bookmarkStart w:id="723" w:name="Tc_txmb--akRUa4IXMBBPKMvA_1_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r>
        <w:rPr>
          <w:rFonts w:ascii="Times New Roman;Times;serif" w:hAnsi="Times New Roman;Times;serif"/>
          <w:b/>
          <w:sz w:val="20"/>
        </w:rPr>
        <w:t xml:space="preserve">NOTE 9 – </w:t>
      </w:r>
      <w:r>
        <w:rPr>
          <w:rFonts w:ascii="Times New Roman;Times;serif" w:hAnsi="Times New Roman;Times;serif"/>
          <w:b/>
          <w:sz w:val="20"/>
          <w:shd w:fill="FFFFFF" w:val="clear"/>
        </w:rPr>
        <w:t>SUPPLEMENTARY FINANCIAL STATEMENT INFORMATION</w:t>
      </w:r>
    </w:p>
    <w:tbl>
      <w:tblPr>
        <w:tblW w:w="1821" w:type="dxa"/>
        <w:jc w:val="left"/>
        <w:tblInd w:w="0" w:type="dxa"/>
        <w:tblLayout w:type="fixed"/>
        <w:tblCellMar>
          <w:top w:w="0" w:type="dxa"/>
          <w:left w:w="0" w:type="dxa"/>
          <w:bottom w:w="0" w:type="dxa"/>
          <w:right w:w="0" w:type="dxa"/>
        </w:tblCellMar>
      </w:tblPr>
      <w:tblGrid>
        <w:gridCol w:w="124"/>
        <w:gridCol w:w="256"/>
        <w:gridCol w:w="1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w:t>
            </w:r>
          </w:p>
        </w:tc>
        <w:tc>
          <w:tcPr>
            <w:tcW w:w="144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Balance sheets:</w:t>
            </w:r>
          </w:p>
        </w:tc>
      </w:tr>
    </w:tbl>
    <w:p>
      <w:pPr>
        <w:pStyle w:val="TextBody"/>
        <w:bidi w:val="0"/>
        <w:spacing w:before="0" w:after="0"/>
        <w:ind w:left="0" w:right="0" w:hanging="0"/>
        <w:jc w:val="left"/>
        <w:rPr/>
      </w:pPr>
      <w:r>
        <w:rPr/>
        <w:t>​</w:t>
      </w:r>
    </w:p>
    <w:tbl>
      <w:tblPr>
        <w:tblW w:w="6200" w:type="dxa"/>
        <w:jc w:val="left"/>
        <w:tblInd w:w="0" w:type="dxa"/>
        <w:tblLayout w:type="fixed"/>
        <w:tblCellMar>
          <w:top w:w="0" w:type="dxa"/>
          <w:left w:w="0" w:type="dxa"/>
          <w:bottom w:w="0" w:type="dxa"/>
          <w:right w:w="0" w:type="dxa"/>
        </w:tblCellMar>
      </w:tblPr>
      <w:tblGrid>
        <w:gridCol w:w="3436"/>
        <w:gridCol w:w="346"/>
        <w:gridCol w:w="211"/>
        <w:gridCol w:w="676"/>
        <w:gridCol w:w="346"/>
        <w:gridCol w:w="252"/>
        <w:gridCol w:w="933"/>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81860" cy="175260"/>
                      <wp:effectExtent l="0" t="0" r="0" b="0"/>
                      <wp:wrapNone/>
                      <wp:docPr id="107" name="Frame107"/>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29260" cy="175260"/>
                      <wp:effectExtent l="0" t="0" r="0" b="0"/>
                      <wp:wrapNone/>
                      <wp:docPr id="110" name="Frame1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60020" cy="175260"/>
                      <wp:effectExtent l="0" t="0" r="0" b="0"/>
                      <wp:wrapNone/>
                      <wp:docPr id="112" name="Frame11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92455" cy="175260"/>
                      <wp:effectExtent l="0" t="0" r="0" b="0"/>
                      <wp:wrapNone/>
                      <wp:docPr id="113" name="Frame113"/>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(U.S. dollars in thousands)</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Accounts payable and accruals –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and related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vacation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9,959</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9,790</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Royalties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4,215</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 to customer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suppliers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r>
      <w:tr>
        <w:trPr/>
        <w:tc>
          <w:tcPr>
            <w:tcW w:w="3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23,219</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19,875</w:t>
            </w:r>
          </w:p>
        </w:tc>
      </w:tr>
    </w:tbl>
    <w:p>
      <w:pPr>
        <w:pStyle w:val="TextBody"/>
        <w:bidi w:val="0"/>
        <w:spacing w:before="0" w:after="0"/>
        <w:ind w:left="0" w:right="0" w:hanging="0"/>
        <w:jc w:val="left"/>
        <w:rPr/>
      </w:pPr>
      <w:r>
        <w:rPr/>
        <w:t>​</w:t>
      </w:r>
    </w:p>
    <w:tbl>
      <w:tblPr>
        <w:tblW w:w="2706" w:type="dxa"/>
        <w:jc w:val="left"/>
        <w:tblInd w:w="0" w:type="dxa"/>
        <w:tblLayout w:type="fixed"/>
        <w:tblCellMar>
          <w:top w:w="0" w:type="dxa"/>
          <w:left w:w="0" w:type="dxa"/>
          <w:bottom w:w="0" w:type="dxa"/>
          <w:right w:w="0" w:type="dxa"/>
        </w:tblCellMar>
      </w:tblPr>
      <w:tblGrid>
        <w:gridCol w:w="124"/>
        <w:gridCol w:w="256"/>
        <w:gridCol w:w="2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b.</w:t>
            </w:r>
          </w:p>
        </w:tc>
        <w:tc>
          <w:tcPr>
            <w:tcW w:w="232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Statements of Operations:</w:t>
            </w:r>
          </w:p>
        </w:tc>
      </w:tr>
    </w:tbl>
    <w:p>
      <w:pPr>
        <w:pStyle w:val="TextBody"/>
        <w:bidi w:val="0"/>
        <w:spacing w:before="0" w:after="0"/>
        <w:ind w:left="0" w:right="0" w:hanging="0"/>
        <w:jc w:val="left"/>
        <w:rPr/>
      </w:pPr>
      <w:r>
        <w:rPr/>
        <w:t>​</w:t>
      </w:r>
    </w:p>
    <w:tbl>
      <w:tblPr>
        <w:tblW w:w="8473" w:type="dxa"/>
        <w:jc w:val="left"/>
        <w:tblInd w:w="0" w:type="dxa"/>
        <w:tblLayout w:type="fixed"/>
        <w:tblCellMar>
          <w:top w:w="0" w:type="dxa"/>
          <w:left w:w="0" w:type="dxa"/>
          <w:bottom w:w="0" w:type="dxa"/>
          <w:right w:w="0" w:type="dxa"/>
        </w:tblCellMar>
      </w:tblPr>
      <w:tblGrid>
        <w:gridCol w:w="3316"/>
        <w:gridCol w:w="346"/>
        <w:gridCol w:w="219"/>
        <w:gridCol w:w="720"/>
        <w:gridCol w:w="360"/>
        <w:gridCol w:w="219"/>
        <w:gridCol w:w="595"/>
        <w:gridCol w:w="346"/>
        <w:gridCol w:w="232"/>
        <w:gridCol w:w="762"/>
        <w:gridCol w:w="381"/>
        <w:gridCol w:w="232"/>
        <w:gridCol w:w="745"/>
      </w:tblGrid>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9065" cy="175260"/>
                      <wp:effectExtent l="0" t="0" r="0" b="0"/>
                      <wp:wrapNone/>
                      <wp:docPr id="115" name="Frame115"/>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57200" cy="175260"/>
                      <wp:effectExtent l="0" t="0" r="0" b="0"/>
                      <wp:wrapNone/>
                      <wp:docPr id="116" name="Frame1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28600" cy="175260"/>
                      <wp:effectExtent l="0" t="0" r="0" b="0"/>
                      <wp:wrapNone/>
                      <wp:docPr id="117" name="Frame1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9065" cy="175260"/>
                      <wp:effectExtent l="0" t="0" r="0" b="0"/>
                      <wp:wrapNone/>
                      <wp:docPr id="118" name="Frame118"/>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77825" cy="175260"/>
                      <wp:effectExtent l="0" t="0" r="0" b="0"/>
                      <wp:wrapNone/>
                      <wp:docPr id="119" name="Frame119"/>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7320" cy="175260"/>
                      <wp:effectExtent l="0" t="0" r="0" b="0"/>
                      <wp:wrapNone/>
                      <wp:docPr id="121" name="Frame121"/>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83870" cy="175260"/>
                      <wp:effectExtent l="0" t="0" r="0" b="0"/>
                      <wp:wrapNone/>
                      <wp:docPr id="122" name="Frame122"/>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41935" cy="175260"/>
                      <wp:effectExtent l="0" t="0" r="0" b="0"/>
                      <wp:wrapNone/>
                      <wp:docPr id="123" name="Frame123"/>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7320" cy="175260"/>
                      <wp:effectExtent l="0" t="0" r="0" b="0"/>
                      <wp:wrapNone/>
                      <wp:docPr id="124" name="Frame12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73075" cy="175260"/>
                      <wp:effectExtent l="0" t="0" r="0" b="0"/>
                      <wp:wrapNone/>
                      <wp:docPr id="125" name="Frame125"/>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(U.S. dollars in thousands)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left"/>
              <w:rPr/>
            </w:pPr>
            <w:r>
              <w:rPr/>
              <w:t>  ​ ​ ​</w:t>
            </w:r>
          </w:p>
        </w:tc>
        <w:tc>
          <w:tcPr>
            <w:tcW w:w="235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Research and development expenses:</w:t>
            </w:r>
          </w:p>
        </w:tc>
        <w:tc>
          <w:tcPr>
            <w:tcW w:w="346" w:type="dxa"/>
            <w:tcBorders/>
            <w:shd w:fill="CCEEFF" w:val="clear"/>
            <w:vAlign w:val="center"/>
          </w:tcPr>
          <w:p>
            <w:pPr>
              <w:pStyle w:val="TableContents"/>
              <w:bidi w:val="0"/>
              <w:spacing w:before="0" w:after="1"/>
              <w:ind w:left="0" w:right="0" w:hanging="0"/>
              <w:jc w:val="left"/>
              <w:rPr/>
            </w:pPr>
            <w:r>
              <w:rPr/>
              <w:t>  ​ ​ ​</w:t>
            </w:r>
          </w:p>
        </w:tc>
        <w:tc>
          <w:tcPr>
            <w:tcW w:w="939"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0" w:type="dxa"/>
            <w:tcBorders/>
            <w:shd w:fill="CCEEFF" w:val="clear"/>
            <w:vAlign w:val="center"/>
          </w:tcPr>
          <w:p>
            <w:pPr>
              <w:pStyle w:val="TableContents"/>
              <w:bidi w:val="0"/>
              <w:spacing w:before="0" w:after="1"/>
              <w:ind w:left="0" w:right="0" w:hanging="0"/>
              <w:jc w:val="left"/>
              <w:rPr>
                <w:color w:val="009999"/>
              </w:rPr>
            </w:pPr>
            <w:r>
              <w:rPr>
                <w:color w:val="009999"/>
              </w:rPr>
              <w:t>  ​ ​ ​</w:t>
            </w:r>
          </w:p>
        </w:tc>
        <w:tc>
          <w:tcPr>
            <w:tcW w:w="814"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shd w:fill="CCEEFF" w:val="clear"/>
            <w:vAlign w:val="center"/>
          </w:tcPr>
          <w:p>
            <w:pPr>
              <w:pStyle w:val="TableContents"/>
              <w:bidi w:val="0"/>
              <w:spacing w:before="0" w:after="1"/>
              <w:ind w:left="0" w:right="0" w:hanging="0"/>
              <w:jc w:val="left"/>
              <w:rPr/>
            </w:pPr>
            <w:r>
              <w:rPr/>
              <w:t> </w:t>
            </w:r>
          </w:p>
        </w:tc>
        <w:tc>
          <w:tcPr>
            <w:tcW w:w="994"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1" w:type="dxa"/>
            <w:tcBorders/>
            <w:shd w:fill="CCEEFF" w:val="clear"/>
            <w:vAlign w:val="center"/>
          </w:tcPr>
          <w:p>
            <w:pPr>
              <w:pStyle w:val="TableContents"/>
              <w:bidi w:val="0"/>
              <w:spacing w:before="0" w:after="1"/>
              <w:ind w:left="0" w:right="0" w:hanging="0"/>
              <w:jc w:val="left"/>
              <w:rPr>
                <w:color w:val="009999"/>
              </w:rPr>
            </w:pPr>
            <w:r>
              <w:rPr>
                <w:color w:val="009999"/>
              </w:rPr>
              <w:t>  ​ ​ ​</w:t>
            </w:r>
          </w:p>
        </w:tc>
        <w:tc>
          <w:tcPr>
            <w:tcW w:w="977"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salaries and related expenses</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5,823</w:t>
            </w:r>
          </w:p>
        </w:tc>
        <w:tc>
          <w:tcPr>
            <w:tcW w:w="360"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3,940</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3,061</w:t>
            </w:r>
          </w:p>
        </w:tc>
        <w:tc>
          <w:tcPr>
            <w:tcW w:w="381"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2,046</w:t>
            </w:r>
          </w:p>
        </w:tc>
      </w:tr>
      <w:tr>
        <w:trPr/>
        <w:tc>
          <w:tcPr>
            <w:tcW w:w="331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Subcontractor-related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7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3,575</w:t>
            </w:r>
          </w:p>
        </w:tc>
        <w:tc>
          <w:tcPr>
            <w:tcW w:w="360"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3,812</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2,140</w:t>
            </w:r>
          </w:p>
        </w:tc>
        <w:tc>
          <w:tcPr>
            <w:tcW w:w="381"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3,007</w:t>
            </w:r>
          </w:p>
        </w:tc>
      </w:tr>
      <w:tr>
        <w:trPr/>
        <w:tc>
          <w:tcPr>
            <w:tcW w:w="3316" w:type="dxa"/>
            <w:tcBorders>
              <w:left w:val="single" w:sz="2" w:space="0" w:color="000000"/>
            </w:tcBorders>
            <w:tcMar>
              <w:lef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Materials-related expenses</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7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w:t>
            </w:r>
          </w:p>
        </w:tc>
        <w:tc>
          <w:tcPr>
            <w:tcW w:w="360"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81"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7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7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60"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81"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3316" w:type="dxa"/>
            <w:tcBorders>
              <w:left w:val="single" w:sz="2" w:space="0" w:color="000000"/>
            </w:tcBorders>
            <w:tcMar>
              <w:lef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center"/>
              <w:rPr/>
            </w:pPr>
            <w:r>
              <w:rPr/>
              <w:t>​</w:t>
            </w:r>
          </w:p>
        </w:tc>
        <w:tc>
          <w:tcPr>
            <w:tcW w:w="7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w:t>
            </w:r>
          </w:p>
        </w:tc>
        <w:tc>
          <w:tcPr>
            <w:tcW w:w="360" w:type="dxa"/>
            <w:tcBorders/>
            <w:vAlign w:val="center"/>
          </w:tcPr>
          <w:p>
            <w:pPr>
              <w:pStyle w:val="TableContents"/>
              <w:bidi w:val="0"/>
              <w:spacing w:before="0" w:after="1"/>
              <w:ind w:left="0" w:right="0" w:hanging="0"/>
              <w:jc w:val="left"/>
              <w:rPr>
                <w:color w:val="009999"/>
              </w:rPr>
            </w:pPr>
            <w:r>
              <w:rPr>
                <w:color w:val="009999"/>
              </w:rPr>
              <w:t>​</w:t>
            </w:r>
          </w:p>
        </w:tc>
        <w:tc>
          <w:tcPr>
            <w:tcW w:w="219" w:type="dxa"/>
            <w:tcBorders/>
            <w:vAlign w:val="center"/>
          </w:tcPr>
          <w:p>
            <w:pPr>
              <w:pStyle w:val="TableContents"/>
              <w:bidi w:val="0"/>
              <w:spacing w:before="0" w:after="1"/>
              <w:ind w:left="0" w:right="0" w:hanging="0"/>
              <w:jc w:val="center"/>
              <w:rPr/>
            </w:pPr>
            <w:r>
              <w:rPr/>
              <w:t>​</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center"/>
              <w:rPr/>
            </w:pPr>
            <w:r>
              <w:rPr/>
              <w:t>​</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w:t>
            </w:r>
          </w:p>
        </w:tc>
        <w:tc>
          <w:tcPr>
            <w:tcW w:w="381" w:type="dxa"/>
            <w:tcBorders/>
            <w:vAlign w:val="center"/>
          </w:tcPr>
          <w:p>
            <w:pPr>
              <w:pStyle w:val="TableContents"/>
              <w:bidi w:val="0"/>
              <w:spacing w:before="0" w:after="1"/>
              <w:ind w:left="0" w:right="0" w:hanging="0"/>
              <w:jc w:val="left"/>
              <w:rPr>
                <w:color w:val="009999"/>
              </w:rPr>
            </w:pPr>
            <w:r>
              <w:rPr>
                <w:color w:val="009999"/>
              </w:rPr>
              <w:t>​</w:t>
            </w:r>
          </w:p>
        </w:tc>
        <w:tc>
          <w:tcPr>
            <w:tcW w:w="232" w:type="dxa"/>
            <w:tcBorders/>
            <w:vAlign w:val="center"/>
          </w:tcPr>
          <w:p>
            <w:pPr>
              <w:pStyle w:val="TableContents"/>
              <w:bidi w:val="0"/>
              <w:spacing w:before="0" w:after="1"/>
              <w:ind w:left="0" w:right="0" w:hanging="0"/>
              <w:jc w:val="center"/>
              <w:rPr/>
            </w:pPr>
            <w:r>
              <w:rPr/>
              <w:t>​</w:t>
            </w:r>
          </w:p>
        </w:tc>
        <w:tc>
          <w:tcPr>
            <w:tcW w:w="7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w:t>
            </w:r>
          </w:p>
        </w:tc>
      </w:tr>
      <w:tr>
        <w:trPr/>
        <w:tc>
          <w:tcPr>
            <w:tcW w:w="331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 R&amp;D grant</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c>
          <w:tcPr>
            <w:tcW w:w="360" w:type="dxa"/>
            <w:tcBorders/>
            <w:shd w:fill="CCEEFF" w:val="clear"/>
            <w:vAlign w:val="center"/>
          </w:tcPr>
          <w:p>
            <w:pPr>
              <w:pStyle w:val="TableContents"/>
              <w:bidi w:val="0"/>
              <w:spacing w:before="0" w:after="1"/>
              <w:ind w:left="0" w:right="0" w:hanging="0"/>
              <w:jc w:val="left"/>
              <w:rPr>
                <w:color w:val="009999"/>
              </w:rPr>
            </w:pPr>
            <w:r>
              <w:rPr>
                <w:color w:val="009999"/>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c>
          <w:tcPr>
            <w:tcW w:w="381" w:type="dxa"/>
            <w:tcBorders/>
            <w:shd w:fill="CCEEFF" w:val="clear"/>
            <w:vAlign w:val="center"/>
          </w:tcPr>
          <w:p>
            <w:pPr>
              <w:pStyle w:val="TableContents"/>
              <w:bidi w:val="0"/>
              <w:spacing w:before="0" w:after="1"/>
              <w:ind w:left="0" w:right="0" w:hanging="0"/>
              <w:jc w:val="left"/>
              <w:rPr>
                <w:color w:val="009999"/>
              </w:rPr>
            </w:pPr>
            <w:r>
              <w:rPr>
                <w:color w:val="009999"/>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9,777</w:t>
            </w:r>
          </w:p>
        </w:tc>
        <w:tc>
          <w:tcPr>
            <w:tcW w:w="360"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9,467</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4,351</w:t>
            </w:r>
          </w:p>
        </w:tc>
        <w:tc>
          <w:tcPr>
            <w:tcW w:w="381"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5,992</w:t>
            </w:r>
          </w:p>
        </w:tc>
      </w:tr>
    </w:tbl>
    <w:p>
      <w:pPr>
        <w:pStyle w:val="TextBody"/>
        <w:pBdr/>
        <w:bidi w:val="0"/>
        <w:spacing w:before="0" w:after="240"/>
        <w:ind w:left="720" w:right="0" w:hanging="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10 – SUBSEQUENT EVENTS</w:t>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Since the end of the quarter ended June 30, 2026, the Company collected approximately $14.9 million from sales to Chiesi and approximately $1.5 million from sales to Pfizer.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724" w:name="Item2ManagementsDiscussionandAnalysisofF"/>
      <w:bookmarkStart w:id="725" w:name="_6b13c546_2254_4d63_ae34_04dfdd37b868"/>
      <w:bookmarkEnd w:id="724"/>
      <w:bookmarkEnd w:id="725"/>
      <w:r>
        <w:rPr>
          <w:rFonts w:ascii="Times New Roman;Times;serif" w:hAnsi="Times New Roman;Times;serif"/>
          <w:b/>
          <w:sz w:val="20"/>
        </w:rPr>
        <w:t>Item 2. Management’s Discussion and Analysis of Financial Condition and Results of Operations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CAUTIONARY STATEMENT REGARDING FORWARD-LOOKING STATEMENTS</w:t>
        <w:br/>
        <w:t>AND RISK FACTORS SUMMARY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You should read the following discussion and analysis of our financial condition and results of operations together with our financial statements and the consolidated financial statements and the related notes included elsewhere in this Form</w:t>
      </w:r>
      <w:r>
        <w:rPr>
          <w:rFonts w:ascii="Times New Roman;Times;serif" w:hAnsi="Times New Roman;Times;serif"/>
          <w:sz w:val="20"/>
        </w:rPr>
        <w:t> </w:t>
      </w:r>
      <w:r>
        <w:rPr>
          <w:rFonts w:ascii="Times New Roman;Times;serif" w:hAnsi="Times New Roman;Times;serif"/>
          <w:i/>
          <w:sz w:val="20"/>
        </w:rPr>
        <w:t>10-Q and in our Annual Report on Form</w:t>
      </w:r>
      <w:r>
        <w:rPr>
          <w:rFonts w:ascii="Times New Roman;Times;serif" w:hAnsi="Times New Roman;Times;serif"/>
          <w:sz w:val="20"/>
        </w:rPr>
        <w:t> </w:t>
      </w:r>
      <w:r>
        <w:rPr>
          <w:rFonts w:ascii="Times New Roman;Times;serif" w:hAnsi="Times New Roman;Times;serif"/>
          <w:i/>
          <w:sz w:val="20"/>
        </w:rPr>
        <w:t>10-K for the year ended December</w:t>
      </w:r>
      <w:r>
        <w:rPr>
          <w:rFonts w:ascii="Times New Roman;Times;serif" w:hAnsi="Times New Roman;Times;serif"/>
          <w:sz w:val="20"/>
        </w:rPr>
        <w:t> </w:t>
      </w:r>
      <w:r>
        <w:rPr>
          <w:rFonts w:ascii="Times New Roman;Times;serif" w:hAnsi="Times New Roman;Times;serif"/>
          <w:i/>
          <w:sz w:val="20"/>
        </w:rPr>
        <w:t>31, 2025. Some of the information contained in this discussion and analysis, particularly with respect to our plans and strategy for our business and related financing, includes forward-looking statements within the meanings of Section 27A of the Securities Act of 1933, as amended, or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our subsidiary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 including those set forth in this Quarterly Report on Form 10-Q.</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Examples of the risks and uncertainties include, but are not limited to, the following:</w:t>
      </w:r>
    </w:p>
    <w:p>
      <w:pPr>
        <w:pStyle w:val="TextBody"/>
        <w:bidi w:val="0"/>
        <w:spacing w:lineRule="auto" w:line="240" w:before="0" w:after="200"/>
        <w:ind w:left="0" w:right="0" w:hanging="0"/>
        <w:jc w:val="left"/>
        <w:rPr/>
      </w:pPr>
      <w:r>
        <w:rPr/>
        <w:t>●</w:t>
      </w:r>
      <w:r>
        <w:rPr>
          <w:rFonts w:ascii="Times New Roman;Times;serif" w:hAnsi="Times New Roman;Times;serif"/>
          <w:sz w:val="20"/>
        </w:rPr>
        <w:t>risks related to the commercialization of Elfabrio</w:t>
      </w:r>
      <w:r>
        <w:rPr>
          <w:rFonts w:ascii="Times New Roman;Times;serif" w:hAnsi="Times New Roman;Times;serif"/>
          <w:sz w:val="15"/>
        </w:rPr>
        <w:t>®</w:t>
      </w:r>
      <w:r>
        <w:rPr>
          <w:rFonts w:ascii="Times New Roman;Times;serif" w:hAnsi="Times New Roman;Times;serif"/>
          <w:sz w:val="20"/>
        </w:rPr>
        <w:t xml:space="preserve"> (pegunigalsidase alfa-iwxj), our approved product for the treatment of adult patients with Fabry disease;</w:t>
      </w:r>
    </w:p>
    <w:p>
      <w:pPr>
        <w:pStyle w:val="TextBody"/>
        <w:bidi w:val="0"/>
        <w:spacing w:before="0" w:after="200"/>
        <w:ind w:left="0" w:right="0" w:hanging="0"/>
        <w:jc w:val="left"/>
        <w:rPr/>
      </w:pPr>
      <w:r>
        <w:rPr/>
        <w:t>●</w:t>
      </w:r>
      <w:r>
        <w:rPr>
          <w:rFonts w:ascii="Times New Roman;Times;serif" w:hAnsi="Times New Roman;Times;serif"/>
          <w:sz w:val="20"/>
        </w:rPr>
        <w:t>risks relating to Elfabrio’s market acceptance, competition, reimbursement, and regulatory actions, including as a result of the boxed warning contained in the approval received from the U.S. Food and Drug Administration, or FDA, for the product;</w:t>
      </w:r>
    </w:p>
    <w:p>
      <w:pPr>
        <w:pStyle w:val="TextBody"/>
        <w:bidi w:val="0"/>
        <w:spacing w:before="0" w:after="200"/>
        <w:ind w:left="0" w:right="0" w:hanging="0"/>
        <w:jc w:val="left"/>
        <w:rPr/>
      </w:pPr>
      <w:r>
        <w:rPr/>
        <w:t>●</w:t>
      </w:r>
      <w:r>
        <w:rPr>
          <w:rFonts w:ascii="Times New Roman;Times;serif" w:hAnsi="Times New Roman;Times;serif"/>
          <w:sz w:val="20"/>
        </w:rPr>
        <w:t>risks related to the regulatory approval and commercial success of our other product and product candidates, if approved;</w:t>
      </w:r>
    </w:p>
    <w:p>
      <w:pPr>
        <w:pStyle w:val="TextBody"/>
        <w:bidi w:val="0"/>
        <w:spacing w:before="0" w:after="200"/>
        <w:ind w:left="0" w:right="0" w:hanging="0"/>
        <w:jc w:val="left"/>
        <w:rPr/>
      </w:pPr>
      <w:r>
        <w:rPr/>
        <w:t>●</w:t>
      </w:r>
      <w:r>
        <w:rPr>
          <w:rFonts w:ascii="Times New Roman;Times;serif" w:hAnsi="Times New Roman;Times;serif"/>
          <w:sz w:val="20"/>
        </w:rPr>
        <w:t>risks related to our expectations with respect to the projected market of our products and product candidates;</w:t>
      </w:r>
    </w:p>
    <w:p>
      <w:pPr>
        <w:pStyle w:val="TextBody"/>
        <w:bidi w:val="0"/>
        <w:spacing w:before="0" w:after="200"/>
        <w:ind w:left="0" w:right="0" w:hanging="0"/>
        <w:jc w:val="left"/>
        <w:rPr/>
      </w:pPr>
      <w:r>
        <w:rPr/>
        <w:t>●</w:t>
      </w:r>
      <w:r>
        <w:rPr>
          <w:rFonts w:ascii="Times New Roman;Times;serif" w:hAnsi="Times New Roman;Times;serif"/>
          <w:sz w:val="20"/>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and/or inability to monitor patients adequately during or after treatment;</w:t>
      </w:r>
    </w:p>
    <w:p>
      <w:pPr>
        <w:pStyle w:val="TextBody"/>
        <w:bidi w:val="0"/>
        <w:spacing w:before="0" w:after="200"/>
        <w:ind w:left="0" w:right="0" w:hanging="0"/>
        <w:jc w:val="left"/>
        <w:rPr/>
      </w:pPr>
      <w:r>
        <w:rPr/>
        <w:t>●</w:t>
      </w:r>
      <w:r>
        <w:rPr>
          <w:rFonts w:ascii="Times New Roman;Times;serif" w:hAnsi="Times New Roman;Times;serif"/>
          <w:sz w:val="20"/>
        </w:rPr>
        <w:t>the risk that the results of the clinical trials of our product candidates will not support the applicable claims of safety or efficacy and that our product candidates will not have the desired effects or will be associated with undesirable side effects or other unexpected characteristics;</w:t>
      </w:r>
    </w:p>
    <w:p>
      <w:pPr>
        <w:pStyle w:val="TextBody"/>
        <w:bidi w:val="0"/>
        <w:spacing w:before="0" w:after="200"/>
        <w:ind w:left="0" w:right="0" w:hanging="0"/>
        <w:jc w:val="left"/>
        <w:rPr/>
      </w:pPr>
      <w:r>
        <w:rPr/>
        <w:t>●</w:t>
      </w:r>
      <w:r>
        <w:rPr>
          <w:rFonts w:ascii="Times New Roman;Times;serif" w:hAnsi="Times New Roman;Times;serif"/>
          <w:sz w:val="20"/>
        </w:rPr>
        <w:t>the possible disruption of our operations due to the regional conflict in Iran and the military actions between Israel and Iran, the Hamas terrorist organization located in the Gaza Strip, Hezbollah, the Houthis terrorist group that controls parts of Yemen, and others, including as a result of the disruption of the operations of certain regulatory authorities and of certain of our suppliers, collaborative partners, licensees, clinical trial sites, distributors and customers, and the risk that the current hostilities will result in increased regional conflict;</w:t>
      </w:r>
    </w:p>
    <w:p>
      <w:pPr>
        <w:pStyle w:val="TextBody"/>
        <w:bidi w:val="0"/>
        <w:spacing w:before="0" w:after="200"/>
        <w:ind w:left="0" w:right="0" w:hanging="0"/>
        <w:jc w:val="left"/>
        <w:rPr/>
      </w:pPr>
      <w:r>
        <w:rPr/>
        <w:t>●</w:t>
      </w:r>
      <w:r>
        <w:rPr>
          <w:rFonts w:ascii="Times New Roman;Times;serif" w:hAnsi="Times New Roman;Times;serif"/>
          <w:sz w:val="20"/>
        </w:rPr>
        <w:t>delays in the approval or potential rejection of any applications we file with the FDA, European Medicines Agency, or EMA, or other health regulatory authorities for our other product candidates, and other risks relating to the review process;</w:t>
      </w:r>
    </w:p>
    <w:p>
      <w:pPr>
        <w:pStyle w:val="TextBody"/>
        <w:bidi w:val="0"/>
        <w:spacing w:before="0" w:after="200"/>
        <w:ind w:left="0" w:right="0" w:hanging="0"/>
        <w:jc w:val="left"/>
        <w:rPr/>
      </w:pPr>
      <w:r>
        <w:rPr/>
        <w:t>●</w:t>
      </w:r>
      <w:r>
        <w:rPr>
          <w:rFonts w:ascii="Times New Roman;Times;serif" w:hAnsi="Times New Roman;Times;serif"/>
          <w:sz w:val="20"/>
        </w:rPr>
        <w:t>risks associated with global conditions and developments such as new or increased tariffs, treaties, trade policies, taxes, and other limitations on cross-border operations, which may adversely impact our business, results of operations, and financial condition;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pPr>
      <w:r>
        <w:rPr/>
        <w:t>●</w:t>
      </w:r>
      <w:r>
        <w:rPr>
          <w:rFonts w:ascii="Times New Roman;Times;serif" w:hAnsi="Times New Roman;Times;serif"/>
          <w:sz w:val="20"/>
        </w:rPr>
        <w:t>risks associated with other global conditions and developments such as new or changed trade restrictions, supply chain challenges, the inflationary environment, and tight labor market, and instability in the banking industry, which may adversely impact our business, results of operations, and financial condition, and our ability to raise additional financing if and as required and on terms acceptable to us;</w:t>
      </w:r>
    </w:p>
    <w:p>
      <w:pPr>
        <w:pStyle w:val="TextBody"/>
        <w:bidi w:val="0"/>
        <w:spacing w:before="0" w:after="200"/>
        <w:ind w:left="0" w:right="0" w:hanging="0"/>
        <w:jc w:val="left"/>
        <w:rPr/>
      </w:pPr>
      <w:r>
        <w:rPr/>
        <w:t>●</w:t>
      </w:r>
      <w:r>
        <w:rPr>
          <w:rFonts w:ascii="Times New Roman;Times;serif" w:hAnsi="Times New Roman;Times;serif"/>
          <w:sz w:val="20"/>
        </w:rPr>
        <w:t>risks related to any transactions we may effect in the public or private equity or debt markets to raise capital to finance future research and development activities, general and administrative expenses, and working capital;</w:t>
      </w:r>
    </w:p>
    <w:p>
      <w:pPr>
        <w:pStyle w:val="TextBody"/>
        <w:bidi w:val="0"/>
        <w:spacing w:before="0" w:after="200"/>
        <w:ind w:left="0" w:right="0" w:hanging="0"/>
        <w:jc w:val="left"/>
        <w:rPr/>
      </w:pPr>
      <w:r>
        <w:rPr/>
        <w:t>●</w:t>
      </w:r>
      <w:r>
        <w:rPr>
          <w:rFonts w:ascii="Times New Roman;Times;serif" w:hAnsi="Times New Roman;Times;serif"/>
          <w:sz w:val="20"/>
        </w:rPr>
        <w:t>risks relating to our evaluation and pursuit of strategic partnerships;</w:t>
      </w:r>
    </w:p>
    <w:p>
      <w:pPr>
        <w:pStyle w:val="TextBody"/>
        <w:bidi w:val="0"/>
        <w:spacing w:before="0" w:after="200"/>
        <w:ind w:left="0" w:right="0" w:hanging="0"/>
        <w:jc w:val="left"/>
        <w:rPr/>
      </w:pPr>
      <w:r>
        <w:rPr/>
        <w:t>●</w:t>
      </w:r>
      <w:r>
        <w:rPr>
          <w:rFonts w:ascii="Times New Roman;Times;serif" w:hAnsi="Times New Roman;Times;serif"/>
          <w:sz w:val="20"/>
        </w:rPr>
        <w:t>risks relating to our ability to manage our relationship with our collaborators, distributors, and partners, including, but not limited to, Pfizer Inc., or Pfizer, and Chiesi;</w:t>
      </w:r>
    </w:p>
    <w:p>
      <w:pPr>
        <w:pStyle w:val="TextBody"/>
        <w:bidi w:val="0"/>
        <w:spacing w:before="0" w:after="200"/>
        <w:ind w:left="0" w:right="0" w:hanging="0"/>
        <w:jc w:val="left"/>
        <w:rPr/>
      </w:pPr>
      <w:r>
        <w:rPr/>
        <w:t>●</w:t>
      </w:r>
      <w:r>
        <w:rPr>
          <w:rFonts w:ascii="Times New Roman;Times;serif" w:hAnsi="Times New Roman;Times;serif"/>
          <w:sz w:val="20"/>
        </w:rPr>
        <w:t>risks related to the amount and sufficiency of our cash, cash equivalents, and short-term bank deposits;</w:t>
      </w:r>
    </w:p>
    <w:p>
      <w:pPr>
        <w:pStyle w:val="TextBody"/>
        <w:bidi w:val="0"/>
        <w:spacing w:before="0" w:after="200"/>
        <w:ind w:left="0" w:right="0" w:hanging="0"/>
        <w:jc w:val="left"/>
        <w:rPr/>
      </w:pPr>
      <w:r>
        <w:rPr/>
        <w:t>●</w:t>
      </w:r>
      <w:r>
        <w:rPr>
          <w:rFonts w:ascii="Times New Roman;Times;serif" w:hAnsi="Times New Roman;Times;serif"/>
          <w:sz w:val="20"/>
        </w:rPr>
        <w:t>risks relating to changes to interim, top-line, or preliminary data from clinical trials that we announce or publish;</w:t>
      </w:r>
    </w:p>
    <w:p>
      <w:pPr>
        <w:pStyle w:val="TextBody"/>
        <w:bidi w:val="0"/>
        <w:spacing w:before="0" w:after="200"/>
        <w:ind w:left="0" w:right="0" w:hanging="0"/>
        <w:jc w:val="left"/>
        <w:rPr/>
      </w:pPr>
      <w:r>
        <w:rPr/>
        <w:t>●</w:t>
      </w:r>
      <w:r>
        <w:rPr>
          <w:rFonts w:ascii="Times New Roman;Times;serif" w:hAnsi="Times New Roman;Times;serif"/>
          <w:sz w:val="20"/>
        </w:rPr>
        <w:t>risks relating to the compliance by Fundação Oswaldo Cruz, or Fiocruz, an arm of the Brazilian Ministry of Health, or the Brazilian MoH, with its purchase obligations under the Supply and Technology Transfer Agreement that we entered into with Fiocruz in June 2013, or the Brazil Agreement, which may have a material adverse effect on us and may result in our termination of such agreement;</w:t>
      </w:r>
    </w:p>
    <w:p>
      <w:pPr>
        <w:pStyle w:val="TextBody"/>
        <w:bidi w:val="0"/>
        <w:spacing w:before="0" w:after="200"/>
        <w:ind w:left="0" w:right="0" w:hanging="0"/>
        <w:jc w:val="left"/>
        <w:rPr/>
      </w:pPr>
      <w:r>
        <w:rPr/>
        <w:t>●</w:t>
      </w:r>
      <w:r>
        <w:rPr>
          <w:rFonts w:ascii="Times New Roman;Times;serif" w:hAnsi="Times New Roman;Times;serif"/>
          <w:sz w:val="20"/>
        </w:rPr>
        <w:t>risk of significant lawsuits, including stockholder litigation, which is common in the life sciences sector;</w:t>
      </w:r>
    </w:p>
    <w:p>
      <w:pPr>
        <w:pStyle w:val="TextBody"/>
        <w:bidi w:val="0"/>
        <w:spacing w:before="0" w:after="200"/>
        <w:ind w:left="0" w:right="0" w:hanging="0"/>
        <w:jc w:val="left"/>
        <w:rPr/>
      </w:pPr>
      <w:r>
        <w:rPr/>
        <w:t>●</w:t>
      </w:r>
      <w:r>
        <w:rPr>
          <w:rFonts w:ascii="Times New Roman;Times;serif" w:hAnsi="Times New Roman;Times;serif"/>
          <w:sz w:val="20"/>
        </w:rPr>
        <w:t>our dependence on performance by third-party providers of services and supplies, including without limitation, clinical trial services;</w:t>
      </w:r>
    </w:p>
    <w:p>
      <w:pPr>
        <w:pStyle w:val="TextBody"/>
        <w:bidi w:val="0"/>
        <w:spacing w:before="0" w:after="200"/>
        <w:ind w:left="0" w:right="0" w:hanging="0"/>
        <w:jc w:val="left"/>
        <w:rPr/>
      </w:pPr>
      <w:r>
        <w:rPr/>
        <w:t>●</w:t>
      </w:r>
      <w:r>
        <w:rPr>
          <w:rFonts w:ascii="Times New Roman;Times;serif" w:hAnsi="Times New Roman;Times;serif"/>
          <w:sz w:val="20"/>
        </w:rPr>
        <w:t>the inherent risks and uncertainties in developing drug platforms and products of the type we are developing;</w:t>
      </w:r>
    </w:p>
    <w:p>
      <w:pPr>
        <w:pStyle w:val="TextBody"/>
        <w:bidi w:val="0"/>
        <w:spacing w:before="0" w:after="200"/>
        <w:ind w:left="0" w:right="0" w:hanging="0"/>
        <w:jc w:val="left"/>
        <w:rPr/>
      </w:pPr>
      <w:r>
        <w:rPr/>
        <w:t>●</w:t>
      </w:r>
      <w:r>
        <w:rPr>
          <w:rFonts w:ascii="Times New Roman;Times;serif" w:hAnsi="Times New Roman;Times;serif"/>
          <w:sz w:val="20"/>
        </w:rPr>
        <w:t>the impact of development of competing therapies and/or technologies by other companies;</w:t>
      </w:r>
    </w:p>
    <w:p>
      <w:pPr>
        <w:pStyle w:val="TextBody"/>
        <w:bidi w:val="0"/>
        <w:spacing w:before="0" w:after="200"/>
        <w:ind w:left="0" w:right="0" w:hanging="0"/>
        <w:jc w:val="left"/>
        <w:rPr/>
      </w:pPr>
      <w:r>
        <w:rPr/>
        <w:t>●</w:t>
      </w:r>
      <w:r>
        <w:rPr>
          <w:rFonts w:ascii="Times New Roman;Times;serif" w:hAnsi="Times New Roman;Times;serif"/>
          <w:sz w:val="20"/>
        </w:rPr>
        <w:t>risks related to our supply of drug products to Pfizer;</w:t>
      </w:r>
    </w:p>
    <w:p>
      <w:pPr>
        <w:pStyle w:val="TextBody"/>
        <w:bidi w:val="0"/>
        <w:spacing w:before="0" w:after="200"/>
        <w:ind w:left="0" w:right="0" w:hanging="0"/>
        <w:jc w:val="left"/>
        <w:rPr/>
      </w:pPr>
      <w:r>
        <w:rPr/>
        <w:t>●</w:t>
      </w:r>
      <w:r>
        <w:rPr>
          <w:rFonts w:ascii="Times New Roman;Times;serif" w:hAnsi="Times New Roman;Times;serif"/>
          <w:sz w:val="20"/>
        </w:rPr>
        <w:t>potential product liability risks, and risks of securing adequate levels of related insurance coverage;</w:t>
      </w:r>
    </w:p>
    <w:p>
      <w:pPr>
        <w:pStyle w:val="TextBody"/>
        <w:bidi w:val="0"/>
        <w:spacing w:before="0" w:after="0"/>
        <w:ind w:left="0" w:right="0" w:hanging="0"/>
        <w:jc w:val="left"/>
        <w:rPr/>
      </w:pPr>
      <w:r>
        <w:rPr/>
        <w:t>●</w:t>
      </w:r>
      <w:r>
        <w:rPr>
          <w:rFonts w:ascii="Times New Roman;Times;serif" w:hAnsi="Times New Roman;Times;serif"/>
          <w:sz w:val="20"/>
        </w:rPr>
        <w:t>the possibility of infringing a third-party’s patents or other intellectual property rights and the uncertainty of obtaining patents covering our products and processes and successfully enforcing our intellectual property rights against third-parties; and</w:t>
      </w:r>
    </w:p>
    <w:p>
      <w:pPr>
        <w:pStyle w:val="TextBody"/>
        <w:bidi w:val="0"/>
        <w:ind w:left="0" w:right="0" w:hanging="0"/>
        <w:jc w:val="left"/>
        <w:rPr/>
      </w:pPr>
      <w:r>
        <w:rPr/>
        <w:t>●</w:t>
      </w:r>
      <w:r>
        <w:rPr>
          <w:rFonts w:ascii="Times New Roman;Times;serif" w:hAnsi="Times New Roman;Times;serif"/>
          <w:sz w:val="20"/>
        </w:rPr>
        <w:t>risks relating to changes in healthcare laws, rules, and regulations in the United States or elsewhere.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Given these uncertainties, you should not place undue reliance on these forward-looking statements. Companies in the pharmaceutical and biotechnology industries have suffered significant setbacks in advanced or late-stage clinical trials, even after obtaining promising earlier trial results or preliminary findings for such clinical trials. Even if favorable testing data is generated from clinical trials of a drug product, the FDA or foreign regulatory authorities may not accept or approve a marketing application filed by a pharmaceutical or biotechnology company for the drug product.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Our Business</w:t>
      </w:r>
    </w:p>
    <w:p>
      <w:pPr>
        <w:pStyle w:val="TextBody"/>
        <w:bidi w:val="0"/>
        <w:spacing w:lineRule="auto" w:line="240" w:before="0" w:after="200"/>
        <w:ind w:left="0" w:right="0" w:hanging="0"/>
        <w:jc w:val="left"/>
        <w:rPr>
          <w:rFonts w:ascii="Times New Roman;Times;serif" w:hAnsi="Times New Roman;Times;serif"/>
          <w:sz w:val="20"/>
        </w:rPr>
      </w:pPr>
      <w:r>
        <w:rPr>
          <w:rFonts w:ascii="Times New Roman;Times;serif" w:hAnsi="Times New Roman;Times;serif"/>
          <w:sz w:val="20"/>
        </w:rPr>
        <w:t>Protalix BioTherapeutics, Inc. and its wholly-owned subsidiary, Protalix Ltd., are commercial stage biopharmaceutical companies focused on the discovery, development, production, and commercialization of innovative therapeutics for rare diseases with significant unmet needs. ProCellEx</w:t>
      </w:r>
      <w:r>
        <w:rPr>
          <w:rFonts w:ascii="Times New Roman;Times;serif" w:hAnsi="Times New Roman;Times;serif"/>
          <w:sz w:val="15"/>
        </w:rPr>
        <w:t>®</w:t>
      </w:r>
      <w:r>
        <w:rPr>
          <w:rFonts w:ascii="Times New Roman;Times;serif" w:hAnsi="Times New Roman;Times;serif"/>
          <w:sz w:val="20"/>
        </w:rPr>
        <w:t>, our proprietary plant cell-based protein expression system, represents a new method for developing recombinant proteins in an industrial-scale manner.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Currently, our commercial products are both enzyme replacement therapies (ERTs):</w:t>
      </w:r>
    </w:p>
    <w:p>
      <w:pPr>
        <w:pStyle w:val="TextBody"/>
        <w:bidi w:val="0"/>
        <w:spacing w:lineRule="auto" w:line="240" w:before="0" w:after="200"/>
        <w:ind w:left="720" w:right="0" w:hanging="0"/>
        <w:jc w:val="left"/>
        <w:rPr/>
      </w:pPr>
      <w:r>
        <w:rPr/>
        <w:t>●</w:t>
      </w:r>
      <w:r>
        <w:rPr>
          <w:rFonts w:ascii="Times New Roman;Times;serif" w:hAnsi="Times New Roman;Times;serif"/>
          <w:sz w:val="20"/>
        </w:rPr>
        <w:t>Elelyso</w:t>
      </w:r>
      <w:r>
        <w:rPr>
          <w:rFonts w:ascii="Times New Roman;Times;serif" w:hAnsi="Times New Roman;Times;serif"/>
          <w:sz w:val="15"/>
        </w:rPr>
        <w:t>®</w:t>
      </w:r>
      <w:r>
        <w:rPr>
          <w:rFonts w:ascii="Times New Roman;Times;serif" w:hAnsi="Times New Roman;Times;serif"/>
          <w:sz w:val="20"/>
        </w:rPr>
        <w:t> (taliglucerase alfa) for the treatment of adult patients and children four years of age and older with Gaucher disease. This product is approved in the United States, Brazil and Israel, as well as many other jurisdictions.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ind w:left="720" w:right="0" w:hanging="0"/>
        <w:jc w:val="left"/>
        <w:rPr/>
      </w:pPr>
      <w:r>
        <w:rPr/>
        <w:t>●</w:t>
      </w:r>
      <w:r>
        <w:rPr>
          <w:rFonts w:ascii="Times New Roman;Times;serif" w:hAnsi="Times New Roman;Times;serif"/>
          <w:sz w:val="20"/>
        </w:rPr>
        <w:t>Elfabrio</w:t>
      </w:r>
      <w:r>
        <w:rPr>
          <w:rFonts w:ascii="Times New Roman;Times;serif" w:hAnsi="Times New Roman;Times;serif"/>
          <w:sz w:val="15"/>
        </w:rPr>
        <w:t>®</w:t>
      </w:r>
      <w:r>
        <w:rPr>
          <w:rFonts w:ascii="Times New Roman;Times;serif" w:hAnsi="Times New Roman;Times;serif"/>
          <w:sz w:val="20"/>
        </w:rPr>
        <w:t> (pegunigalsidase alfa) for the treatment of adult patients with a confirmed diagnosis of Fabry disease. This product is approved in the United States, the European Union and other jurisdictions with a 1 mg/kg every-two-weeks (E2W) dosage. Additionally, in March 2026, Elfabrio was approved for a 2 mg/kg every-four-weeks (E4W) dosage in the European Union.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are committed to leveraging our track record of success as we progress with the development of treatments for rare and orphan diseases. In addition, we continuously work on the further development and enhancement of our ProCellEx technology. Accordingly, we are turning our focus to new, early-stage product candidates that treat indications for which there are high unmet needs in terms of efficacy and safety, including renal diseases. Treatments of interest are likely to address both genetic and non-genetic diseases. We intend to use our ProCellEx platform and PEGylation capabilities, as well as other modalities such as small molecules and antibodies, to take advantage of highly innovative opportunities. We are also exploring novel platform technologies.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product pipeline currently includes, among other candidates:</w:t>
      </w:r>
    </w:p>
    <w:p>
      <w:pPr>
        <w:pStyle w:val="TextBody"/>
        <w:bidi w:val="0"/>
        <w:spacing w:before="0" w:after="200"/>
        <w:ind w:left="720" w:right="0" w:hanging="0"/>
        <w:jc w:val="left"/>
        <w:rPr/>
      </w:pPr>
      <w:r>
        <w:rPr/>
        <w:t>●</w:t>
      </w:r>
      <w:r>
        <w:rPr>
          <w:rFonts w:ascii="Times New Roman;Times;serif" w:hAnsi="Times New Roman;Times;serif"/>
          <w:sz w:val="20"/>
        </w:rPr>
        <w:t>PRX-115, a recombinant PEGylated uricase (urate oxidase) – a chemically modified enzyme to treat uncontrolled gout; and</w:t>
      </w:r>
    </w:p>
    <w:p>
      <w:pPr>
        <w:pStyle w:val="TextBody"/>
        <w:bidi w:val="0"/>
        <w:ind w:left="720" w:right="0" w:hanging="0"/>
        <w:jc w:val="left"/>
        <w:rPr/>
      </w:pPr>
      <w:r>
        <w:rPr/>
        <w:t>●</w:t>
      </w:r>
      <w:r>
        <w:rPr>
          <w:rFonts w:ascii="Times New Roman;Times;serif" w:hAnsi="Times New Roman;Times;serif"/>
          <w:sz w:val="20"/>
        </w:rPr>
        <w:t>PRX-119, a PEGylated recombinant human DNase I product candidate for long and customized systemic circulation in the bloodstream for NETs-related diseases (neutrophil extracellular traps).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proprietary ProCellEx platform is being used to manufacture both our approved and marketed products as well as PRX-115 and PRX-119.</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Given ongoing military actions in the Middle East, and the missile and other strikes within Israel, we have elected to store manufactured drug substance in multiple locations, both within and outside of Israel, to mitigate the risk of loss. Our facilities are deemed an “essential enterprise” which means they operate or can be operated for the purposes of state defense or public security or for the maintenance of essential supplies or services, allowing us to maintain operations during emergencies. To date, the impact of the military actions have not had a material adverse effect on our operations.</w:t>
      </w:r>
    </w:p>
    <w:p>
      <w:pPr>
        <w:pStyle w:val="TextBody"/>
        <w:bidi w:val="0"/>
        <w:spacing w:before="0" w:after="200"/>
        <w:ind w:left="720" w:right="0" w:hanging="0"/>
        <w:jc w:val="left"/>
        <w:rPr>
          <w:rFonts w:ascii="Times New Roman;Times;serif" w:hAnsi="Times New Roman;Times;serif"/>
          <w:i/>
          <w:sz w:val="20"/>
        </w:rPr>
      </w:pPr>
      <w:r>
        <w:rPr>
          <w:rFonts w:ascii="Times New Roman;Times;serif" w:hAnsi="Times New Roman;Times;serif"/>
          <w:i/>
          <w:sz w:val="20"/>
        </w:rPr>
        <w:t>Recent Company Developments</w:t>
      </w:r>
    </w:p>
    <w:p>
      <w:pPr>
        <w:pStyle w:val="TextBody"/>
        <w:bidi w:val="0"/>
        <w:spacing w:before="0" w:after="200"/>
        <w:ind w:left="0" w:right="0" w:hanging="0"/>
        <w:jc w:val="left"/>
        <w:rPr/>
      </w:pPr>
      <w:r>
        <w:rPr/>
        <w:t>●</w:t>
      </w:r>
      <w:r>
        <w:rPr>
          <w:rFonts w:ascii="Times New Roman;Times;serif" w:hAnsi="Times New Roman;Times;serif"/>
          <w:sz w:val="20"/>
        </w:rPr>
        <w:t>On May 4, 2026, the U.S. Patent and Trademark Office (USPTO) issued a Patent Term Extension for U.S. Patent No. 9,194,011, covering Elfabrio. The extension adds five years to the patent term, moving the expiration date of the U.S. patent to November 17, 2035.</w:t>
      </w:r>
    </w:p>
    <w:p>
      <w:pPr>
        <w:pStyle w:val="TextBody"/>
        <w:bidi w:val="0"/>
        <w:spacing w:before="0" w:after="200"/>
        <w:ind w:left="0" w:right="0" w:hanging="0"/>
        <w:jc w:val="left"/>
        <w:rPr/>
      </w:pPr>
      <w:r>
        <w:rPr/>
        <w:t>●</w:t>
      </w:r>
      <w:r>
        <w:rPr>
          <w:rFonts w:ascii="Times New Roman;Times;serif" w:hAnsi="Times New Roman;Times;serif"/>
          <w:sz w:val="20"/>
        </w:rPr>
        <w:t>In May 2026, the South Korean Ministry of Food and Drug Safety (MFDS) granted orphan drug marketing authorization for Elfabrio for adult patients with Fabry disease. Kwang Dong Pharm. Co., Ltd., will be Chiesi’s distributor in South Korea and, accordingly, is the market authorization holder in South Korea.</w:t>
      </w:r>
    </w:p>
    <w:p>
      <w:pPr>
        <w:pStyle w:val="TextBody"/>
        <w:bidi w:val="0"/>
        <w:ind w:left="0" w:right="0" w:hanging="0"/>
        <w:jc w:val="left"/>
        <w:rPr/>
      </w:pPr>
      <w:r>
        <w:rPr/>
        <w:t>●</w:t>
      </w:r>
      <w:r>
        <w:rPr>
          <w:rFonts w:ascii="Times New Roman;Times;serif" w:hAnsi="Times New Roman;Times;serif"/>
          <w:sz w:val="20"/>
        </w:rPr>
        <w:t>On July 7, 2026, the USPTO issued U.S. Patent No. 12,674,146 (7 July 2026) “Modified Uricases and Uses thereof,” which covers PRX-115.</w:t>
      </w:r>
    </w:p>
    <w:p>
      <w:pPr>
        <w:pStyle w:val="TextBody"/>
        <w:bidi w:val="0"/>
        <w:spacing w:before="0" w:after="200"/>
        <w:ind w:left="720" w:right="0" w:hanging="0"/>
        <w:jc w:val="left"/>
        <w:rPr>
          <w:rFonts w:ascii="Times New Roman;Times;serif" w:hAnsi="Times New Roman;Times;serif"/>
          <w:i/>
          <w:sz w:val="20"/>
        </w:rPr>
      </w:pPr>
      <w:r>
        <w:rPr>
          <w:rFonts w:ascii="Times New Roman;Times;serif" w:hAnsi="Times New Roman;Times;serif"/>
          <w:i/>
          <w:sz w:val="20"/>
        </w:rPr>
        <w:t>Commercialization of Approved Products</w:t>
      </w:r>
    </w:p>
    <w:p>
      <w:pPr>
        <w:pStyle w:val="TextBody"/>
        <w:bidi w:val="0"/>
        <w:spacing w:before="0" w:after="200"/>
        <w:ind w:left="1440" w:right="0" w:hanging="0"/>
        <w:jc w:val="left"/>
        <w:rPr>
          <w:rFonts w:ascii="Times New Roman;Times;serif" w:hAnsi="Times New Roman;Times;serif"/>
          <w:i/>
          <w:sz w:val="20"/>
        </w:rPr>
      </w:pPr>
      <w:r>
        <w:rPr>
          <w:rFonts w:ascii="Times New Roman;Times;serif" w:hAnsi="Times New Roman;Times;serif"/>
          <w:i/>
          <w:sz w:val="20"/>
        </w:rPr>
        <w:t>Elelyso – Pfizer</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licensed to Pfizer the global rights to market and sell Elelyso in all markets, excluding Brazil, pursuant to the Amended Pfizer Agreement. Pursuant to the Amended Pfizer Agreement, we agreed to sell drug substance to Pfizer for the production of Elelyso for a fixed cost, subject to certain terms and conditions, through 2030. Any failure to comply with our supply commitments may subject us to substantial financial penalties. The Amended Pfizer Agreement includes customary provisions regarding cooperation for regulatory matters, patent enforcement, termination, indemnification and insurance requirements. We retain distribution rights to taliglucerase alfa in Brazil.</w:t>
      </w:r>
    </w:p>
    <w:p>
      <w:pPr>
        <w:pStyle w:val="TextBody"/>
        <w:shd w:fill="FFFFFF" w:val="clea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sales of Elelyso to Pfizer are made at a fixed price directly to Pfizer who maintains product in inventory, and we recognize revenue from those sales upon delivery. The timing of such sales does not directly reflect patient demand and, on a period-to-period basis, there may be variations in the orders placed by Pfizer resulting in variability in our period-to-period results. There may be periods during which no orders are placed by Pfizer, whether as a result of inventory de-stocking or other factors.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1440" w:right="0" w:hanging="0"/>
        <w:jc w:val="left"/>
        <w:rPr>
          <w:rFonts w:ascii="Times New Roman;Times;serif" w:hAnsi="Times New Roman;Times;serif"/>
          <w:i/>
          <w:sz w:val="20"/>
        </w:rPr>
      </w:pPr>
      <w:r>
        <w:rPr>
          <w:rFonts w:ascii="Times New Roman;Times;serif" w:hAnsi="Times New Roman;Times;serif"/>
          <w:i/>
          <w:sz w:val="20"/>
        </w:rPr>
        <w:t>Alfataliglicerase – Fundação Oswaldo Cruz (Fiocruz)</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Elelyso, marketed as BioManguinhos alfataliglicerase in Brazil, is commercialized in Brazil through the Brazil Agreement with Fiocruz which became effective in January 2014. Gaucher patients in Brazil are entitled to receive ERT paid for by the Brazilian MoH. The Brazilian MoH clinical treatment guidelines (PCDT) state that BioManguinhos alfataliglicerase is the therapy of choice for newly diagnosed patients. BioManguinhos alfataliglicerase is currently estimated to be used by approximately 25% of Gaucher patients in Brazil.</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Brazil Agreement provides for a staged technology transfer that is intended to transfer to Fiocruz the capacity and skills required for the Brazilian government to construct its own manufacturing facility, at its sole expense, and to produce a sustainable, high-quality, and cost-effective supply of BioManguinhos alfataliglicerase. Fiocruz has not satisfied certain purchase commitments under the Brazil Agreement. We continue to sell BioManguinhos alfataliglicerase for a fixed price through purchase orders and we continue to discuss with Fiocruz potential steps to maximize sales of BioManguinhos alfataliglicerase to the Brazilian MoH.</w:t>
      </w:r>
    </w:p>
    <w:p>
      <w:pPr>
        <w:pStyle w:val="TextBody"/>
        <w:shd w:fill="FFFFFF" w:val="clea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sales of BioManguinhos alfataliglicerase to Fiocruz are made at a fixed price directly to Fiocruz which maintains product in inventory, and we recognize revenue from those sales upon delivery. The timing of such sales does not directly reflect patient demand and, on a period-to-period basis, there may be variations in the orders placed by Fiocruz resulting in variability in our period-to-period results. There may be periods during which no orders are placed by Fiocruz, whether as a result of inventory de-stocking or other factors.</w:t>
      </w:r>
    </w:p>
    <w:p>
      <w:pPr>
        <w:pStyle w:val="TextBody"/>
        <w:bidi w:val="0"/>
        <w:spacing w:before="0" w:after="200"/>
        <w:ind w:left="1440" w:right="0" w:hanging="0"/>
        <w:jc w:val="left"/>
        <w:rPr>
          <w:rFonts w:ascii="Times New Roman;Times;serif" w:hAnsi="Times New Roman;Times;serif"/>
          <w:i/>
          <w:sz w:val="20"/>
        </w:rPr>
      </w:pPr>
      <w:r>
        <w:rPr>
          <w:rFonts w:ascii="Times New Roman;Times;serif" w:hAnsi="Times New Roman;Times;serif"/>
          <w:i/>
          <w:sz w:val="20"/>
        </w:rPr>
        <w:t>Elfabrio (pegunigalsidase alfa/PRX-102) – Chiesi Farmaceutici</w:t>
      </w:r>
    </w:p>
    <w:p>
      <w:pPr>
        <w:pStyle w:val="TextBody"/>
        <w:pBdr/>
        <w:shd w:fill="FFFFFF" w:val="clea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Elfabrio is commercialized worldwide by Chiesi under two exclusive global licensing and supply agreements; the Exclusive License and Supply Agreement dated as of October 17, 2017, by and between Protalix Ltd. and Chiesi, or the Chiesi Ex-US Agreement, and the Exclusive License and Supply Agreement dated as of July 23, 2018, by and between Protalix Ltd. and Chiesi, or the Chiesi US Agreement. The Chiesi Ex-US Agreement and the Chiesi US Agreement are referred to herein collectively as the Chiesi Agreements. Under the Chiesi Ex-US Agreement, we granted to Chiesi an exclusive license for all markets outside of the United States to commercialize pegunigalsidase alfa. At execution of the Chiesi Ex-US Agreement, Chiesi made an upfront, non-refundable, non-creditable payment to Protalix Ltd. of $25.0 million, followed by additional payments of $25.0 million to cover development costs in the aggregate. Following the approval of the E4W dosage by the EMA in 2026, we received a milestone payment equal to $25.0 million. Protalix Ltd. currently remains eligible to receive additional payments of up to a maximum of $270.0 million, in the aggregate, subject to the satisfaction of certain regulatory and commercial milestones. Protalix Ltd. agreed to manufacture all of the pegunigalsidase alfa needed for all purposes under the agreement, subject to certain exceptions, and Chiesi agreed to purchase the pegunigalsidase alfa from Protalix Ltd., subject to certain terms and conditions. Chiesi is required to make payments to Protalix Ltd. ranging from 15% to 35% of its net sales under the Chiesi Ex-US Agreement, depending on the amount of annual sales, subject to certain terms and conditions, as consideration for product supply. The Chiesi Ex-US Agreement shall remain in effect until the later of (i) the expiration of the last enforceable Protalix patent right thereunder or (ii) the 15</w:t>
      </w:r>
      <w:r>
        <w:rPr>
          <w:rFonts w:ascii="Times New Roman;Times;serif" w:hAnsi="Times New Roman;Times;serif"/>
          <w:sz w:val="15"/>
        </w:rPr>
        <w:t>th</w:t>
      </w:r>
      <w:r>
        <w:rPr>
          <w:rFonts w:ascii="Times New Roman;Times;serif" w:hAnsi="Times New Roman;Times;serif"/>
          <w:sz w:val="20"/>
        </w:rPr>
        <w:t> anniversary of the launch of sales of pegunigalsidase alfa on a country-by-country basis, subject to certain terms and conditions, unless earlier terminated in accordance with the terms and conditions thereof.</w:t>
      </w:r>
    </w:p>
    <w:p>
      <w:pPr>
        <w:pStyle w:val="TextBody"/>
        <w:pBdr/>
        <w:shd w:fill="FFFFFF" w:val="clea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Under the Chiesi US Agreement we granted to Chiesi the exclusive license to develop and commercialize pegunigalsidase alfa in the United States. Protalix Ltd. received from Chiesi an upfront, non-refundable, non-creditable payment of $25.0 million from Chiesi and additional payments of $20.0 million to cover development costs. To date, we have received the complete amount of such development costs, and, following the approval of Elfabrio by the FDA, we received a milestone payment equal to $20.0 million. Protalix Ltd. currently remains eligible to receive additional payments of up to a maximum of $740.0 million, in the aggregate, subject to the satisfaction of certain regulatory and commercial milestones. Chiesi is required to make payments to Protalix Ltd. ranging from 15% to 40% of its net sales under the Chiesi US Agreement, depending on the amount of annual sales, subject to certain terms and conditions, as consideration for product supply. The Chiesi US Agreement shall remain in effect until the later of (i) the expiration of the last enforceable Protalix patent right thereunder or (ii) the 15</w:t>
      </w:r>
      <w:r>
        <w:rPr>
          <w:rFonts w:ascii="Times New Roman;Times;serif" w:hAnsi="Times New Roman;Times;serif"/>
          <w:sz w:val="15"/>
        </w:rPr>
        <w:t>th</w:t>
      </w:r>
      <w:r>
        <w:rPr>
          <w:rFonts w:ascii="Times New Roman;Times;serif" w:hAnsi="Times New Roman;Times;serif"/>
          <w:sz w:val="20"/>
        </w:rPr>
        <w:t> anniversary of the launch in the US, unless earlier terminated in accordance with the terms and conditions thereof.</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manufacture Elfabrio drug substance and, after the fill/finish process is complete, we sell the resulting drug product to Chiesi under both agreements. Operationally, Chiesi conducts its own internal commercial forecasting to guide inventory needs. To date, Chiesi has placed bulk orders for Elfabrio. As a result, the orders we receive from Chiesi may not be timed in relation to Chiesi’s pace of patient acquisition and retention. Accordingly, our sales of Elfabrio to Chiesi may not reflect patient demand for Elfabrio as we sell the fulfilled orders to Chiesi’s inventory. In addition, on a period-to-period basis, there may be variations in the orders placed by Chiesi resulting in variability in our period-to-period results as we, in turn, recognize revenues from sales of Elfabrio upon delivery of the drug product to Chiesi. There may be periods during which no orders are placed by Chiesi, whether as a result of inventory de-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stocking or other factors. We do not anticipate that these Chiesi ordering patterns will change until the demand characteristics for Elfabrio stabilize, the launch of Elfabrio matures and Elfabrio’s share of the market for Fabry disease treatment grows both inside the US and outside the U.S.</w:t>
      </w:r>
    </w:p>
    <w:p>
      <w:pPr>
        <w:pStyle w:val="TextBody"/>
        <w:bidi w:val="0"/>
        <w:spacing w:before="0" w:after="200"/>
        <w:ind w:left="720" w:right="0" w:hanging="0"/>
        <w:jc w:val="left"/>
        <w:rPr>
          <w:rFonts w:ascii="Times New Roman;Times;serif" w:hAnsi="Times New Roman;Times;serif"/>
          <w:i/>
          <w:sz w:val="20"/>
        </w:rPr>
      </w:pPr>
      <w:r>
        <w:rPr>
          <w:rFonts w:ascii="Times New Roman;Times;serif" w:hAnsi="Times New Roman;Times;serif"/>
          <w:i/>
          <w:sz w:val="20"/>
        </w:rPr>
        <w:t>Intellectual Property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key element of our overall strategy is to establish a broad portfolio of patents to protect our proprietary technology, proprietary product and product candidates and their methods of use. As of June 30, 2026, we hold a broad portfolio of 15 patent families consisting of approximately 71 patents in Europe, the United States, Israel, and additional countries worldwide, as well as approximately 36 pending patent applications.</w:t>
      </w:r>
    </w:p>
    <w:p>
      <w:pPr>
        <w:pStyle w:val="TextBody"/>
        <w:bidi w:val="0"/>
        <w:spacing w:before="0" w:after="200"/>
        <w:ind w:left="720" w:right="0" w:hanging="0"/>
        <w:jc w:val="left"/>
        <w:rPr>
          <w:rFonts w:ascii="Times New Roman;Times;serif" w:hAnsi="Times New Roman;Times;serif"/>
          <w:i/>
          <w:sz w:val="20"/>
        </w:rPr>
      </w:pPr>
      <w:r>
        <w:rPr>
          <w:rFonts w:ascii="Times New Roman;Times;serif" w:hAnsi="Times New Roman;Times;serif"/>
          <w:i/>
          <w:sz w:val="20"/>
        </w:rPr>
        <w:t>Research &amp; Development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are committed to leveraging our track record of success as we develop treatments for rare and orphan diseases. In addition, we are continuously further developing and enhancing our ProCellEx technology. Accordingly, we are turning our focus to new, early-stage product candidates that treat indications for which there are high unmet needs in terms of efficacy and safety, including renal diseases. We currently intend that our treatments will address both genetic and non-genetic diseases. We currently intend to use our ProCellEx platform and PEGylation/chemical capabilities, as well as other modalities such as small molecules and antibodies, to take advantage of highly innovative opportunities. We are also exploring novel platform technologies to expand our pipeline.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addition, we continuously work on the further development of our ProCellEx plant cell expression technology and bioreactor system.</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is eligible to, and intends to, file for grants under the R&amp;D Law (as noted above, the R&amp;D Law includes an option pursuant to which a qualifying company entitled to a tax credit that has not utilized such credit by the tax year ending three years following the year in which the related R&amp;D activity was performed or if the Company choose irrevocably, to receive the full amount of the unused credit as a grant payment instead of the credit).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significant accounting policies are more fully described in Note 1 to our consolidated financial statements appearing in this Quarterly Report. There have been no material changes to our critical accounting policies since we filed our Annual Report on Form 10-K for the year ended December 31,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table sets forth certain statements of operations data:</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pPr>
      <w:r>
        <w:rPr/>
        <w:t>​</w:t>
      </w:r>
    </w:p>
    <w:tbl>
      <w:tblPr>
        <w:tblW w:w="9993" w:type="dxa"/>
        <w:jc w:val="left"/>
        <w:tblInd w:w="0" w:type="dxa"/>
        <w:tblLayout w:type="fixed"/>
        <w:tblCellMar>
          <w:top w:w="0" w:type="dxa"/>
          <w:left w:w="0" w:type="dxa"/>
          <w:bottom w:w="0" w:type="dxa"/>
          <w:right w:w="0" w:type="dxa"/>
        </w:tblCellMar>
      </w:tblPr>
      <w:tblGrid>
        <w:gridCol w:w="5071"/>
        <w:gridCol w:w="109"/>
        <w:gridCol w:w="120"/>
        <w:gridCol w:w="877"/>
        <w:gridCol w:w="120"/>
        <w:gridCol w:w="120"/>
        <w:gridCol w:w="877"/>
        <w:gridCol w:w="346"/>
        <w:gridCol w:w="253"/>
        <w:gridCol w:w="831"/>
        <w:gridCol w:w="131"/>
        <w:gridCol w:w="253"/>
        <w:gridCol w:w="885"/>
      </w:tblGrid>
      <w:tr>
        <w:trPr/>
        <w:tc>
          <w:tcPr>
            <w:tcW w:w="5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220085" cy="175260"/>
                      <wp:effectExtent l="0" t="0" r="0" b="0"/>
                      <wp:wrapNone/>
                      <wp:docPr id="126" name="Frame126"/>
                      <a:graphic xmlns:a="http://schemas.openxmlformats.org/drawingml/2006/main">
                        <a:graphicData uri="http://schemas.microsoft.com/office/word/2010/wordprocessingShape">
                          <wps:wsp>
                            <wps:cNvSpPr txBox="1"/>
                            <wps:spPr>
                              <a:xfrm>
                                <a:off x="0" y="0"/>
                                <a:ext cx="3220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6200" cy="175260"/>
                      <wp:effectExtent l="0" t="0" r="0" b="0"/>
                      <wp:wrapNone/>
                      <wp:docPr id="128" name="Frame128"/>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56895" cy="175260"/>
                      <wp:effectExtent l="0" t="0" r="0" b="0"/>
                      <wp:wrapNone/>
                      <wp:docPr id="129" name="Frame129"/>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6200" cy="175260"/>
                      <wp:effectExtent l="0" t="0" r="0" b="0"/>
                      <wp:wrapNone/>
                      <wp:docPr id="130" name="Frame130"/>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6200" cy="175260"/>
                      <wp:effectExtent l="0" t="0" r="0" b="0"/>
                      <wp:wrapNone/>
                      <wp:docPr id="131" name="Frame131"/>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56895" cy="175260"/>
                      <wp:effectExtent l="0" t="0" r="0" b="0"/>
                      <wp:wrapNone/>
                      <wp:docPr id="132" name="Frame132"/>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60655" cy="175260"/>
                      <wp:effectExtent l="0" t="0" r="0" b="0"/>
                      <wp:wrapNone/>
                      <wp:docPr id="134" name="Frame134"/>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27685" cy="175260"/>
                      <wp:effectExtent l="0" t="0" r="0" b="0"/>
                      <wp:wrapNone/>
                      <wp:docPr id="135" name="Frame135"/>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83185" cy="175260"/>
                      <wp:effectExtent l="0" t="0" r="0" b="0"/>
                      <wp:wrapNone/>
                      <wp:docPr id="136" name="Frame136"/>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60655" cy="175260"/>
                      <wp:effectExtent l="0" t="0" r="0" b="0"/>
                      <wp:wrapNone/>
                      <wp:docPr id="137" name="Frame137"/>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61975" cy="175260"/>
                      <wp:effectExtent l="0" t="0" r="0" b="0"/>
                      <wp:wrapNone/>
                      <wp:docPr id="138" name="Frame138"/>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71" w:type="dxa"/>
            <w:tcBorders/>
            <w:vAlign w:val="center"/>
          </w:tcPr>
          <w:p>
            <w:pPr>
              <w:pStyle w:val="TableContents"/>
              <w:bidi w:val="0"/>
              <w:spacing w:before="0" w:after="0"/>
              <w:ind w:left="0" w:right="0" w:hanging="0"/>
              <w:jc w:val="left"/>
              <w:rPr>
                <w:color w:val="009999"/>
              </w:rPr>
            </w:pPr>
            <w:r>
              <w:rPr>
                <w:color w:val="009999"/>
              </w:rPr>
              <w:t>​</w:t>
            </w:r>
          </w:p>
        </w:tc>
        <w:tc>
          <w:tcPr>
            <w:tcW w:w="109"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5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(U.S. dollars in thousands)</w:t>
            </w:r>
          </w:p>
        </w:tc>
        <w:tc>
          <w:tcPr>
            <w:tcW w:w="109" w:type="dxa"/>
            <w:tcBorders/>
            <w:vAlign w:val="center"/>
          </w:tcPr>
          <w:p>
            <w:pPr>
              <w:pStyle w:val="TableContents"/>
              <w:bidi w:val="0"/>
              <w:spacing w:before="0" w:after="0"/>
              <w:ind w:left="0" w:right="0" w:hanging="0"/>
              <w:jc w:val="left"/>
              <w:rPr/>
            </w:pPr>
            <w:r>
              <w:rPr/>
              <w:t>​</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0" w:type="dxa"/>
            <w:tcBorders/>
            <w:vAlign w:val="center"/>
          </w:tcPr>
          <w:p>
            <w:pPr>
              <w:pStyle w:val="TableContents"/>
              <w:bidi w:val="0"/>
              <w:spacing w:before="0" w:after="0"/>
              <w:ind w:left="0" w:right="0" w:hanging="0"/>
              <w:jc w:val="left"/>
              <w:rPr/>
            </w:pPr>
            <w:r>
              <w:rPr/>
              <w:t>​</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31" w:type="dxa"/>
            <w:tcBorders/>
            <w:vAlign w:val="center"/>
          </w:tcPr>
          <w:p>
            <w:pPr>
              <w:pStyle w:val="TableContents"/>
              <w:bidi w:val="0"/>
              <w:spacing w:before="0" w:after="0"/>
              <w:ind w:left="0" w:right="0" w:hanging="0"/>
              <w:jc w:val="left"/>
              <w:rPr/>
            </w:pPr>
            <w:r>
              <w:rPr/>
              <w:t>​</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SELLING GOODS</w:t>
            </w:r>
          </w:p>
        </w:tc>
        <w:tc>
          <w:tcPr>
            <w:tcW w:w="109"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25,435</w:t>
            </w:r>
          </w:p>
        </w:tc>
        <w:tc>
          <w:tcPr>
            <w:tcW w:w="120"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27,247</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15,440</w:t>
            </w:r>
          </w:p>
        </w:tc>
        <w:tc>
          <w:tcPr>
            <w:tcW w:w="13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19,828</w:t>
            </w:r>
          </w:p>
        </w:tc>
      </w:tr>
      <w:tr>
        <w:trPr/>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LICENSE AND R&amp;D SERVICES</w:t>
            </w:r>
          </w:p>
        </w:tc>
        <w:tc>
          <w:tcPr>
            <w:tcW w:w="109"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120"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26,399</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13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25,771</w:t>
            </w:r>
          </w:p>
        </w:tc>
        <w:tc>
          <w:tcPr>
            <w:tcW w:w="120"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53,646</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15,658</w:t>
            </w:r>
          </w:p>
        </w:tc>
        <w:tc>
          <w:tcPr>
            <w:tcW w:w="13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19,896</w:t>
            </w:r>
          </w:p>
        </w:tc>
      </w:tr>
      <w:tr>
        <w:trPr/>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109"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(14,050)</w:t>
            </w:r>
          </w:p>
        </w:tc>
        <w:tc>
          <w:tcPr>
            <w:tcW w:w="120"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(11,889)</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(5,870)</w:t>
            </w:r>
          </w:p>
        </w:tc>
        <w:tc>
          <w:tcPr>
            <w:tcW w:w="13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(7,762)</w:t>
            </w:r>
          </w:p>
        </w:tc>
      </w:tr>
      <w:tr>
        <w:trPr/>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 NET</w:t>
            </w:r>
          </w:p>
        </w:tc>
        <w:tc>
          <w:tcPr>
            <w:tcW w:w="109"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(9,467)</w:t>
            </w:r>
          </w:p>
        </w:tc>
        <w:tc>
          <w:tcPr>
            <w:tcW w:w="120"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(9,777)</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(5,992)</w:t>
            </w:r>
          </w:p>
        </w:tc>
        <w:tc>
          <w:tcPr>
            <w:tcW w:w="13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(4,351)</w:t>
            </w:r>
          </w:p>
        </w:tc>
      </w:tr>
      <w:tr>
        <w:trPr/>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(5,227)</w:t>
            </w:r>
          </w:p>
        </w:tc>
        <w:tc>
          <w:tcPr>
            <w:tcW w:w="120"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(6,162)</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w:t>
            </w:r>
          </w:p>
        </w:tc>
        <w:tc>
          <w:tcPr>
            <w:tcW w:w="13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(3,111)</w:t>
            </w:r>
          </w:p>
        </w:tc>
      </w:tr>
      <w:tr>
        <w:trPr/>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w:t>
            </w:r>
          </w:p>
        </w:tc>
        <w:tc>
          <w:tcPr>
            <w:tcW w:w="120"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25,818</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w:t>
            </w:r>
          </w:p>
        </w:tc>
        <w:tc>
          <w:tcPr>
            <w:tcW w:w="13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4,672</w:t>
            </w:r>
          </w:p>
        </w:tc>
      </w:tr>
      <w:tr>
        <w:trPr/>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EXPENSES</w:t>
            </w:r>
          </w:p>
        </w:tc>
        <w:tc>
          <w:tcPr>
            <w:tcW w:w="109"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120"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c>
          <w:tcPr>
            <w:tcW w:w="13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109"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120"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13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r>
      <w:tr>
        <w:trPr/>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 (EXPENSES), NET</w:t>
            </w:r>
          </w:p>
        </w:tc>
        <w:tc>
          <w:tcPr>
            <w:tcW w:w="109"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120"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13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TAXES ON INCOME</w:t>
            </w:r>
          </w:p>
        </w:tc>
        <w:tc>
          <w:tcPr>
            <w:tcW w:w="109"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(3,071)</w:t>
            </w:r>
          </w:p>
        </w:tc>
        <w:tc>
          <w:tcPr>
            <w:tcW w:w="120"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26,001</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13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4,860</w:t>
            </w:r>
          </w:p>
        </w:tc>
      </w:tr>
      <w:tr>
        <w:trPr/>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ON INCOME</w:t>
            </w:r>
          </w:p>
        </w:tc>
        <w:tc>
          <w:tcPr>
            <w:tcW w:w="109"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120"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3,907</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13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r>
      <w:tr>
        <w:trPr/>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8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(3,455)</w:t>
            </w:r>
          </w:p>
        </w:tc>
        <w:tc>
          <w:tcPr>
            <w:tcW w:w="120"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8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22,094</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3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3,777</w:t>
            </w:r>
          </w:p>
        </w:tc>
      </w:tr>
    </w:tbl>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b/>
          <w:i/>
          <w:sz w:val="20"/>
        </w:rPr>
      </w:pPr>
      <w:r>
        <w:rPr>
          <w:rFonts w:ascii="Times New Roman;Times;serif" w:hAnsi="Times New Roman;Times;serif"/>
          <w:b/>
          <w:i/>
          <w:sz w:val="20"/>
        </w:rPr>
        <w:t>Three and six months ended June 30, 2026 compared to the three and six months ended June 30, 2025</w:t>
      </w:r>
    </w:p>
    <w:p>
      <w:pPr>
        <w:pStyle w:val="TextBody"/>
        <w:bidi w:val="0"/>
        <w:spacing w:before="0" w:after="200"/>
        <w:ind w:left="1440" w:right="0" w:hanging="0"/>
        <w:jc w:val="left"/>
        <w:rPr>
          <w:rFonts w:ascii="Times New Roman;Times;serif" w:hAnsi="Times New Roman;Times;serif"/>
          <w:i/>
          <w:sz w:val="20"/>
        </w:rPr>
      </w:pPr>
      <w:r>
        <w:rPr>
          <w:rFonts w:ascii="Times New Roman;Times;serif" w:hAnsi="Times New Roman;Times;serif"/>
          <w:i/>
          <w:sz w:val="20"/>
        </w:rPr>
        <w:t>Revenues from Selling Goods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Revenues from selling goods consisted of the following:</w:t>
      </w:r>
    </w:p>
    <w:tbl>
      <w:tblPr>
        <w:tblW w:w="10205" w:type="dxa"/>
        <w:jc w:val="left"/>
        <w:tblInd w:w="0" w:type="dxa"/>
        <w:tblLayout w:type="fixed"/>
        <w:tblCellMar>
          <w:top w:w="0" w:type="dxa"/>
          <w:left w:w="0" w:type="dxa"/>
          <w:bottom w:w="0" w:type="dxa"/>
          <w:right w:w="0" w:type="dxa"/>
        </w:tblCellMar>
      </w:tblPr>
      <w:tblGrid>
        <w:gridCol w:w="2621"/>
        <w:gridCol w:w="109"/>
        <w:gridCol w:w="211"/>
        <w:gridCol w:w="676"/>
        <w:gridCol w:w="346"/>
        <w:gridCol w:w="211"/>
        <w:gridCol w:w="676"/>
        <w:gridCol w:w="346"/>
        <w:gridCol w:w="252"/>
        <w:gridCol w:w="822"/>
        <w:gridCol w:w="346"/>
        <w:gridCol w:w="211"/>
        <w:gridCol w:w="676"/>
        <w:gridCol w:w="346"/>
        <w:gridCol w:w="211"/>
        <w:gridCol w:w="676"/>
        <w:gridCol w:w="346"/>
        <w:gridCol w:w="251"/>
        <w:gridCol w:w="872"/>
      </w:tblGrid>
      <w:tr>
        <w:trPr/>
        <w:tc>
          <w:tcPr>
            <w:tcW w:w="2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664335" cy="175260"/>
                      <wp:effectExtent l="0" t="0" r="0" b="0"/>
                      <wp:wrapNone/>
                      <wp:docPr id="139" name="Frame139"/>
                      <a:graphic xmlns:a="http://schemas.openxmlformats.org/drawingml/2006/main">
                        <a:graphicData uri="http://schemas.microsoft.com/office/word/2010/wordprocessingShape">
                          <wps:wsp>
                            <wps:cNvSpPr txBox="1"/>
                            <wps:spPr>
                              <a:xfrm>
                                <a:off x="0" y="0"/>
                                <a:ext cx="166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29260" cy="175260"/>
                      <wp:effectExtent l="0" t="0" r="0" b="0"/>
                      <wp:wrapNone/>
                      <wp:docPr id="142" name="Frame1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29260" cy="175260"/>
                      <wp:effectExtent l="0" t="0" r="0" b="0"/>
                      <wp:wrapNone/>
                      <wp:docPr id="145" name="Frame1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60020" cy="175260"/>
                      <wp:effectExtent l="0" t="0" r="0" b="0"/>
                      <wp:wrapNone/>
                      <wp:docPr id="147" name="Frame14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21970" cy="175260"/>
                      <wp:effectExtent l="0" t="0" r="0" b="0"/>
                      <wp:wrapNone/>
                      <wp:docPr id="148" name="Frame148"/>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29260" cy="175260"/>
                      <wp:effectExtent l="0" t="0" r="0" b="0"/>
                      <wp:wrapNone/>
                      <wp:docPr id="151" name="Frame1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29260" cy="175260"/>
                      <wp:effectExtent l="0" t="0" r="0" b="0"/>
                      <wp:wrapNone/>
                      <wp:docPr id="154" name="Frame1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59385" cy="175260"/>
                      <wp:effectExtent l="0" t="0" r="0" b="0"/>
                      <wp:wrapNone/>
                      <wp:docPr id="156" name="Frame156"/>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53720" cy="175260"/>
                      <wp:effectExtent l="0" t="0" r="0" b="0"/>
                      <wp:wrapNone/>
                      <wp:docPr id="157" name="Frame157"/>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1" w:type="dxa"/>
            <w:tcBorders/>
            <w:vAlign w:val="center"/>
          </w:tcPr>
          <w:p>
            <w:pPr>
              <w:pStyle w:val="TableContents"/>
              <w:bidi w:val="0"/>
              <w:spacing w:before="0" w:after="0"/>
              <w:ind w:left="0" w:right="0" w:hanging="0"/>
              <w:jc w:val="left"/>
              <w:rPr>
                <w:color w:val="009999"/>
              </w:rPr>
            </w:pPr>
            <w:r>
              <w:rPr>
                <w:color w:val="009999"/>
              </w:rPr>
              <w:t>​</w:t>
            </w:r>
          </w:p>
        </w:tc>
        <w:tc>
          <w:tcPr>
            <w:tcW w:w="109" w:type="dxa"/>
            <w:tcBorders/>
            <w:vAlign w:val="center"/>
          </w:tcPr>
          <w:p>
            <w:pPr>
              <w:pStyle w:val="TableContents"/>
              <w:bidi w:val="0"/>
              <w:spacing w:before="0" w:after="0"/>
              <w:ind w:left="0" w:right="0" w:hanging="0"/>
              <w:jc w:val="left"/>
              <w:rPr/>
            </w:pPr>
            <w:r>
              <w:rPr/>
              <w:t>​</w:t>
            </w:r>
          </w:p>
        </w:tc>
        <w:tc>
          <w:tcPr>
            <w:tcW w:w="354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 </w:t>
            </w:r>
          </w:p>
        </w:tc>
        <w:tc>
          <w:tcPr>
            <w:tcW w:w="358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26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(U.S. dollars in thousands)</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1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2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Pfizer</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12,626</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5,731</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5,647</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4,279</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w:t>
            </w:r>
          </w:p>
        </w:tc>
      </w:tr>
      <w:tr>
        <w:trPr/>
        <w:tc>
          <w:tcPr>
            <w:tcW w:w="2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Fiocruz</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346" w:type="dxa"/>
            <w:tcBorders/>
            <w:vAlign w:val="center"/>
          </w:tcPr>
          <w:p>
            <w:pPr>
              <w:pStyle w:val="TableContents"/>
              <w:bidi w:val="0"/>
              <w:spacing w:before="0" w:after="0"/>
              <w:ind w:left="0" w:right="0" w:hanging="0"/>
              <w:jc w:val="left"/>
              <w:rPr>
                <w:color w:val="009999"/>
              </w:rPr>
            </w:pPr>
            <w:r>
              <w:rPr>
                <w:color w:val="009999"/>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w:t>
            </w:r>
          </w:p>
        </w:tc>
        <w:tc>
          <w:tcPr>
            <w:tcW w:w="346" w:type="dxa"/>
            <w:tcBorders/>
            <w:vAlign w:val="center"/>
          </w:tcPr>
          <w:p>
            <w:pPr>
              <w:pStyle w:val="TableContents"/>
              <w:bidi w:val="0"/>
              <w:spacing w:before="0" w:after="0"/>
              <w:ind w:left="0" w:right="0" w:hanging="0"/>
              <w:jc w:val="left"/>
              <w:rPr>
                <w:color w:val="009999"/>
              </w:rPr>
            </w:pPr>
            <w:r>
              <w:rPr>
                <w:color w:val="009999"/>
              </w:rPr>
              <w:t>​</w:t>
            </w:r>
          </w:p>
        </w:tc>
        <w:tc>
          <w:tcPr>
            <w:tcW w:w="252"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Helvetica;sans-serif" w:hAnsi="Helvetica;sans-serif"/>
                <w:sz w:val="22"/>
              </w:rPr>
            </w:pPr>
            <w:r>
              <w:rPr>
                <w:rFonts w:ascii="Helvetica;sans-serif" w:hAnsi="Helvetica;sans-serif"/>
                <w:sz w:val="22"/>
              </w:rPr>
              <w:t>-</w:t>
            </w:r>
          </w:p>
        </w:tc>
        <w:tc>
          <w:tcPr>
            <w:tcW w:w="346" w:type="dxa"/>
            <w:tcBorders/>
            <w:vAlign w:val="center"/>
          </w:tcPr>
          <w:p>
            <w:pPr>
              <w:pStyle w:val="TableContents"/>
              <w:bidi w:val="0"/>
              <w:spacing w:before="0" w:after="0"/>
              <w:ind w:left="0" w:right="0" w:hanging="0"/>
              <w:jc w:val="left"/>
              <w:rPr>
                <w:color w:val="009999"/>
              </w:rPr>
            </w:pPr>
            <w:r>
              <w:rPr>
                <w:color w:val="009999"/>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w:t>
            </w:r>
          </w:p>
        </w:tc>
        <w:tc>
          <w:tcPr>
            <w:tcW w:w="346" w:type="dxa"/>
            <w:tcBorders/>
            <w:vAlign w:val="center"/>
          </w:tcPr>
          <w:p>
            <w:pPr>
              <w:pStyle w:val="TableContents"/>
              <w:bidi w:val="0"/>
              <w:spacing w:before="0" w:after="0"/>
              <w:ind w:left="0" w:right="0" w:hanging="0"/>
              <w:jc w:val="left"/>
              <w:rPr>
                <w:color w:val="009999"/>
              </w:rPr>
            </w:pPr>
            <w:r>
              <w:rPr>
                <w:color w:val="009999"/>
              </w:rPr>
              <w:t>​</w:t>
            </w:r>
          </w:p>
        </w:tc>
        <w:tc>
          <w:tcPr>
            <w:tcW w:w="25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w:t>
            </w:r>
          </w:p>
        </w:tc>
      </w:tr>
      <w:tr>
        <w:trPr/>
        <w:tc>
          <w:tcPr>
            <w:tcW w:w="2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Chiesi</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9,793</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17,548</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9,793</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14,035</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4,242</w:t>
            </w:r>
          </w:p>
        </w:tc>
      </w:tr>
      <w:tr>
        <w:trPr/>
        <w:tc>
          <w:tcPr>
            <w:tcW w:w="2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from selling goods</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27,247</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19,828</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7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4,388</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Revenues from selling goods for the three and six months ended June 30, 2026 reflects an increase of 28% and 7% compared to the three and six months ended June 30, 2025, respectively. The total increase in revenues from selling goods for the three and six months ended June 30, 2026 resulted primarily from an increase in sales to Chiesi. The decrease in sales to Pfizer resulted primarily from Pfizer’s purchases to address unexpected manufacturing issues at Pfizer in 2025. The increase in sales to Fiocruz (Brazil) resulted primarily from the timing of deliveries. </w:t>
      </w:r>
    </w:p>
    <w:p>
      <w:pPr>
        <w:pStyle w:val="TextBody"/>
        <w:bidi w:val="0"/>
        <w:spacing w:before="0" w:after="200"/>
        <w:ind w:left="1440" w:right="0" w:hanging="0"/>
        <w:jc w:val="left"/>
        <w:rPr>
          <w:rFonts w:ascii="Times New Roman;Times;serif" w:hAnsi="Times New Roman;Times;serif"/>
          <w:i/>
          <w:sz w:val="20"/>
        </w:rPr>
      </w:pPr>
      <w:r>
        <w:rPr>
          <w:rFonts w:ascii="Times New Roman;Times;serif" w:hAnsi="Times New Roman;Times;serif"/>
          <w:i/>
          <w:sz w:val="20"/>
        </w:rPr>
        <w:t>Revenues from License and R&amp;D Services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Revenues from license and R&amp;D services were as follows:</w:t>
      </w:r>
    </w:p>
    <w:tbl>
      <w:tblPr>
        <w:tblW w:w="10205" w:type="dxa"/>
        <w:jc w:val="left"/>
        <w:tblInd w:w="0" w:type="dxa"/>
        <w:tblLayout w:type="fixed"/>
        <w:tblCellMar>
          <w:top w:w="0" w:type="dxa"/>
          <w:left w:w="0" w:type="dxa"/>
          <w:bottom w:w="0" w:type="dxa"/>
          <w:right w:w="0" w:type="dxa"/>
        </w:tblCellMar>
      </w:tblPr>
      <w:tblGrid>
        <w:gridCol w:w="3428"/>
        <w:gridCol w:w="109"/>
        <w:gridCol w:w="211"/>
        <w:gridCol w:w="421"/>
        <w:gridCol w:w="346"/>
        <w:gridCol w:w="211"/>
        <w:gridCol w:w="676"/>
        <w:gridCol w:w="346"/>
        <w:gridCol w:w="263"/>
        <w:gridCol w:w="844"/>
        <w:gridCol w:w="346"/>
        <w:gridCol w:w="211"/>
        <w:gridCol w:w="421"/>
        <w:gridCol w:w="346"/>
        <w:gridCol w:w="211"/>
        <w:gridCol w:w="316"/>
        <w:gridCol w:w="346"/>
        <w:gridCol w:w="305"/>
        <w:gridCol w:w="848"/>
      </w:tblGrid>
      <w:tr>
        <w:trPr/>
        <w:tc>
          <w:tcPr>
            <w:tcW w:w="3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76780" cy="175260"/>
                      <wp:effectExtent l="0" t="0" r="0" b="0"/>
                      <wp:wrapNone/>
                      <wp:docPr id="158" name="Frame158"/>
                      <a:graphic xmlns:a="http://schemas.openxmlformats.org/drawingml/2006/main">
                        <a:graphicData uri="http://schemas.microsoft.com/office/word/2010/wordprocessingShape">
                          <wps:wsp>
                            <wps:cNvSpPr txBox="1"/>
                            <wps:spPr>
                              <a:xfrm>
                                <a:off x="0" y="0"/>
                                <a:ext cx="2176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260"/>
                      <wp:effectExtent l="0" t="0" r="0" b="0"/>
                      <wp:wrapNone/>
                      <wp:docPr id="159"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67335" cy="175260"/>
                      <wp:effectExtent l="0" t="0" r="0" b="0"/>
                      <wp:wrapNone/>
                      <wp:docPr id="161" name="Frame16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29260" cy="175260"/>
                      <wp:effectExtent l="0" t="0" r="0" b="0"/>
                      <wp:wrapNone/>
                      <wp:docPr id="164" name="Frame1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67005" cy="175260"/>
                      <wp:effectExtent l="0" t="0" r="0" b="0"/>
                      <wp:wrapNone/>
                      <wp:docPr id="166" name="Frame16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35940" cy="175260"/>
                      <wp:effectExtent l="0" t="0" r="0" b="0"/>
                      <wp:wrapNone/>
                      <wp:docPr id="167" name="Frame167"/>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67335" cy="175260"/>
                      <wp:effectExtent l="0" t="0" r="0" b="0"/>
                      <wp:wrapNone/>
                      <wp:docPr id="170" name="Frame17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0660" cy="175260"/>
                      <wp:effectExtent l="0" t="0" r="0" b="0"/>
                      <wp:wrapNone/>
                      <wp:docPr id="173" name="Frame17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93675" cy="175260"/>
                      <wp:effectExtent l="0" t="0" r="0" b="0"/>
                      <wp:wrapNone/>
                      <wp:docPr id="175" name="Frame175"/>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38480" cy="175260"/>
                      <wp:effectExtent l="0" t="0" r="0" b="0"/>
                      <wp:wrapNone/>
                      <wp:docPr id="176" name="Frame176"/>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8" w:type="dxa"/>
            <w:tcBorders/>
            <w:vAlign w:val="center"/>
          </w:tcPr>
          <w:p>
            <w:pPr>
              <w:pStyle w:val="TableContents"/>
              <w:bidi w:val="0"/>
              <w:spacing w:before="0" w:after="0"/>
              <w:ind w:left="0" w:right="0" w:hanging="0"/>
              <w:jc w:val="left"/>
              <w:rPr>
                <w:color w:val="009999"/>
              </w:rPr>
            </w:pPr>
            <w:r>
              <w:rPr>
                <w:color w:val="009999"/>
              </w:rPr>
              <w:t>​</w:t>
            </w:r>
          </w:p>
        </w:tc>
        <w:tc>
          <w:tcPr>
            <w:tcW w:w="109" w:type="dxa"/>
            <w:tcBorders/>
            <w:vAlign w:val="center"/>
          </w:tcPr>
          <w:p>
            <w:pPr>
              <w:pStyle w:val="TableContents"/>
              <w:bidi w:val="0"/>
              <w:spacing w:before="0" w:after="0"/>
              <w:ind w:left="0" w:right="0" w:hanging="0"/>
              <w:jc w:val="left"/>
              <w:rPr/>
            </w:pPr>
            <w:r>
              <w:rPr/>
              <w:t>​</w:t>
            </w:r>
          </w:p>
        </w:tc>
        <w:tc>
          <w:tcPr>
            <w:tcW w:w="33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  ​ ​ ​</w:t>
            </w:r>
          </w:p>
        </w:tc>
        <w:tc>
          <w:tcPr>
            <w:tcW w:w="300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4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(U.S. dollars in thousands)</w:t>
            </w:r>
          </w:p>
        </w:tc>
        <w:tc>
          <w:tcPr>
            <w:tcW w:w="109" w:type="dxa"/>
            <w:tcBorders/>
            <w:vAlign w:val="center"/>
          </w:tcPr>
          <w:p>
            <w:pPr>
              <w:pStyle w:val="TableContents"/>
              <w:bidi w:val="0"/>
              <w:spacing w:before="0" w:after="0"/>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c>
          <w:tcPr>
            <w:tcW w:w="34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11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34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license and R&amp;D services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26,399</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34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decrease in revenues from license and R&amp;D services for the three months ended June 30, 2026 compared to the three months ended June 30, 2025 resulted from a decrease in the amount of services provided to Chiesi. The increase in revenues from license and R&amp;D services for the six months ended June 30, 2026 compared to the six months ended June 30, 2025 resulted from the $25.0 million milestone we received from Chiesi in connection with the approval of the E4W dosage in the EU in the first quarter of 2026. </w:t>
      </w:r>
      <w:r>
        <w:rPr>
          <w:rFonts w:ascii="Times New Roman;Times;serif" w:hAnsi="Times New Roman;Times;serif"/>
          <w:color w:val="212529"/>
          <w:sz w:val="20"/>
          <w:shd w:fill="FFFFFF" w:val="clear"/>
        </w:rPr>
        <w:t xml:space="preserve">Revenues </w:t>
      </w:r>
      <w:r>
        <w:rPr>
          <w:rFonts w:ascii="Times New Roman;Times;serif" w:hAnsi="Times New Roman;Times;serif"/>
          <w:sz w:val="20"/>
        </w:rPr>
        <w:t xml:space="preserve">from license and R&amp;D services are comprised primarily of revenues we recognized in connection with the Chiesi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Agreements. Other than potential regulatory milestone payments that may become payable, we expect to generate minimal revenues from license and R&amp;D services now that we have completed the clinical development of Elfabrio.</w:t>
      </w:r>
    </w:p>
    <w:p>
      <w:pPr>
        <w:pStyle w:val="TextBody"/>
        <w:bidi w:val="0"/>
        <w:spacing w:before="0" w:after="200"/>
        <w:ind w:left="1440" w:right="0" w:hanging="0"/>
        <w:jc w:val="left"/>
        <w:rPr>
          <w:rFonts w:ascii="Times New Roman;Times;serif" w:hAnsi="Times New Roman;Times;serif"/>
          <w:i/>
          <w:sz w:val="20"/>
        </w:rPr>
      </w:pPr>
      <w:r>
        <w:rPr>
          <w:rFonts w:ascii="Times New Roman;Times;serif" w:hAnsi="Times New Roman;Times;serif"/>
          <w:i/>
          <w:sz w:val="20"/>
        </w:rPr>
        <w:t>Cost of Revenues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Cost of revenues were as follows:</w:t>
      </w:r>
    </w:p>
    <w:tbl>
      <w:tblPr>
        <w:tblW w:w="9438" w:type="dxa"/>
        <w:jc w:val="left"/>
        <w:tblInd w:w="0" w:type="dxa"/>
        <w:tblLayout w:type="fixed"/>
        <w:tblCellMar>
          <w:top w:w="0" w:type="dxa"/>
          <w:left w:w="0" w:type="dxa"/>
          <w:bottom w:w="0" w:type="dxa"/>
          <w:right w:w="0" w:type="dxa"/>
        </w:tblCellMar>
      </w:tblPr>
      <w:tblGrid>
        <w:gridCol w:w="1996"/>
        <w:gridCol w:w="109"/>
        <w:gridCol w:w="211"/>
        <w:gridCol w:w="676"/>
        <w:gridCol w:w="346"/>
        <w:gridCol w:w="211"/>
        <w:gridCol w:w="676"/>
        <w:gridCol w:w="346"/>
        <w:gridCol w:w="259"/>
        <w:gridCol w:w="851"/>
        <w:gridCol w:w="346"/>
        <w:gridCol w:w="211"/>
        <w:gridCol w:w="571"/>
        <w:gridCol w:w="346"/>
        <w:gridCol w:w="211"/>
        <w:gridCol w:w="571"/>
        <w:gridCol w:w="346"/>
        <w:gridCol w:w="274"/>
        <w:gridCol w:w="88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67460" cy="175260"/>
                      <wp:effectExtent l="0" t="0" r="0" b="0"/>
                      <wp:wrapNone/>
                      <wp:docPr id="177" name="Frame177"/>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29260" cy="175260"/>
                      <wp:effectExtent l="0" t="0" r="0" b="0"/>
                      <wp:wrapNone/>
                      <wp:docPr id="180" name="Frame1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29260" cy="175260"/>
                      <wp:effectExtent l="0" t="0" r="0" b="0"/>
                      <wp:wrapNone/>
                      <wp:docPr id="183" name="Frame1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64465" cy="175260"/>
                      <wp:effectExtent l="0" t="0" r="0" b="0"/>
                      <wp:wrapNone/>
                      <wp:docPr id="185" name="Frame185"/>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40385" cy="175260"/>
                      <wp:effectExtent l="0" t="0" r="0" b="0"/>
                      <wp:wrapNone/>
                      <wp:docPr id="186" name="Frame186"/>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62585" cy="175260"/>
                      <wp:effectExtent l="0" t="0" r="0" b="0"/>
                      <wp:wrapNone/>
                      <wp:docPr id="189" name="Frame1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62585" cy="175260"/>
                      <wp:effectExtent l="0" t="0" r="0" b="0"/>
                      <wp:wrapNone/>
                      <wp:docPr id="192" name="Frame19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73990" cy="175260"/>
                      <wp:effectExtent l="0" t="0" r="0" b="0"/>
                      <wp:wrapNone/>
                      <wp:docPr id="194" name="Frame19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59435" cy="175260"/>
                      <wp:effectExtent l="0" t="0" r="0" b="0"/>
                      <wp:wrapNone/>
                      <wp:docPr id="195" name="Frame195"/>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color w:val="009999"/>
              </w:rPr>
            </w:pPr>
            <w:r>
              <w:rPr>
                <w:color w:val="009999"/>
              </w:rPr>
              <w:t>​</w:t>
            </w:r>
          </w:p>
        </w:tc>
        <w:tc>
          <w:tcPr>
            <w:tcW w:w="109" w:type="dxa"/>
            <w:tcBorders/>
            <w:vAlign w:val="center"/>
          </w:tcPr>
          <w:p>
            <w:pPr>
              <w:pStyle w:val="TableContents"/>
              <w:bidi w:val="0"/>
              <w:spacing w:before="0" w:after="0"/>
              <w:ind w:left="0" w:right="0" w:hanging="0"/>
              <w:jc w:val="left"/>
              <w:rPr/>
            </w:pPr>
            <w:r>
              <w:rPr/>
              <w:t>​</w:t>
            </w:r>
          </w:p>
        </w:tc>
        <w:tc>
          <w:tcPr>
            <w:tcW w:w="357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  ​ ​ ​</w:t>
            </w:r>
          </w:p>
        </w:tc>
        <w:tc>
          <w:tcPr>
            <w:tcW w:w="341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1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(U.S. dollars in thousands)</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c>
          <w:tcPr>
            <w:tcW w:w="34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14,050</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11,889</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5,870</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7,762</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1,892</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Cost of revenues for the three months ended June 30, 2026 represents an increase of 32% compared to the three months ended June 30, 2025. The increase resulted primarily from an increase in sales to Chiesi and to Fiocruz (Brazil) which was partially offset by a decrease in sales to Pfizer. Cost of revenues for the six months ended June 30, 2026 represents a decrease of 15% compared to the six months ended June 30, 2025. The decrease resulted primarily from a decrease in sales to Pfizer which was partially offset by an increase in sales to Chiesi and to Fiocruz (Brazil).</w:t>
      </w:r>
    </w:p>
    <w:p>
      <w:pPr>
        <w:pStyle w:val="TextBody"/>
        <w:bidi w:val="0"/>
        <w:spacing w:before="0" w:after="200"/>
        <w:ind w:left="144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Research and development expenses were as follows:</w:t>
      </w:r>
    </w:p>
    <w:tbl>
      <w:tblPr>
        <w:tblW w:w="10205" w:type="dxa"/>
        <w:jc w:val="left"/>
        <w:tblInd w:w="0" w:type="dxa"/>
        <w:tblLayout w:type="fixed"/>
        <w:tblCellMar>
          <w:top w:w="0" w:type="dxa"/>
          <w:left w:w="0" w:type="dxa"/>
          <w:bottom w:w="0" w:type="dxa"/>
          <w:right w:w="0" w:type="dxa"/>
        </w:tblCellMar>
      </w:tblPr>
      <w:tblGrid>
        <w:gridCol w:w="2952"/>
        <w:gridCol w:w="109"/>
        <w:gridCol w:w="211"/>
        <w:gridCol w:w="571"/>
        <w:gridCol w:w="346"/>
        <w:gridCol w:w="211"/>
        <w:gridCol w:w="670"/>
        <w:gridCol w:w="346"/>
        <w:gridCol w:w="242"/>
        <w:gridCol w:w="777"/>
        <w:gridCol w:w="346"/>
        <w:gridCol w:w="211"/>
        <w:gridCol w:w="571"/>
        <w:gridCol w:w="346"/>
        <w:gridCol w:w="211"/>
        <w:gridCol w:w="670"/>
        <w:gridCol w:w="346"/>
        <w:gridCol w:w="241"/>
        <w:gridCol w:w="828"/>
      </w:tblGrid>
      <w:tr>
        <w:trPr/>
        <w:tc>
          <w:tcPr>
            <w:tcW w:w="2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874520" cy="175260"/>
                      <wp:effectExtent l="0" t="0" r="0" b="0"/>
                      <wp:wrapNone/>
                      <wp:docPr id="196" name="Frame196"/>
                      <a:graphic xmlns:a="http://schemas.openxmlformats.org/drawingml/2006/main">
                        <a:graphicData uri="http://schemas.microsoft.com/office/word/2010/wordprocessingShape">
                          <wps:wsp>
                            <wps:cNvSpPr txBox="1"/>
                            <wps:spPr>
                              <a:xfrm>
                                <a:off x="0" y="0"/>
                                <a:ext cx="187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7"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62585" cy="175260"/>
                      <wp:effectExtent l="0" t="0" r="0" b="0"/>
                      <wp:wrapNone/>
                      <wp:docPr id="199" name="Frame19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25450" cy="175260"/>
                      <wp:effectExtent l="0" t="0" r="0" b="0"/>
                      <wp:wrapNone/>
                      <wp:docPr id="202" name="Frame202"/>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53670" cy="175260"/>
                      <wp:effectExtent l="0" t="0" r="0" b="0"/>
                      <wp:wrapNone/>
                      <wp:docPr id="204" name="Frame20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93395" cy="175260"/>
                      <wp:effectExtent l="0" t="0" r="0" b="0"/>
                      <wp:wrapNone/>
                      <wp:docPr id="205" name="Frame205"/>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62585" cy="175260"/>
                      <wp:effectExtent l="0" t="0" r="0" b="0"/>
                      <wp:wrapNone/>
                      <wp:docPr id="208" name="Frame20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25450" cy="175260"/>
                      <wp:effectExtent l="0" t="0" r="0" b="0"/>
                      <wp:wrapNone/>
                      <wp:docPr id="211" name="Frame211"/>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53035" cy="175260"/>
                      <wp:effectExtent l="0" t="0" r="0" b="0"/>
                      <wp:wrapNone/>
                      <wp:docPr id="213" name="Frame21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25780" cy="175260"/>
                      <wp:effectExtent l="0" t="0" r="0" b="0"/>
                      <wp:wrapNone/>
                      <wp:docPr id="214" name="Frame214"/>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2" w:type="dxa"/>
            <w:tcBorders/>
            <w:vAlign w:val="center"/>
          </w:tcPr>
          <w:p>
            <w:pPr>
              <w:pStyle w:val="TableContents"/>
              <w:bidi w:val="0"/>
              <w:spacing w:before="0" w:after="0"/>
              <w:ind w:left="0" w:right="0" w:hanging="0"/>
              <w:jc w:val="left"/>
              <w:rPr>
                <w:color w:val="009999"/>
              </w:rPr>
            </w:pPr>
            <w:r>
              <w:rPr>
                <w:color w:val="009999"/>
              </w:rPr>
              <w:t>​</w:t>
            </w:r>
          </w:p>
        </w:tc>
        <w:tc>
          <w:tcPr>
            <w:tcW w:w="109" w:type="dxa"/>
            <w:tcBorders/>
            <w:vAlign w:val="center"/>
          </w:tcPr>
          <w:p>
            <w:pPr>
              <w:pStyle w:val="TableContents"/>
              <w:bidi w:val="0"/>
              <w:spacing w:before="0" w:after="0"/>
              <w:ind w:left="0" w:right="0" w:hanging="0"/>
              <w:jc w:val="left"/>
              <w:rPr/>
            </w:pPr>
            <w:r>
              <w:rPr/>
              <w:t>​</w:t>
            </w:r>
          </w:p>
        </w:tc>
        <w:tc>
          <w:tcPr>
            <w:tcW w:w="337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  ​ ​ ​</w:t>
            </w:r>
          </w:p>
        </w:tc>
        <w:tc>
          <w:tcPr>
            <w:tcW w:w="342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29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(U.S. dollars in thousands)</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8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c>
          <w:tcPr>
            <w:tcW w:w="34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8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Salary and related expenses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3,940</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5,823</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3,061</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Subcontractor-related expenses</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3,812</w:t>
            </w:r>
          </w:p>
        </w:tc>
        <w:tc>
          <w:tcPr>
            <w:tcW w:w="346" w:type="dxa"/>
            <w:tcBorders/>
            <w:vAlign w:val="center"/>
          </w:tcPr>
          <w:p>
            <w:pPr>
              <w:pStyle w:val="TableContents"/>
              <w:bidi w:val="0"/>
              <w:spacing w:before="0" w:after="0"/>
              <w:ind w:left="0" w:right="0" w:hanging="0"/>
              <w:jc w:val="left"/>
              <w:rPr>
                <w:color w:val="009999"/>
              </w:rPr>
            </w:pPr>
            <w:r>
              <w:rPr>
                <w:color w:val="009999"/>
              </w:rPr>
              <w:t>​</w:t>
            </w:r>
          </w:p>
        </w:tc>
        <w:tc>
          <w:tcPr>
            <w:tcW w:w="211"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3,575</w:t>
            </w:r>
          </w:p>
        </w:tc>
        <w:tc>
          <w:tcPr>
            <w:tcW w:w="346" w:type="dxa"/>
            <w:tcBorders/>
            <w:vAlign w:val="center"/>
          </w:tcPr>
          <w:p>
            <w:pPr>
              <w:pStyle w:val="TableContents"/>
              <w:bidi w:val="0"/>
              <w:spacing w:before="0" w:after="0"/>
              <w:ind w:left="0" w:right="0" w:hanging="0"/>
              <w:jc w:val="left"/>
              <w:rPr>
                <w:color w:val="009999"/>
              </w:rPr>
            </w:pPr>
            <w:r>
              <w:rPr>
                <w:color w:val="009999"/>
              </w:rPr>
              <w:t>​</w:t>
            </w:r>
          </w:p>
        </w:tc>
        <w:tc>
          <w:tcPr>
            <w:tcW w:w="242"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3,007</w:t>
            </w:r>
          </w:p>
        </w:tc>
        <w:tc>
          <w:tcPr>
            <w:tcW w:w="346" w:type="dxa"/>
            <w:tcBorders/>
            <w:vAlign w:val="center"/>
          </w:tcPr>
          <w:p>
            <w:pPr>
              <w:pStyle w:val="TableContents"/>
              <w:bidi w:val="0"/>
              <w:spacing w:before="0" w:after="0"/>
              <w:ind w:left="0" w:right="0" w:hanging="0"/>
              <w:jc w:val="left"/>
              <w:rPr>
                <w:color w:val="009999"/>
              </w:rPr>
            </w:pPr>
            <w:r>
              <w:rPr>
                <w:color w:val="009999"/>
              </w:rPr>
              <w:t>​</w:t>
            </w:r>
          </w:p>
        </w:tc>
        <w:tc>
          <w:tcPr>
            <w:tcW w:w="211"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w:t>
            </w:r>
          </w:p>
        </w:tc>
        <w:tc>
          <w:tcPr>
            <w:tcW w:w="346" w:type="dxa"/>
            <w:tcBorders/>
            <w:vAlign w:val="center"/>
          </w:tcPr>
          <w:p>
            <w:pPr>
              <w:pStyle w:val="TableContents"/>
              <w:bidi w:val="0"/>
              <w:spacing w:before="0" w:after="0"/>
              <w:ind w:left="0" w:right="0" w:hanging="0"/>
              <w:jc w:val="left"/>
              <w:rPr>
                <w:color w:val="009999"/>
              </w:rPr>
            </w:pPr>
            <w:r>
              <w:rPr>
                <w:color w:val="009999"/>
              </w:rPr>
              <w:t>​</w:t>
            </w:r>
          </w:p>
        </w:tc>
        <w:tc>
          <w:tcPr>
            <w:tcW w:w="241"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Materials-related expenses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w:t>
            </w:r>
          </w:p>
        </w:tc>
        <w:tc>
          <w:tcPr>
            <w:tcW w:w="346" w:type="dxa"/>
            <w:tcBorders/>
            <w:vAlign w:val="center"/>
          </w:tcPr>
          <w:p>
            <w:pPr>
              <w:pStyle w:val="TableContents"/>
              <w:bidi w:val="0"/>
              <w:spacing w:before="0" w:after="0"/>
              <w:ind w:left="0" w:right="0" w:hanging="0"/>
              <w:jc w:val="left"/>
              <w:rPr>
                <w:color w:val="009999"/>
              </w:rPr>
            </w:pPr>
            <w:r>
              <w:rPr>
                <w:color w:val="009999"/>
              </w:rPr>
              <w:t>​</w:t>
            </w:r>
          </w:p>
        </w:tc>
        <w:tc>
          <w:tcPr>
            <w:tcW w:w="211"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w:t>
            </w:r>
          </w:p>
        </w:tc>
        <w:tc>
          <w:tcPr>
            <w:tcW w:w="346" w:type="dxa"/>
            <w:tcBorders/>
            <w:vAlign w:val="center"/>
          </w:tcPr>
          <w:p>
            <w:pPr>
              <w:pStyle w:val="TableContents"/>
              <w:bidi w:val="0"/>
              <w:spacing w:before="0" w:after="0"/>
              <w:ind w:left="0" w:right="0" w:hanging="0"/>
              <w:jc w:val="left"/>
              <w:rPr>
                <w:color w:val="009999"/>
              </w:rPr>
            </w:pPr>
            <w:r>
              <w:rPr>
                <w:color w:val="009999"/>
              </w:rPr>
              <w:t>​</w:t>
            </w:r>
          </w:p>
        </w:tc>
        <w:tc>
          <w:tcPr>
            <w:tcW w:w="242"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w:t>
            </w:r>
          </w:p>
        </w:tc>
        <w:tc>
          <w:tcPr>
            <w:tcW w:w="346" w:type="dxa"/>
            <w:tcBorders/>
            <w:vAlign w:val="center"/>
          </w:tcPr>
          <w:p>
            <w:pPr>
              <w:pStyle w:val="TableContents"/>
              <w:bidi w:val="0"/>
              <w:spacing w:before="0" w:after="0"/>
              <w:ind w:left="0" w:right="0" w:hanging="0"/>
              <w:jc w:val="left"/>
              <w:rPr>
                <w:color w:val="009999"/>
              </w:rPr>
            </w:pPr>
            <w:r>
              <w:rPr>
                <w:color w:val="009999"/>
              </w:rPr>
              <w:t>​</w:t>
            </w:r>
          </w:p>
        </w:tc>
        <w:tc>
          <w:tcPr>
            <w:tcW w:w="211"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w:t>
            </w:r>
          </w:p>
        </w:tc>
        <w:tc>
          <w:tcPr>
            <w:tcW w:w="346" w:type="dxa"/>
            <w:tcBorders/>
            <w:vAlign w:val="center"/>
          </w:tcPr>
          <w:p>
            <w:pPr>
              <w:pStyle w:val="TableContents"/>
              <w:bidi w:val="0"/>
              <w:spacing w:before="0" w:after="0"/>
              <w:ind w:left="0" w:right="0" w:hanging="0"/>
              <w:jc w:val="left"/>
              <w:rPr>
                <w:color w:val="009999"/>
              </w:rPr>
            </w:pPr>
            <w:r>
              <w:rPr>
                <w:color w:val="009999"/>
              </w:rPr>
              <w:t>​</w:t>
            </w:r>
          </w:p>
        </w:tc>
        <w:tc>
          <w:tcPr>
            <w:tcW w:w="241"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 R&amp;D grant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9,777</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4,351</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r>
    </w:tbl>
    <w:p>
      <w:pPr>
        <w:pStyle w:val="TextBody"/>
        <w:bidi w:val="0"/>
        <w:spacing w:before="0" w:after="0"/>
        <w:ind w:left="0" w:right="0" w:hanging="0"/>
        <w:jc w:val="left"/>
        <w:rPr/>
      </w:pPr>
      <w:r>
        <w:rPr/>
        <w:t>​</w:t>
      </w:r>
    </w:p>
    <w:p>
      <w:pPr>
        <w:pStyle w:val="TextBody"/>
        <w:bidi w:val="0"/>
        <w:spacing w:before="0" w:after="240"/>
        <w:ind w:left="0" w:right="432" w:hanging="0"/>
        <w:jc w:val="left"/>
        <w:rPr>
          <w:rFonts w:ascii="Times New Roman;Times;serif" w:hAnsi="Times New Roman;Times;serif"/>
          <w:sz w:val="20"/>
        </w:rPr>
      </w:pPr>
      <w:r>
        <w:rPr>
          <w:rFonts w:ascii="Times New Roman;Times;serif" w:hAnsi="Times New Roman;Times;serif"/>
          <w:sz w:val="20"/>
        </w:rPr>
        <w:t>Total decrease in research and development expenses for the three months ended June 30, 2026 represents a decrease of 27% compared to the three months ended June 30, 2025. The decrease in research and development expenses resulted primarily from a $2.1 million grant recorded in accordance with the new R&amp;D law as a reduction of research and development expenses. The increase in research and development expenses for the six months ended June 30, 2026 represents an increase of 3% compared to the six months ended June 30, 2025. The increase resulted primarily from an increase in salary and related expenses, and was partially offset by the $2.1 million grant recorded in accordance with the new Israeli R&amp;D law as a reduction of research and development expenses.</w:t>
      </w:r>
    </w:p>
    <w:p>
      <w:pPr>
        <w:pStyle w:val="TextBody"/>
        <w:bidi w:val="0"/>
        <w:spacing w:before="0" w:after="200"/>
        <w:ind w:left="0" w:right="432" w:hanging="0"/>
        <w:jc w:val="left"/>
        <w:rPr>
          <w:rFonts w:ascii="Times New Roman;Times;serif" w:hAnsi="Times New Roman;Times;serif"/>
          <w:sz w:val="20"/>
        </w:rPr>
      </w:pPr>
      <w:r>
        <w:rPr>
          <w:rFonts w:ascii="Times New Roman;Times;serif" w:hAnsi="Times New Roman;Times;serif"/>
          <w:color w:val="212529"/>
          <w:sz w:val="20"/>
          <w:shd w:fill="FFFFFF" w:val="clear"/>
        </w:rPr>
        <w:t xml:space="preserve">We expect to continue to incur significant, increasing research and development expenses as we progress with the </w:t>
      </w:r>
      <w:r>
        <w:rPr>
          <w:rFonts w:ascii="Times New Roman;Times;serif" w:hAnsi="Times New Roman;Times;serif"/>
          <w:sz w:val="20"/>
        </w:rPr>
        <w:t>RELEASE study and commence </w:t>
      </w:r>
      <w:r>
        <w:rPr>
          <w:rFonts w:ascii="Times New Roman;Times;serif" w:hAnsi="Times New Roman;Times;serif"/>
          <w:color w:val="212529"/>
          <w:sz w:val="20"/>
          <w:shd w:fill="FFFFFF" w:val="clear"/>
        </w:rPr>
        <w:t>more advanced stages of preclinical and clinical trials for certain of our other product candidates.</w:t>
      </w:r>
    </w:p>
    <w:p>
      <w:pPr>
        <w:pStyle w:val="TextBody"/>
        <w:bidi w:val="0"/>
        <w:spacing w:before="0" w:after="200"/>
        <w:ind w:left="144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were as follows:</w:t>
      </w:r>
    </w:p>
    <w:tbl>
      <w:tblPr>
        <w:tblW w:w="9228" w:type="dxa"/>
        <w:jc w:val="left"/>
        <w:tblInd w:w="0" w:type="dxa"/>
        <w:tblLayout w:type="fixed"/>
        <w:tblCellMar>
          <w:top w:w="0" w:type="dxa"/>
          <w:left w:w="0" w:type="dxa"/>
          <w:bottom w:w="0" w:type="dxa"/>
          <w:right w:w="0" w:type="dxa"/>
        </w:tblCellMar>
      </w:tblPr>
      <w:tblGrid>
        <w:gridCol w:w="1996"/>
        <w:gridCol w:w="109"/>
        <w:gridCol w:w="211"/>
        <w:gridCol w:w="571"/>
        <w:gridCol w:w="346"/>
        <w:gridCol w:w="211"/>
        <w:gridCol w:w="571"/>
        <w:gridCol w:w="346"/>
        <w:gridCol w:w="370"/>
        <w:gridCol w:w="740"/>
        <w:gridCol w:w="346"/>
        <w:gridCol w:w="211"/>
        <w:gridCol w:w="571"/>
        <w:gridCol w:w="346"/>
        <w:gridCol w:w="211"/>
        <w:gridCol w:w="571"/>
        <w:gridCol w:w="346"/>
        <w:gridCol w:w="330"/>
        <w:gridCol w:w="825"/>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267460" cy="175260"/>
                      <wp:effectExtent l="0" t="0" r="0" b="0"/>
                      <wp:wrapNone/>
                      <wp:docPr id="215" name="Frame215"/>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62585" cy="175260"/>
                      <wp:effectExtent l="0" t="0" r="0" b="0"/>
                      <wp:wrapNone/>
                      <wp:docPr id="218" name="Frame21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62585" cy="175260"/>
                      <wp:effectExtent l="0" t="0" r="0" b="0"/>
                      <wp:wrapNone/>
                      <wp:docPr id="221" name="Frame2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34950" cy="175260"/>
                      <wp:effectExtent l="0" t="0" r="0" b="0"/>
                      <wp:wrapNone/>
                      <wp:docPr id="223" name="Frame223"/>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69900" cy="175260"/>
                      <wp:effectExtent l="0" t="0" r="0" b="0"/>
                      <wp:wrapNone/>
                      <wp:docPr id="224" name="Frame224"/>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62585" cy="175260"/>
                      <wp:effectExtent l="0" t="0" r="0" b="0"/>
                      <wp:wrapNone/>
                      <wp:docPr id="227" name="Frame2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9"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62585" cy="175260"/>
                      <wp:effectExtent l="0" t="0" r="0" b="0"/>
                      <wp:wrapNone/>
                      <wp:docPr id="230" name="Frame2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9550" cy="175260"/>
                      <wp:effectExtent l="0" t="0" r="0" b="0"/>
                      <wp:wrapNone/>
                      <wp:docPr id="232" name="Frame232"/>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23875" cy="175260"/>
                      <wp:effectExtent l="0" t="0" r="0" b="0"/>
                      <wp:wrapNone/>
                      <wp:docPr id="233" name="Frame233"/>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color w:val="009999"/>
              </w:rPr>
            </w:pPr>
            <w:r>
              <w:rPr>
                <w:color w:val="009999"/>
              </w:rPr>
              <w:t>​</w:t>
            </w:r>
          </w:p>
        </w:tc>
        <w:tc>
          <w:tcPr>
            <w:tcW w:w="109" w:type="dxa"/>
            <w:tcBorders/>
            <w:vAlign w:val="center"/>
          </w:tcPr>
          <w:p>
            <w:pPr>
              <w:pStyle w:val="TableContents"/>
              <w:bidi w:val="0"/>
              <w:spacing w:before="0" w:after="0"/>
              <w:ind w:left="0" w:right="0" w:hanging="0"/>
              <w:jc w:val="left"/>
              <w:rPr/>
            </w:pPr>
            <w:r>
              <w:rPr/>
              <w:t>​</w:t>
            </w:r>
          </w:p>
        </w:tc>
        <w:tc>
          <w:tcPr>
            <w:tcW w:w="336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  ​ ​ ​</w:t>
            </w:r>
          </w:p>
        </w:tc>
        <w:tc>
          <w:tcPr>
            <w:tcW w:w="341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1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(U.S. dollars in thousands)</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c>
          <w:tcPr>
            <w:tcW w:w="34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SG&amp;A expenses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5,227</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6,162</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3,111</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487</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for the three months ended June 30, 2026 represents an increase of 19% and 18% compared to the three and six months ended June 30, 2025, respectively. The increase resulted primarily from an increase of $0.3 million and $0.7 million in salary and related expenses for the three and six months ended June 30, 2026, respectively, and of $0.2 million in selling expenses for the three and six months ended June 30, 2026.</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1440" w:right="0" w:hanging="0"/>
        <w:jc w:val="left"/>
        <w:rPr>
          <w:rFonts w:ascii="Times New Roman;Times;serif" w:hAnsi="Times New Roman;Times;serif"/>
          <w:i/>
          <w:sz w:val="20"/>
        </w:rPr>
      </w:pPr>
      <w:r>
        <w:rPr>
          <w:rFonts w:ascii="Times New Roman;Times;serif" w:hAnsi="Times New Roman;Times;serif"/>
          <w:i/>
          <w:sz w:val="20"/>
        </w:rPr>
        <w:t>Financial Income (Expenses), Net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Financial expenses, net were as follows:</w:t>
      </w:r>
    </w:p>
    <w:tbl>
      <w:tblPr>
        <w:tblW w:w="9543" w:type="dxa"/>
        <w:jc w:val="left"/>
        <w:tblInd w:w="0" w:type="dxa"/>
        <w:tblLayout w:type="fixed"/>
        <w:tblCellMar>
          <w:top w:w="0" w:type="dxa"/>
          <w:left w:w="0" w:type="dxa"/>
          <w:bottom w:w="0" w:type="dxa"/>
          <w:right w:w="0" w:type="dxa"/>
        </w:tblCellMar>
      </w:tblPr>
      <w:tblGrid>
        <w:gridCol w:w="2776"/>
        <w:gridCol w:w="109"/>
        <w:gridCol w:w="211"/>
        <w:gridCol w:w="436"/>
        <w:gridCol w:w="346"/>
        <w:gridCol w:w="211"/>
        <w:gridCol w:w="421"/>
        <w:gridCol w:w="346"/>
        <w:gridCol w:w="370"/>
        <w:gridCol w:w="740"/>
        <w:gridCol w:w="346"/>
        <w:gridCol w:w="211"/>
        <w:gridCol w:w="541"/>
        <w:gridCol w:w="346"/>
        <w:gridCol w:w="211"/>
        <w:gridCol w:w="421"/>
        <w:gridCol w:w="346"/>
        <w:gridCol w:w="330"/>
        <w:gridCol w:w="825"/>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762760" cy="175260"/>
                      <wp:effectExtent l="0" t="0" r="0" b="0"/>
                      <wp:wrapNone/>
                      <wp:docPr id="234" name="Frame234"/>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76860" cy="175260"/>
                      <wp:effectExtent l="0" t="0" r="0" b="0"/>
                      <wp:wrapNone/>
                      <wp:docPr id="237" name="Frame23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67335" cy="175260"/>
                      <wp:effectExtent l="0" t="0" r="0" b="0"/>
                      <wp:wrapNone/>
                      <wp:docPr id="240" name="Frame24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34950" cy="175260"/>
                      <wp:effectExtent l="0" t="0" r="0" b="0"/>
                      <wp:wrapNone/>
                      <wp:docPr id="242" name="Frame242"/>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69900" cy="175260"/>
                      <wp:effectExtent l="0" t="0" r="0" b="0"/>
                      <wp:wrapNone/>
                      <wp:docPr id="243" name="Frame243"/>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43535" cy="175260"/>
                      <wp:effectExtent l="0" t="0" r="0" b="0"/>
                      <wp:wrapNone/>
                      <wp:docPr id="246" name="Frame24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67335" cy="175260"/>
                      <wp:effectExtent l="0" t="0" r="0" b="0"/>
                      <wp:wrapNone/>
                      <wp:docPr id="249" name="Frame24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9550" cy="175260"/>
                      <wp:effectExtent l="0" t="0" r="0" b="0"/>
                      <wp:wrapNone/>
                      <wp:docPr id="251" name="Frame251"/>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23875" cy="175260"/>
                      <wp:effectExtent l="0" t="0" r="0" b="0"/>
                      <wp:wrapNone/>
                      <wp:docPr id="252" name="Frame252"/>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color w:val="009999"/>
              </w:rPr>
            </w:pPr>
            <w:r>
              <w:rPr>
                <w:color w:val="009999"/>
              </w:rPr>
              <w:t>​</w:t>
            </w:r>
          </w:p>
        </w:tc>
        <w:tc>
          <w:tcPr>
            <w:tcW w:w="109" w:type="dxa"/>
            <w:tcBorders/>
            <w:vAlign w:val="center"/>
          </w:tcPr>
          <w:p>
            <w:pPr>
              <w:pStyle w:val="TableContents"/>
              <w:bidi w:val="0"/>
              <w:spacing w:before="0" w:after="0"/>
              <w:ind w:left="0" w:right="0" w:hanging="0"/>
              <w:jc w:val="left"/>
              <w:rPr/>
            </w:pPr>
            <w:r>
              <w:rPr/>
              <w:t>​</w:t>
            </w:r>
          </w:p>
        </w:tc>
        <w:tc>
          <w:tcPr>
            <w:tcW w:w="308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  ​ ​ ​</w:t>
            </w:r>
          </w:p>
        </w:tc>
        <w:tc>
          <w:tcPr>
            <w:tcW w:w="323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27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(U.S. dollars in thousands)</w:t>
            </w:r>
          </w:p>
        </w:tc>
        <w:tc>
          <w:tcPr>
            <w:tcW w:w="109" w:type="dxa"/>
            <w:tcBorders/>
            <w:vAlign w:val="center"/>
          </w:tcPr>
          <w:p>
            <w:pPr>
              <w:pStyle w:val="TableContents"/>
              <w:bidi w:val="0"/>
              <w:spacing w:before="0" w:after="0"/>
              <w:ind w:left="0" w:right="0" w:hanging="0"/>
              <w:jc w:val="left"/>
              <w:rPr/>
            </w:pPr>
            <w:r>
              <w:rPr/>
              <w:t>​</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c>
          <w:tcPr>
            <w:tcW w:w="34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 (expenses),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699</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difference in financial income, net for the three and six months ended June 30, 2026 compared to financial expenses, net for the three and six months ended June 30, 2026 resulted primarily from exchange rate fluctuations between the U.S. Dollar and the New Israel Shekel.</w:t>
      </w:r>
    </w:p>
    <w:p>
      <w:pPr>
        <w:pStyle w:val="TextBody"/>
        <w:bidi w:val="0"/>
        <w:spacing w:before="0" w:after="200"/>
        <w:ind w:left="1440" w:right="0" w:hanging="0"/>
        <w:jc w:val="left"/>
        <w:rPr>
          <w:rFonts w:ascii="Times New Roman;Times;serif" w:hAnsi="Times New Roman;Times;serif"/>
          <w:i/>
          <w:sz w:val="20"/>
        </w:rPr>
      </w:pPr>
      <w:r>
        <w:rPr>
          <w:rFonts w:ascii="Times New Roman;Times;serif" w:hAnsi="Times New Roman;Times;serif"/>
          <w:i/>
          <w:sz w:val="20"/>
        </w:rPr>
        <w:t>Income Taxes (Tax Benefit)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Income taxes were as follows:</w:t>
      </w:r>
    </w:p>
    <w:tbl>
      <w:tblPr>
        <w:tblW w:w="8928" w:type="dxa"/>
        <w:jc w:val="left"/>
        <w:tblInd w:w="0" w:type="dxa"/>
        <w:tblLayout w:type="fixed"/>
        <w:tblCellMar>
          <w:top w:w="0" w:type="dxa"/>
          <w:left w:w="0" w:type="dxa"/>
          <w:bottom w:w="0" w:type="dxa"/>
          <w:right w:w="0" w:type="dxa"/>
        </w:tblCellMar>
      </w:tblPr>
      <w:tblGrid>
        <w:gridCol w:w="1996"/>
        <w:gridCol w:w="109"/>
        <w:gridCol w:w="211"/>
        <w:gridCol w:w="421"/>
        <w:gridCol w:w="346"/>
        <w:gridCol w:w="211"/>
        <w:gridCol w:w="571"/>
        <w:gridCol w:w="346"/>
        <w:gridCol w:w="299"/>
        <w:gridCol w:w="811"/>
        <w:gridCol w:w="346"/>
        <w:gridCol w:w="211"/>
        <w:gridCol w:w="421"/>
        <w:gridCol w:w="346"/>
        <w:gridCol w:w="211"/>
        <w:gridCol w:w="571"/>
        <w:gridCol w:w="346"/>
        <w:gridCol w:w="330"/>
        <w:gridCol w:w="825"/>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267460" cy="175260"/>
                      <wp:effectExtent l="0" t="0" r="0" b="0"/>
                      <wp:wrapNone/>
                      <wp:docPr id="253" name="Frame253"/>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 cy="175260"/>
                      <wp:effectExtent l="0" t="0" r="0" b="0"/>
                      <wp:wrapNone/>
                      <wp:docPr id="254" name="Frame2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67335" cy="175260"/>
                      <wp:effectExtent l="0" t="0" r="0" b="0"/>
                      <wp:wrapNone/>
                      <wp:docPr id="256" name="Frame25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8"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62585" cy="175260"/>
                      <wp:effectExtent l="0" t="0" r="0" b="0"/>
                      <wp:wrapNone/>
                      <wp:docPr id="259" name="Frame25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89865" cy="175260"/>
                      <wp:effectExtent l="0" t="0" r="0" b="0"/>
                      <wp:wrapNone/>
                      <wp:docPr id="261" name="Frame26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14985" cy="175260"/>
                      <wp:effectExtent l="0" t="0" r="0" b="0"/>
                      <wp:wrapNone/>
                      <wp:docPr id="262" name="Frame26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67335" cy="175260"/>
                      <wp:effectExtent l="0" t="0" r="0" b="0"/>
                      <wp:wrapNone/>
                      <wp:docPr id="265" name="Frame26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62585" cy="175260"/>
                      <wp:effectExtent l="0" t="0" r="0" b="0"/>
                      <wp:wrapNone/>
                      <wp:docPr id="268" name="Frame2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9550" cy="175260"/>
                      <wp:effectExtent l="0" t="0" r="0" b="0"/>
                      <wp:wrapNone/>
                      <wp:docPr id="270" name="Frame270"/>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23875" cy="175260"/>
                      <wp:effectExtent l="0" t="0" r="0" b="0"/>
                      <wp:wrapNone/>
                      <wp:docPr id="271" name="Frame271"/>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color w:val="009999"/>
              </w:rPr>
            </w:pPr>
            <w:r>
              <w:rPr>
                <w:color w:val="009999"/>
              </w:rPr>
              <w:t>​</w:t>
            </w:r>
          </w:p>
        </w:tc>
        <w:tc>
          <w:tcPr>
            <w:tcW w:w="109" w:type="dxa"/>
            <w:tcBorders/>
            <w:vAlign w:val="center"/>
          </w:tcPr>
          <w:p>
            <w:pPr>
              <w:pStyle w:val="TableContents"/>
              <w:bidi w:val="0"/>
              <w:spacing w:before="0" w:after="0"/>
              <w:ind w:left="0" w:right="0" w:hanging="0"/>
              <w:jc w:val="left"/>
              <w:rPr/>
            </w:pPr>
            <w:r>
              <w:rPr/>
              <w:t>​</w:t>
            </w:r>
          </w:p>
        </w:tc>
        <w:tc>
          <w:tcPr>
            <w:tcW w:w="321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  ​ ​ ​</w:t>
            </w:r>
          </w:p>
        </w:tc>
        <w:tc>
          <w:tcPr>
            <w:tcW w:w="326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1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(U.S. dollars in thousands)</w:t>
            </w:r>
          </w:p>
        </w:tc>
        <w:tc>
          <w:tcPr>
            <w:tcW w:w="109" w:type="dxa"/>
            <w:tcBorders/>
            <w:vAlign w:val="center"/>
          </w:tcPr>
          <w:p>
            <w:pPr>
              <w:pStyle w:val="TableContents"/>
              <w:bidi w:val="0"/>
              <w:spacing w:before="0" w:after="0"/>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c>
          <w:tcPr>
            <w:tcW w:w="34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on income</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3,907</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586</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recorded tax expenses of approximately $3.9 million and $1.1 million for the six and three months ended June 30, 2026, respectively. The tax expenses resulted primarily from taxes on income mainly derived from global intangible low-taxed income (GILTI) resulting primarily from limitations under IRC Section 174 and from the taxes related to our receipt of the $25 million milestone payment in the first quarter of 2026. On July 4, 2025, tax reform legislation was enacted in the United States through the passage of H.R.1, The One Big Beautiful Bill Act, which includes significant corporate tax changes, including a restoration of the current deductibility of domestic research expenditures beginning in 2025 under Section 174A, with transition options for previously capitalized amounts. Foreign research expenditures continue to require capitalization subject to the mandatory 15-year amortization period under existing IRC Section 174. We implemented the permitted transition options.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sources of liquidity include our cash balances and short-term bank deposits. At June 30, 2026, we had $40.7 million in cash and cash equivalents and short-term bank deposits. We have primarily financed our operations through sales proceeds, equity and debt financings, business collaborations, and grants funding.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On February 27, 2023, we entered into an At The Market Offering Agreement, or the Sales Agreement, with H.C. Wainwright &amp; Co., LLC, as the sales agent, or the Agent, which provided for the sale, from time to time through the Agent, shares of common stock having an aggregate offering price of up to </w:t>
      </w:r>
      <w:r>
        <w:rPr>
          <w:rFonts w:ascii="Times New Roman;Times;serif" w:hAnsi="Times New Roman;Times;serif"/>
          <w:sz w:val="20"/>
          <w:shd w:fill="FFFFFF" w:val="clear"/>
        </w:rPr>
        <w:t>$20.0 million. On March 17, 2025, the Sales Agreement was amended to increase the aggregate gross sales price of shares of common stock available for offer and sale under the Sales Agreement by $</w:t>
      </w:r>
      <w:r>
        <w:rPr>
          <w:rFonts w:ascii="Times New Roman;Times;serif" w:hAnsi="Times New Roman;Times;serif"/>
          <w:sz w:val="20"/>
        </w:rPr>
        <w:t>20.0</w:t>
      </w:r>
      <w:r>
        <w:rPr>
          <w:rFonts w:ascii="Times New Roman;Times;serif" w:hAnsi="Times New Roman;Times;serif"/>
          <w:sz w:val="20"/>
          <w:shd w:fill="FFFFFF" w:val="clear"/>
        </w:rPr>
        <w:t> million.</w:t>
      </w:r>
      <w:r>
        <w:rPr>
          <w:rFonts w:ascii="Times New Roman;Times;serif" w:hAnsi="Times New Roman;Times;serif"/>
          <w:sz w:val="20"/>
        </w:rPr>
        <w:t xml:space="preserve"> We have no obligation to sell any shares of common stock under the Sales Agreement, and may at any time suspend sales under the Sales Agreement or terminate the Sales Agreement in accordance with its terms. The Agent is entitled to a commission of up to 3.0% of the aggregate gross proceeds from the shares of common stock sold under the Sales Agreement. </w:t>
      </w:r>
      <w:r>
        <w:rPr>
          <w:rFonts w:ascii="Times New Roman;Times;serif" w:hAnsi="Times New Roman;Times;serif"/>
          <w:sz w:val="20"/>
          <w:shd w:fill="FFFFFF" w:val="clear"/>
        </w:rPr>
        <w:t>During the six months ended June 30, 2025, we sold, in the aggregate 2,775,215 shares of common stock under the Sales Agreement generating gross proceeds equal to approximately $7.0 million (issuance costs were $0.2 million). We did not make any sales during the six months ended June 30, 2026.</w:t>
      </w:r>
      <w:r>
        <w:rPr>
          <w:rFonts w:ascii="Times New Roman;Times;serif" w:hAnsi="Times New Roman;Times;serif"/>
          <w:sz w:val="20"/>
        </w:rPr>
        <w:t xml:space="preserve"> As of June 30, 2026, approximately $15.7 million in shares of common stock remain available to be sold under the Sales Agreement.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During the three months ended March 31, 2025, we issued 908,000 shares of common stock, in the aggregate, in connection with the exercise of warrants issued in 2020 generating proceeds equal to approximately $2.1 million from such exercises. The remaining warrants expired on March 11, 2025. Accordingly, </w:t>
      </w:r>
      <w:r>
        <w:rPr>
          <w:rFonts w:ascii="Times New Roman;Times;serif" w:hAnsi="Times New Roman;Times;serif"/>
          <w:color w:val="212529"/>
          <w:sz w:val="20"/>
          <w:shd w:fill="FFFFFF" w:val="clear"/>
        </w:rPr>
        <w:t>as of March 12, 2025, no warrants remain outstanding</w:t>
      </w:r>
      <w:r>
        <w:rPr>
          <w:rFonts w:ascii="Times New Roman;Times;serif" w:hAnsi="Times New Roman;Times;serif"/>
          <w:sz w:val="20"/>
          <w:shd w:fill="FFFFFF" w:val="clea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2025 and 2026, we issued 198,625 and 145,661 shares of common stock, respectively, in the aggregate, in connection with the exercise of options to purchase 198,625 and 145,661 shares of common stock by certain of our current and former employees. We received cash proceeds equal to $0.3 million and $0.2 million, respectively, in connection with such exercises.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believe that our cash and cash equivalents and short-term bank deposits are sufficient to satisfy our capital needs for at least 12 months from the date this report is issued.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cash flows for each of the six months ended June 30, 2026 and 2025 were as follows:</w:t>
      </w:r>
    </w:p>
    <w:tbl>
      <w:tblPr>
        <w:tblW w:w="8175" w:type="dxa"/>
        <w:jc w:val="left"/>
        <w:tblInd w:w="0" w:type="dxa"/>
        <w:tblLayout w:type="fixed"/>
        <w:tblCellMar>
          <w:top w:w="0" w:type="dxa"/>
          <w:left w:w="0" w:type="dxa"/>
          <w:bottom w:w="0" w:type="dxa"/>
          <w:right w:w="0" w:type="dxa"/>
        </w:tblCellMar>
      </w:tblPr>
      <w:tblGrid>
        <w:gridCol w:w="4216"/>
        <w:gridCol w:w="109"/>
        <w:gridCol w:w="211"/>
        <w:gridCol w:w="796"/>
        <w:gridCol w:w="346"/>
        <w:gridCol w:w="211"/>
        <w:gridCol w:w="676"/>
        <w:gridCol w:w="346"/>
        <w:gridCol w:w="259"/>
        <w:gridCol w:w="851"/>
        <w:gridCol w:w="154"/>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677160" cy="175260"/>
                      <wp:effectExtent l="0" t="0" r="0" b="0"/>
                      <wp:wrapNone/>
                      <wp:docPr id="272" name="Frame272"/>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73" name="Frame2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05460" cy="175260"/>
                      <wp:effectExtent l="0" t="0" r="0" b="0"/>
                      <wp:wrapNone/>
                      <wp:docPr id="275" name="Frame27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29260" cy="175260"/>
                      <wp:effectExtent l="0" t="0" r="0" b="0"/>
                      <wp:wrapNone/>
                      <wp:docPr id="278" name="Frame2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64465" cy="175260"/>
                      <wp:effectExtent l="0" t="0" r="0" b="0"/>
                      <wp:wrapNone/>
                      <wp:docPr id="280" name="Frame280"/>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40385" cy="175260"/>
                      <wp:effectExtent l="0" t="0" r="0" b="0"/>
                      <wp:wrapNone/>
                      <wp:docPr id="281" name="Frame281"/>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97790" cy="175260"/>
                      <wp:effectExtent l="0" t="0" r="0" b="0"/>
                      <wp:wrapNone/>
                      <wp:docPr id="282" name="Frame28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color w:val="009999"/>
              </w:rPr>
            </w:pPr>
            <w:r>
              <w:rPr>
                <w:color w:val="009999"/>
              </w:rPr>
              <w:t>​</w:t>
            </w:r>
          </w:p>
        </w:tc>
        <w:tc>
          <w:tcPr>
            <w:tcW w:w="109" w:type="dxa"/>
            <w:tcBorders/>
            <w:vAlign w:val="center"/>
          </w:tcPr>
          <w:p>
            <w:pPr>
              <w:pStyle w:val="TableContents"/>
              <w:bidi w:val="0"/>
              <w:spacing w:before="0" w:after="0"/>
              <w:ind w:left="0" w:right="0" w:hanging="0"/>
              <w:jc w:val="left"/>
              <w:rPr/>
            </w:pPr>
            <w:r>
              <w:rPr/>
              <w:t>​</w:t>
            </w:r>
          </w:p>
        </w:tc>
        <w:tc>
          <w:tcPr>
            <w:tcW w:w="369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vAlign w:val="center"/>
          </w:tcPr>
          <w:p>
            <w:pPr>
              <w:pStyle w:val="TableContents"/>
              <w:bidi w:val="0"/>
              <w:spacing w:before="0" w:after="0"/>
              <w:ind w:left="0" w:right="0" w:hanging="0"/>
              <w:jc w:val="left"/>
              <w:rPr/>
            </w:pPr>
            <w:r>
              <w:rPr/>
              <w:t>​</w:t>
            </w:r>
          </w:p>
        </w:tc>
      </w:tr>
      <w:tr>
        <w:trPr/>
        <w:tc>
          <w:tcPr>
            <w:tcW w:w="4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(U.S. dollars in thousands)</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color w:val="009999"/>
              </w:rPr>
            </w:pPr>
            <w:r>
              <w:rPr>
                <w:color w:val="009999"/>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c>
          <w:tcPr>
            <w:tcW w:w="154"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(10,291)</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11,625</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21,916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46" w:type="dxa"/>
            <w:tcBorders/>
            <w:vAlign w:val="center"/>
          </w:tcPr>
          <w:p>
            <w:pPr>
              <w:pStyle w:val="TableContents"/>
              <w:bidi w:val="0"/>
              <w:spacing w:before="0" w:after="0"/>
              <w:ind w:left="0" w:right="0" w:hanging="0"/>
              <w:jc w:val="left"/>
              <w:rPr>
                <w:color w:val="009999"/>
              </w:rPr>
            </w:pPr>
            <w:r>
              <w:rPr>
                <w:color w:val="009999"/>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46" w:type="dxa"/>
            <w:tcBorders/>
            <w:vAlign w:val="center"/>
          </w:tcPr>
          <w:p>
            <w:pPr>
              <w:pStyle w:val="TableContents"/>
              <w:bidi w:val="0"/>
              <w:spacing w:before="0" w:after="0"/>
              <w:ind w:left="0" w:right="0" w:hanging="0"/>
              <w:jc w:val="left"/>
              <w:rPr>
                <w:color w:val="009999"/>
              </w:rPr>
            </w:pPr>
            <w:r>
              <w:rPr>
                <w:color w:val="009999"/>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w:t>
            </w:r>
          </w:p>
        </w:tc>
        <w:tc>
          <w:tcPr>
            <w:tcW w:w="154"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9,180</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(9,030)</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Net cash provided by operations was $11.6 million for the six months ended June 30, 2026. The net income for the six months ended June 30, 2026 of $22.1 million was increased by a $4.2 million increase in accounts payable and accruals, $0.9 million in share-based compensation, $0.7 million in financial expenses, net and $0.8 million in depreciation and partially offset by $8.6 million increase in accounts receivable-trade and other assets, $6.6 million increase in inventories, and $2.1 million increase in R&amp;D grant.</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Net cash provided by investing activities was $0.6 million for the six months ended June 30, 2026 and consisted primarily of $10.0 million short-term deposit withdrawal partially offset by a $8.0 million investment in bank deposits and $1.4 million in the purchase of property and equipment.</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Net cash provided by financing activities was $0.2 million for the six months ended June 30, 2026 and resulted from the exercise of options.</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Net cash used in operations was $10.3 million for the six months ended June 30, 2025. The net loss for the six months ended June 30, 2025 of $3.5 million was increased by a $6.9 million increase in accounts receivable-trade and other assets, a $1.9 million decrease in accounts payable and accruals, and was offset by a $1.0 million in share-based compensation and $0.7 million in depreciation.</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Net cash used in investing activities for the six months ended June 30, 2025 was $0.8 million and consisted primarily of the purchase of property and equipment.</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Net cash provided by financing activities for the six months ended June 30, 2025 was $9.2 million and consisted of $6.8 million proceeds from issuance of common stock under the Sales Agreement, net and $2.4 million from the exercise of warrants and options.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Future Funding Requirements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Since our inception, we have incurred significant research and development expenditures which have not been offset by revenues. W</w:t>
      </w:r>
      <w:r>
        <w:rPr>
          <w:rFonts w:ascii="Times New Roman;Times;serif" w:hAnsi="Times New Roman;Times;serif"/>
          <w:sz w:val="20"/>
          <w:shd w:fill="FFFFFF" w:val="clear"/>
        </w:rPr>
        <w:t>e have</w:t>
      </w:r>
      <w:r>
        <w:rPr>
          <w:rFonts w:ascii="Times New Roman;Times;serif" w:hAnsi="Times New Roman;Times;serif"/>
          <w:sz w:val="20"/>
        </w:rPr>
        <w:t xml:space="preserve"> </w:t>
      </w:r>
      <w:r>
        <w:rPr>
          <w:rFonts w:ascii="Times New Roman;Times;serif" w:hAnsi="Times New Roman;Times;serif"/>
          <w:sz w:val="20"/>
          <w:shd w:fill="FFFFFF" w:val="clear"/>
        </w:rPr>
        <w:t xml:space="preserve">generated operating losses from our continuing operations since our inception except for the years ended December 31, 2023 and </w:t>
      </w:r>
      <w:r>
        <w:rPr>
          <w:rFonts w:ascii="28mugxoulnobhnx" w:hAnsi="28mugxoulnobhnx"/>
          <w:sz w:val="20"/>
        </w:rPr>
        <w:t xml:space="preserve">2024, and </w:t>
      </w:r>
      <w:r>
        <w:rPr>
          <w:rFonts w:ascii="Times New Roman;Times;serif" w:hAnsi="Times New Roman;Times;serif"/>
          <w:sz w:val="20"/>
          <w:shd w:fill="FFFFFF" w:val="clear"/>
        </w:rPr>
        <w:t xml:space="preserve">the </w:t>
      </w:r>
      <w:r>
        <w:rPr>
          <w:rFonts w:ascii="28mugxoulnobhnx" w:hAnsi="28mugxoulnobhnx"/>
          <w:sz w:val="20"/>
        </w:rPr>
        <w:t xml:space="preserve">three and </w:t>
      </w:r>
      <w:r>
        <w:rPr>
          <w:rFonts w:ascii="Times New Roman;Times;serif" w:hAnsi="Times New Roman;Times;serif"/>
          <w:sz w:val="20"/>
          <w:shd w:fill="FFFFFF" w:val="clear"/>
        </w:rPr>
        <w:t>six months ended June 30, 2026</w:t>
      </w:r>
      <w:r>
        <w:rPr>
          <w:rFonts w:ascii="28mugxoulnobhnx" w:hAnsi="28mugxoulnobhnx"/>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As we increase our research and developments efforts with respect to our current and future product candidates, we expect to continue to incur significant expenditures. We cannot anticipate the costs or the timing of the occurrence of such costs. Although we expect the revenues generated from the sales of Elfabrio and Elelyso will increase, such revenues may not be sufficient to fund the expenditures. To the extent we need to obtain additional financing in excess of such anticipated revenues, it may be difficult for us to do so given the volatility of the price of our common stock. Our material cash needs for the next 24 months will include, among other expenses, (i) costs of preclinical and clinical trials, in particular those of our RELEASE study, (ii) employee salaries, (iii) payments for rent and operation of our manufacturing facilities, (iv) fees to our consultants and legal advisors, patent advisors and fees for service providers in connection with our research and development efforts, (v) expansion of additional manufacturing space within our current facility and (vi) tax payments. We believe that the funds currently available to us are sufficient to satisfy our capital needs for at least 12 months </w:t>
      </w:r>
      <w:r>
        <w:rPr>
          <w:rFonts w:ascii="Times New Roman;Times;serif" w:hAnsi="Times New Roman;Times;serif"/>
          <w:color w:val="212529"/>
          <w:sz w:val="20"/>
        </w:rPr>
        <w:t>from the date this report is issued</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discussed above, we may be required to raise additional capital to develop our product candidates and continue research and development activities. Our ability to raise capital, and the amounts of necessary capital, will depend on many other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and cost of discovery and preclinical development and laboratory testing and clinical trials for our product candidates;</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Chiesi’s progress in commercializing Elfabrio;</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progress in commercializing BioManguinhos alfataliglicerase in Brazil;</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outcome of regulatory review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costs involved in preparing, filing, prosecuting, maintaining, defending, and enforcing patent claims and other intellectual property rights; and </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any litigation claims.</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expect to finance our future cash needs through sales of Elfabrio and Elelyso, corporate collaborations, licensing or similar arrangements, public or private equity offerings and/or debt financings. We currently do not have any commitments for future external funding, except with respect to the milestone payments that may become payable under the Chiesi Agreements.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Effects of Currency Fluctuations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Currency fluctuations could affect us through increased or decreased acquisition costs for certain goods and services and salaries expenses. For the six months ended June 30, 2026 the currency fluctuations resulted in expenses of approximately $0.7 million.</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Off-Balance Sheet Arrangements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have no off-balance sheet arrangements as of each of June 30, 2026 and December 31, 2025.</w:t>
      </w:r>
    </w:p>
    <w:p>
      <w:pPr>
        <w:pStyle w:val="TextBody"/>
        <w:bidi w:val="0"/>
        <w:spacing w:before="0" w:after="200"/>
        <w:ind w:left="0" w:right="0" w:hanging="0"/>
        <w:jc w:val="left"/>
        <w:rPr>
          <w:rFonts w:ascii="Times New Roman;Times;serif" w:hAnsi="Times New Roman;Times;serif"/>
          <w:b/>
          <w:sz w:val="20"/>
        </w:rPr>
      </w:pPr>
      <w:bookmarkStart w:id="726" w:name="Item3QuantitativeandQualitativeDisclosur"/>
      <w:bookmarkStart w:id="727" w:name="_af1766a0_2f9b_4521_81f2_ae0d32de0939"/>
      <w:bookmarkEnd w:id="726"/>
      <w:bookmarkEnd w:id="727"/>
      <w:r>
        <w:rPr>
          <w:rFonts w:ascii="Times New Roman;Times;serif" w:hAnsi="Times New Roman;Times;serif"/>
          <w:b/>
          <w:sz w:val="20"/>
        </w:rPr>
        <w:t>Item 3. Quantitative and Qualitative Disclosures about Market Risk</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Currency Exchange Risk</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currency of the primary economic environment in which our operations are conducted is the U.S. dollar. Most of our revenues and more than 50% of our expenses and capital expenditures are and were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Approximately 41%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tbl>
      <w:tblPr>
        <w:tblW w:w="7086" w:type="dxa"/>
        <w:jc w:val="left"/>
        <w:tblInd w:w="0" w:type="dxa"/>
        <w:tblLayout w:type="fixed"/>
        <w:tblCellMar>
          <w:top w:w="0" w:type="dxa"/>
          <w:left w:w="0" w:type="dxa"/>
          <w:bottom w:w="0" w:type="dxa"/>
          <w:right w:w="0" w:type="dxa"/>
        </w:tblCellMar>
      </w:tblPr>
      <w:tblGrid>
        <w:gridCol w:w="1981"/>
        <w:gridCol w:w="109"/>
        <w:gridCol w:w="633"/>
        <w:gridCol w:w="383"/>
        <w:gridCol w:w="633"/>
        <w:gridCol w:w="109"/>
        <w:gridCol w:w="571"/>
        <w:gridCol w:w="346"/>
        <w:gridCol w:w="571"/>
        <w:gridCol w:w="346"/>
        <w:gridCol w:w="1141"/>
        <w:gridCol w:w="109"/>
        <w:gridCol w:w="154"/>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257935" cy="175260"/>
                      <wp:effectExtent l="0" t="0" r="0" b="0"/>
                      <wp:wrapNone/>
                      <wp:docPr id="283" name="Frame283"/>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84"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01955" cy="175260"/>
                      <wp:effectExtent l="0" t="0" r="0" b="0"/>
                      <wp:wrapNone/>
                      <wp:docPr id="285" name="Frame285"/>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43205" cy="175260"/>
                      <wp:effectExtent l="0" t="0" r="0" b="0"/>
                      <wp:wrapNone/>
                      <wp:docPr id="286" name="Frame286"/>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01955" cy="175260"/>
                      <wp:effectExtent l="0" t="0" r="0" b="0"/>
                      <wp:wrapNone/>
                      <wp:docPr id="287" name="Frame287"/>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62585" cy="175260"/>
                      <wp:effectExtent l="0" t="0" r="0" b="0"/>
                      <wp:wrapNone/>
                      <wp:docPr id="289" name="Frame2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62585" cy="175260"/>
                      <wp:effectExtent l="0" t="0" r="0" b="0"/>
                      <wp:wrapNone/>
                      <wp:docPr id="291" name="Frame2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724535" cy="175260"/>
                      <wp:effectExtent l="0" t="0" r="0" b="0"/>
                      <wp:wrapNone/>
                      <wp:docPr id="293" name="Frame29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97790" cy="175260"/>
                      <wp:effectExtent l="0" t="0" r="0" b="0"/>
                      <wp:wrapNone/>
                      <wp:docPr id="295" name="Frame29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4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4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color w:val="009999"/>
              </w:rPr>
            </w:pPr>
            <w:r>
              <w:rPr>
                <w:color w:val="009999"/>
              </w:rPr>
              <w:t>​</w:t>
            </w:r>
          </w:p>
        </w:tc>
        <w:tc>
          <w:tcPr>
            <w:tcW w:w="109" w:type="dxa"/>
            <w:tcBorders/>
            <w:vAlign w:val="center"/>
          </w:tcPr>
          <w:p>
            <w:pPr>
              <w:pStyle w:val="TableContents"/>
              <w:bidi w:val="0"/>
              <w:spacing w:before="0" w:after="0"/>
              <w:ind w:left="0" w:right="0" w:hanging="0"/>
              <w:jc w:val="left"/>
              <w:rPr>
                <w:color w:val="009999"/>
              </w:rPr>
            </w:pPr>
            <w:r>
              <w:rPr>
                <w:color w:val="009999"/>
              </w:rPr>
              <w:t>​</w:t>
            </w:r>
          </w:p>
        </w:tc>
        <w:tc>
          <w:tcPr>
            <w:tcW w:w="164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color w:val="009999"/>
              </w:rPr>
            </w:pPr>
            <w:r>
              <w:rPr>
                <w:color w:val="009999"/>
              </w:rPr>
              <w:t>​</w:t>
            </w:r>
          </w:p>
        </w:tc>
        <w:tc>
          <w:tcPr>
            <w:tcW w:w="14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color w:val="009999"/>
              </w:rPr>
            </w:pPr>
            <w:r>
              <w:rPr>
                <w:color w:val="009999"/>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color w:val="009999"/>
              </w:rPr>
            </w:pPr>
            <w:r>
              <w:rPr>
                <w:color w:val="009999"/>
              </w:rPr>
              <w:t>​</w:t>
            </w:r>
          </w:p>
        </w:tc>
        <w:tc>
          <w:tcPr>
            <w:tcW w:w="154" w:type="dxa"/>
            <w:tcBorders/>
            <w:vAlign w:val="center"/>
          </w:tcPr>
          <w:p>
            <w:pPr>
              <w:pStyle w:val="TableContents"/>
              <w:bidi w:val="0"/>
              <w:spacing w:before="0" w:after="0"/>
              <w:ind w:left="0" w:right="0" w:hanging="0"/>
              <w:jc w:val="center"/>
              <w:rPr/>
            </w:pPr>
            <w:r>
              <w:rPr/>
              <w:t>​</w:t>
            </w:r>
          </w:p>
        </w:tc>
      </w:tr>
      <w:tr>
        <w:trPr/>
        <w:tc>
          <w:tcPr>
            <w:tcW w:w="1981" w:type="dxa"/>
            <w:tcBorders/>
            <w:vAlign w:val="center"/>
          </w:tcPr>
          <w:p>
            <w:pPr>
              <w:pStyle w:val="TableContents"/>
              <w:bidi w:val="0"/>
              <w:spacing w:before="0" w:after="0"/>
              <w:ind w:left="0" w:right="0" w:hanging="0"/>
              <w:jc w:val="left"/>
              <w:rPr>
                <w:color w:val="009999"/>
              </w:rPr>
            </w:pPr>
            <w:r>
              <w:rPr>
                <w:color w:val="009999"/>
              </w:rPr>
              <w:t>​</w:t>
            </w:r>
          </w:p>
        </w:tc>
        <w:tc>
          <w:tcPr>
            <w:tcW w:w="109" w:type="dxa"/>
            <w:tcBorders/>
            <w:vAlign w:val="center"/>
          </w:tcPr>
          <w:p>
            <w:pPr>
              <w:pStyle w:val="TableContents"/>
              <w:bidi w:val="0"/>
              <w:spacing w:before="0" w:after="0"/>
              <w:ind w:left="0" w:right="0" w:hanging="0"/>
              <w:jc w:val="left"/>
              <w:rPr>
                <w:color w:val="009999"/>
              </w:rPr>
            </w:pPr>
            <w:r>
              <w:rPr>
                <w:color w:val="009999"/>
              </w:rPr>
              <w:t>​</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3" w:type="dxa"/>
            <w:tcBorders/>
            <w:vAlign w:val="center"/>
          </w:tcPr>
          <w:p>
            <w:pPr>
              <w:pStyle w:val="TableContents"/>
              <w:bidi w:val="0"/>
              <w:spacing w:before="0" w:after="0"/>
              <w:ind w:left="0" w:right="0" w:hanging="0"/>
              <w:jc w:val="center"/>
              <w:rPr/>
            </w:pPr>
            <w:r>
              <w:rPr/>
              <w:t>  ​ ​ ​</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color w:val="009999"/>
              </w:rPr>
            </w:pPr>
            <w:r>
              <w:rPr>
                <w:color w:val="009999"/>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color w:val="009999"/>
              </w:rPr>
            </w:pPr>
            <w:r>
              <w:rPr>
                <w:color w:val="009999"/>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color w:val="009999"/>
              </w:rPr>
            </w:pPr>
            <w:r>
              <w:rPr>
                <w:color w:val="009999"/>
              </w:rPr>
              <w:t>​</w:t>
            </w:r>
          </w:p>
        </w:tc>
        <w:tc>
          <w:tcPr>
            <w:tcW w:w="154" w:type="dxa"/>
            <w:tcBorders/>
            <w:vAlign w:val="center"/>
          </w:tcPr>
          <w:p>
            <w:pPr>
              <w:pStyle w:val="TableContents"/>
              <w:bidi w:val="0"/>
              <w:spacing w:before="0" w:after="0"/>
              <w:ind w:left="0" w:right="0" w:hanging="0"/>
              <w:jc w:val="center"/>
              <w:rPr/>
            </w:pPr>
            <w:r>
              <w:rPr/>
              <w:t>​</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rate for period</w:t>
            </w:r>
          </w:p>
        </w:tc>
        <w:tc>
          <w:tcPr>
            <w:tcW w:w="109"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63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2.951</w:t>
            </w:r>
          </w:p>
        </w:tc>
        <w:tc>
          <w:tcPr>
            <w:tcW w:w="383" w:type="dxa"/>
            <w:tcBorders/>
            <w:shd w:fill="CCEEFF" w:val="clear"/>
            <w:vAlign w:val="center"/>
          </w:tcPr>
          <w:p>
            <w:pPr>
              <w:pStyle w:val="TableContents"/>
              <w:bidi w:val="0"/>
              <w:spacing w:before="0" w:after="0"/>
              <w:ind w:left="0" w:right="0" w:hanging="0"/>
              <w:jc w:val="left"/>
              <w:rPr>
                <w:color w:val="009999"/>
              </w:rPr>
            </w:pPr>
            <w:r>
              <w:rPr>
                <w:color w:val="009999"/>
              </w:rPr>
              <w:t> </w:t>
            </w:r>
          </w:p>
        </w:tc>
        <w:tc>
          <w:tcPr>
            <w:tcW w:w="63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3.581</w:t>
            </w:r>
          </w:p>
        </w:tc>
        <w:tc>
          <w:tcPr>
            <w:tcW w:w="109"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3.036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3.597</w:t>
            </w:r>
          </w:p>
        </w:tc>
        <w:tc>
          <w:tcPr>
            <w:tcW w:w="346" w:type="dxa"/>
            <w:tcBorders/>
            <w:shd w:fill="CCEEFF" w:val="clear"/>
            <w:vAlign w:val="center"/>
          </w:tcPr>
          <w:p>
            <w:pPr>
              <w:pStyle w:val="TableContents"/>
              <w:bidi w:val="0"/>
              <w:spacing w:before="0" w:after="0"/>
              <w:ind w:left="0" w:right="0" w:hanging="0"/>
              <w:jc w:val="left"/>
              <w:rPr>
                <w:color w:val="009999"/>
              </w:rPr>
            </w:pPr>
            <w:r>
              <w:rPr>
                <w:color w:val="009999"/>
              </w:rPr>
              <w:t> </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3.452</w:t>
            </w:r>
          </w:p>
        </w:tc>
        <w:tc>
          <w:tcPr>
            <w:tcW w:w="109" w:type="dxa"/>
            <w:tcBorders/>
            <w:shd w:fill="CCEEFF" w:val="clear"/>
            <w:vAlign w:val="center"/>
          </w:tcPr>
          <w:p>
            <w:pPr>
              <w:pStyle w:val="TableContents"/>
              <w:bidi w:val="0"/>
              <w:spacing w:before="0" w:after="0"/>
              <w:ind w:left="0" w:right="0" w:hanging="0"/>
              <w:jc w:val="left"/>
              <w:rPr>
                <w:color w:val="009999"/>
              </w:rPr>
            </w:pPr>
            <w:r>
              <w:rPr>
                <w:color w:val="009999"/>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Rate at period-end</w:t>
            </w:r>
          </w:p>
        </w:tc>
        <w:tc>
          <w:tcPr>
            <w:tcW w:w="109" w:type="dxa"/>
            <w:tcBorders/>
            <w:vAlign w:val="center"/>
          </w:tcPr>
          <w:p>
            <w:pPr>
              <w:pStyle w:val="TableContents"/>
              <w:bidi w:val="0"/>
              <w:spacing w:before="0" w:after="0"/>
              <w:ind w:left="0" w:right="0" w:hanging="0"/>
              <w:jc w:val="left"/>
              <w:rPr>
                <w:color w:val="009999"/>
              </w:rPr>
            </w:pPr>
            <w:r>
              <w:rPr>
                <w:color w:val="009999"/>
              </w:rPr>
              <w:t>​</w:t>
            </w:r>
          </w:p>
        </w:tc>
        <w:tc>
          <w:tcPr>
            <w:tcW w:w="6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2.978</w:t>
            </w:r>
          </w:p>
        </w:tc>
        <w:tc>
          <w:tcPr>
            <w:tcW w:w="383" w:type="dxa"/>
            <w:tcBorders/>
            <w:vAlign w:val="center"/>
          </w:tcPr>
          <w:p>
            <w:pPr>
              <w:pStyle w:val="TableContents"/>
              <w:bidi w:val="0"/>
              <w:spacing w:before="0" w:after="0"/>
              <w:ind w:left="0" w:right="0" w:hanging="0"/>
              <w:jc w:val="left"/>
              <w:rPr>
                <w:color w:val="009999"/>
              </w:rPr>
            </w:pPr>
            <w:r>
              <w:rPr>
                <w:color w:val="009999"/>
              </w:rPr>
              <w:t> </w:t>
            </w:r>
          </w:p>
        </w:tc>
        <w:tc>
          <w:tcPr>
            <w:tcW w:w="6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3.372</w:t>
            </w:r>
          </w:p>
        </w:tc>
        <w:tc>
          <w:tcPr>
            <w:tcW w:w="109" w:type="dxa"/>
            <w:tcBorders/>
            <w:vAlign w:val="center"/>
          </w:tcPr>
          <w:p>
            <w:pPr>
              <w:pStyle w:val="TableContents"/>
              <w:bidi w:val="0"/>
              <w:spacing w:before="0" w:after="0"/>
              <w:ind w:left="0" w:right="0" w:hanging="0"/>
              <w:jc w:val="left"/>
              <w:rPr>
                <w:color w:val="009999"/>
              </w:rPr>
            </w:pPr>
            <w:r>
              <w:rPr>
                <w:color w:val="009999"/>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2.978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3.372</w:t>
            </w:r>
          </w:p>
        </w:tc>
        <w:tc>
          <w:tcPr>
            <w:tcW w:w="346" w:type="dxa"/>
            <w:tcBorders/>
            <w:vAlign w:val="center"/>
          </w:tcPr>
          <w:p>
            <w:pPr>
              <w:pStyle w:val="TableContents"/>
              <w:bidi w:val="0"/>
              <w:spacing w:before="0" w:after="0"/>
              <w:ind w:left="0" w:right="0" w:hanging="0"/>
              <w:jc w:val="left"/>
              <w:rPr>
                <w:color w:val="009999"/>
              </w:rPr>
            </w:pPr>
            <w:r>
              <w:rPr>
                <w:color w:val="009999"/>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3.190</w:t>
            </w:r>
          </w:p>
        </w:tc>
        <w:tc>
          <w:tcPr>
            <w:tcW w:w="109" w:type="dxa"/>
            <w:tcBorders/>
            <w:vAlign w:val="center"/>
          </w:tcPr>
          <w:p>
            <w:pPr>
              <w:pStyle w:val="TableContents"/>
              <w:bidi w:val="0"/>
              <w:spacing w:before="0" w:after="0"/>
              <w:ind w:left="0" w:right="0" w:hanging="0"/>
              <w:jc w:val="left"/>
              <w:rPr>
                <w:color w:val="009999"/>
              </w:rPr>
            </w:pPr>
            <w:r>
              <w:rPr>
                <w:color w:val="009999"/>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We engage in, from time to time, hedging transactions to decrease the risk of financial exposure from fluctuations in the exchange rate of the U.S. dollar against the NIS. These measures, however, may not adequately protect us from material adverse effects due to the impact of volatility in currency exchange rates and inflation.</w:t>
      </w:r>
    </w:p>
    <w:p>
      <w:pPr>
        <w:pStyle w:val="TextBody"/>
        <w:bidi w:val="0"/>
        <w:spacing w:before="0" w:after="200"/>
        <w:ind w:left="0" w:right="0" w:hanging="0"/>
        <w:jc w:val="left"/>
        <w:rPr>
          <w:rFonts w:ascii="Times New Roman;Times;serif" w:hAnsi="Times New Roman;Times;serif"/>
          <w:b/>
          <w:sz w:val="20"/>
        </w:rPr>
      </w:pPr>
      <w:bookmarkStart w:id="728" w:name="Item4ControlsandProcedures_865226"/>
      <w:bookmarkStart w:id="729" w:name="_3ae8de7a_b588_461d_9f01_61db5f86c54f"/>
      <w:bookmarkEnd w:id="728"/>
      <w:bookmarkEnd w:id="729"/>
      <w:r>
        <w:rPr>
          <w:rFonts w:ascii="Times New Roman;Times;serif" w:hAnsi="Times New Roman;Times;serif"/>
          <w:b/>
          <w:sz w:val="20"/>
        </w:rPr>
        <w:t>Item 4. Controls and Procedures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Based on the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Inherent Limitations on Effectiveness of Controls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that occurred during the quarter ended June 30, 2026 that have materially affected, or that are reasonably likely to materially affect, our internal control over financial reporting.</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730" w:name="PARTIIOTHERINFORMATION_770480"/>
      <w:bookmarkStart w:id="731" w:name="_cbf86a33_955c_41ff_b024_54d5a9038fd8"/>
      <w:bookmarkEnd w:id="730"/>
      <w:bookmarkEnd w:id="731"/>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732" w:name="Item1LegalProceedings_676392"/>
      <w:bookmarkEnd w:id="732"/>
      <w:r>
        <w:rPr>
          <w:rFonts w:ascii="Times New Roman;Times;serif" w:hAnsi="Times New Roman;Times;serif"/>
          <w:b/>
          <w:sz w:val="20"/>
        </w:rPr>
        <w:t>Item 1. Legal Proceedings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are not involved in any material legal proceedings.</w:t>
      </w:r>
    </w:p>
    <w:p>
      <w:pPr>
        <w:pStyle w:val="TextBody"/>
        <w:bidi w:val="0"/>
        <w:spacing w:before="0" w:after="200"/>
        <w:ind w:left="0" w:right="360" w:hanging="0"/>
        <w:jc w:val="left"/>
        <w:rPr>
          <w:rFonts w:ascii="Times New Roman;Times;serif" w:hAnsi="Times New Roman;Times;serif"/>
          <w:b/>
          <w:sz w:val="20"/>
        </w:rPr>
      </w:pPr>
      <w:bookmarkStart w:id="733" w:name="Item1ARiskFactors_983377"/>
      <w:bookmarkStart w:id="734" w:name="_2bd0b900_39a3_4967_bb65_e1f7e64f0bac"/>
      <w:bookmarkEnd w:id="733"/>
      <w:bookmarkEnd w:id="734"/>
      <w:r>
        <w:rPr>
          <w:rFonts w:ascii="Times New Roman;Times;serif" w:hAnsi="Times New Roman;Times;serif"/>
          <w:b/>
          <w:sz w:val="20"/>
        </w:rPr>
        <w:t>Item 1A. Risk Factors</w:t>
      </w:r>
    </w:p>
    <w:p>
      <w:pPr>
        <w:pStyle w:val="TextBody"/>
        <w:bidi w:val="0"/>
        <w:spacing w:before="0" w:after="200"/>
        <w:ind w:left="0" w:right="360" w:hanging="0"/>
        <w:jc w:val="left"/>
        <w:rPr>
          <w:rFonts w:ascii="Times New Roman;Times;serif" w:hAnsi="Times New Roman;Times;serif"/>
          <w:sz w:val="20"/>
        </w:rPr>
      </w:pPr>
      <w:r>
        <w:rPr>
          <w:rFonts w:ascii="Times New Roman;Times;serif" w:hAnsi="Times New Roman;Times;serif"/>
          <w:sz w:val="20"/>
        </w:rPr>
        <w:t>Except as set forth below, there have been no material changes to the risk factors previously disclosed in our Annual Report on Form 10-K for the year ended December 31, 2025.</w:t>
      </w:r>
    </w:p>
    <w:p>
      <w:pPr>
        <w:pStyle w:val="TextBody"/>
        <w:bidi w:val="0"/>
        <w:spacing w:before="0" w:after="200"/>
        <w:ind w:left="0" w:right="360" w:hanging="0"/>
        <w:jc w:val="left"/>
        <w:rPr>
          <w:rFonts w:ascii="Times New Roman;Times;serif" w:hAnsi="Times New Roman;Times;serif"/>
          <w:b/>
          <w:i/>
          <w:sz w:val="20"/>
        </w:rPr>
      </w:pPr>
      <w:r>
        <w:rPr>
          <w:rFonts w:ascii="Times New Roman;Times;serif" w:hAnsi="Times New Roman;Times;serif"/>
          <w:b/>
          <w:i/>
          <w:sz w:val="20"/>
        </w:rPr>
        <w:t>Changes in tariffs and other governmental trade policies in the United States could have an adverse effect on our business, results of operations, and financial condition.</w:t>
      </w:r>
    </w:p>
    <w:p>
      <w:pPr>
        <w:pStyle w:val="TextBody"/>
        <w:bidi w:val="0"/>
        <w:spacing w:before="0" w:after="200"/>
        <w:ind w:left="0" w:right="360" w:hanging="0"/>
        <w:jc w:val="left"/>
        <w:rPr>
          <w:rFonts w:ascii="Times New Roman;Times;serif" w:hAnsi="Times New Roman;Times;serif"/>
          <w:sz w:val="20"/>
        </w:rPr>
      </w:pPr>
      <w:r>
        <w:rPr>
          <w:rFonts w:ascii="Times New Roman;Times;serif" w:hAnsi="Times New Roman;Times;serif"/>
          <w:sz w:val="20"/>
        </w:rPr>
        <w:t>There is currently significant uncertainty about the future relationship between the U.S. and various other countries and jurisdictions, including Israel and the EU, with respect to tariffs, treaties, trade policies, taxes, and other limitations on cross-border operations. For example, the current U.S. administration has made and continues to make significant changes in U.S. trade policy and may take similar actions in the future, including imposing new tariffs on certain foreign goods or renegotiating or terminating, certain existing trade agreements. These changes may be implemented with little notice. On April 2, 2026, the U.S. announced significant tariffs pursuant to a national security investigation under Section 232 of the U.S. Trade Expansion Act of 1962 on certain pharmaceutical products, active pharmaceutical ingredients, and key starting materials. These tariffs, which are scheduled to generally go into effect in September 2026, are subject to a number of exemptions and exclusions. Increased tariffs may impact our ability to commercialize our current and future products under development in the U.S. The extent of the impact that such tariffs, treaties, trade policies, taxes, and other limitations on cross-border operations will have on our Company specifically, or on the U.S. market and global economy generally, is uncertain and unpredictable, and could materially and adversely affect our business, results of operations, and financial condition.</w:t>
      </w:r>
    </w:p>
    <w:p>
      <w:pPr>
        <w:pStyle w:val="TextBody"/>
        <w:bidi w:val="0"/>
        <w:spacing w:before="0" w:after="200"/>
        <w:ind w:left="0" w:right="360" w:hanging="0"/>
        <w:jc w:val="left"/>
        <w:rPr>
          <w:rFonts w:ascii="Times New Roman;Times;serif" w:hAnsi="Times New Roman;Times;serif"/>
          <w:b/>
          <w:i/>
          <w:sz w:val="20"/>
        </w:rPr>
      </w:pPr>
      <w:r>
        <w:rPr>
          <w:rFonts w:ascii="Times New Roman;Times;serif" w:hAnsi="Times New Roman;Times;serif"/>
          <w:b/>
          <w:i/>
          <w:sz w:val="20"/>
        </w:rPr>
        <w:t>There is no guarantee that the Israeli Government will award to us any grants under the Israeli Law for the Encouragement and Incentivization of Research and Development, 2026.</w:t>
      </w:r>
    </w:p>
    <w:p>
      <w:pPr>
        <w:pStyle w:val="TextBody"/>
        <w:bidi w:val="0"/>
        <w:spacing w:before="0" w:after="200"/>
        <w:ind w:left="0" w:right="360" w:hanging="0"/>
        <w:jc w:val="left"/>
        <w:rPr>
          <w:rFonts w:ascii="Times New Roman;Times;serif" w:hAnsi="Times New Roman;Times;serif"/>
          <w:sz w:val="20"/>
        </w:rPr>
      </w:pPr>
      <w:r>
        <w:rPr>
          <w:rFonts w:ascii="Times New Roman;Times;serif" w:hAnsi="Times New Roman;Times;serif"/>
          <w:sz w:val="20"/>
        </w:rPr>
        <w:t>Under the Israeli R&amp;D Law, we are entitled to apply for a number of grants related to research and development efforts as well as capital investments. We have begun to apply for such grants and intend to continue to apply for grants, as relevant and applicable. Ultimately, grants awarded under the R&amp;D Law are subject to the discretion of the Israeli Minister of Finance. Accordingly, there can be no guarantee that we will receive the full amount, or any amount, of any such grants.</w:t>
      </w:r>
    </w:p>
    <w:p>
      <w:pPr>
        <w:pStyle w:val="TextBody"/>
        <w:pBdr/>
        <w:bidi w:val="0"/>
        <w:spacing w:before="0" w:after="200"/>
        <w:ind w:left="0" w:right="0" w:hanging="1080"/>
        <w:jc w:val="left"/>
        <w:rPr>
          <w:rFonts w:ascii="Times New Roman;Times;serif" w:hAnsi="Times New Roman;Times;serif"/>
          <w:b/>
          <w:sz w:val="20"/>
        </w:rPr>
      </w:pPr>
      <w:bookmarkStart w:id="735" w:name="Item2UnregisteredSalesofEquitySecurities"/>
      <w:bookmarkStart w:id="736" w:name="_b29c1371_5725_4660_90a8_bd1ac782acf1"/>
      <w:bookmarkEnd w:id="735"/>
      <w:bookmarkEnd w:id="736"/>
      <w:r>
        <w:rPr>
          <w:rFonts w:ascii="Times New Roman;Times;serif" w:hAnsi="Times New Roman;Times;serif"/>
          <w:b/>
          <w:sz w:val="20"/>
        </w:rPr>
        <w:t>Item 2. Unregistered Sales of Equity Securities and Use of Proceeds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200"/>
        <w:ind w:left="0" w:right="0" w:hanging="1080"/>
        <w:jc w:val="left"/>
        <w:rPr>
          <w:rFonts w:ascii="Times New Roman;Times;serif" w:hAnsi="Times New Roman;Times;serif"/>
          <w:b/>
          <w:sz w:val="20"/>
        </w:rPr>
      </w:pPr>
      <w:bookmarkStart w:id="737" w:name="Item3DefaultsUponSeniorSecurities_505234"/>
      <w:bookmarkStart w:id="738" w:name="_f31c6752_359d_49b9_a41d_72dc3f05cd9a"/>
      <w:bookmarkEnd w:id="737"/>
      <w:bookmarkEnd w:id="738"/>
      <w:r>
        <w:rPr>
          <w:rFonts w:ascii="Times New Roman;Times;serif" w:hAnsi="Times New Roman;Times;serif"/>
          <w:b/>
          <w:sz w:val="20"/>
        </w:rPr>
        <w:t>Item 3. Defaults Upon Senior Securities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200"/>
        <w:ind w:left="0" w:right="0" w:hanging="1080"/>
        <w:jc w:val="left"/>
        <w:rPr>
          <w:rFonts w:ascii="Times New Roman;Times;serif" w:hAnsi="Times New Roman;Times;serif"/>
          <w:b/>
          <w:sz w:val="20"/>
        </w:rPr>
      </w:pPr>
      <w:bookmarkStart w:id="739" w:name="Item4MineSafetyDisclosure_204781"/>
      <w:bookmarkStart w:id="740" w:name="_1e87fffd_4052_44f0_9aa2_fdb5c1464024"/>
      <w:bookmarkEnd w:id="739"/>
      <w:bookmarkEnd w:id="740"/>
      <w:r>
        <w:rPr>
          <w:rFonts w:ascii="Times New Roman;Times;serif" w:hAnsi="Times New Roman;Times;serif"/>
          <w:b/>
          <w:sz w:val="20"/>
        </w:rPr>
        <w:t>Item 4. Mine Safety Disclosures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00"/>
        <w:ind w:left="0" w:right="0" w:hanging="1080"/>
        <w:jc w:val="left"/>
        <w:rPr>
          <w:rFonts w:ascii="Times New Roman;Times;serif" w:hAnsi="Times New Roman;Times;serif"/>
          <w:b/>
          <w:sz w:val="20"/>
        </w:rPr>
      </w:pPr>
      <w:bookmarkStart w:id="741" w:name="Item5OtherInformation_679200"/>
      <w:bookmarkStart w:id="742" w:name="_e47a97d6_0940_4506_857d_eef160d386bc"/>
      <w:bookmarkEnd w:id="741"/>
      <w:bookmarkEnd w:id="742"/>
      <w:r>
        <w:rPr>
          <w:rFonts w:ascii="Times New Roman;Times;serif" w:hAnsi="Times New Roman;Times;serif"/>
          <w:b/>
          <w:sz w:val="20"/>
        </w:rPr>
        <w:t>Item 5. Other Information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shd w:fill="FFFFFF" w:val="clear"/>
        </w:rPr>
        <w:t>During the quarter ended June 30, 2026, none of our directors or officers adopted or terminated a Rule </w:t>
      </w:r>
      <w:r>
        <w:rPr>
          <w:rFonts w:ascii="Times New Roman;Times;serif" w:hAnsi="Times New Roman;Times;serif"/>
          <w:sz w:val="20"/>
        </w:rPr>
        <w:t xml:space="preserve">10b5-1 </w:t>
      </w:r>
      <w:r>
        <w:rPr>
          <w:rFonts w:ascii="Times New Roman;Times;serif" w:hAnsi="Times New Roman;Times;serif"/>
          <w:sz w:val="20"/>
          <w:shd w:fill="FFFFFF" w:val="clear"/>
        </w:rPr>
        <w:t xml:space="preserve">trading arrangement or a </w:t>
      </w:r>
      <w:r>
        <w:rPr>
          <w:rFonts w:ascii="Times New Roman;Times;serif" w:hAnsi="Times New Roman;Times;serif"/>
          <w:sz w:val="20"/>
        </w:rPr>
        <w:t>non-Rule</w:t>
      </w:r>
      <w:r>
        <w:rPr>
          <w:rFonts w:ascii="Times New Roman;Times;serif" w:hAnsi="Times New Roman;Times;serif"/>
          <w:sz w:val="20"/>
          <w:shd w:fill="FFFFFF" w:val="clear"/>
        </w:rPr>
        <w:t> </w:t>
      </w:r>
      <w:r>
        <w:rPr>
          <w:rFonts w:ascii="Times New Roman;Times;serif" w:hAnsi="Times New Roman;Times;serif"/>
          <w:sz w:val="20"/>
        </w:rPr>
        <w:t>10b5-1</w:t>
      </w:r>
      <w:r>
        <w:rPr>
          <w:rFonts w:ascii="Times New Roman;Times;serif" w:hAnsi="Times New Roman;Times;serif"/>
          <w:sz w:val="20"/>
          <w:shd w:fill="FFFFFF" w:val="clear"/>
        </w:rPr>
        <w:t> trading arrangement (as such terms are defined in Item 408 of Regulation </w:t>
      </w:r>
      <w:r>
        <w:rPr>
          <w:rFonts w:ascii="Times New Roman;Times;serif" w:hAnsi="Times New Roman;Times;serif"/>
          <w:sz w:val="20"/>
        </w:rPr>
        <w:t>S-K)</w:t>
      </w:r>
      <w:r>
        <w:rPr>
          <w:rFonts w:ascii="Times New Roman;Times;serif" w:hAnsi="Times New Roman;Times;serif"/>
          <w:sz w:val="20"/>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00"/>
        <w:ind w:left="0" w:right="0" w:hanging="1080"/>
        <w:jc w:val="left"/>
        <w:rPr>
          <w:rFonts w:ascii="Times New Roman;Times;serif" w:hAnsi="Times New Roman;Times;serif"/>
          <w:b/>
          <w:sz w:val="20"/>
        </w:rPr>
      </w:pPr>
      <w:bookmarkStart w:id="743" w:name="Item6Exhibits_829552"/>
      <w:bookmarkStart w:id="744" w:name="_d1696a88_5633_4d70_9eab_f23e3d5158e4"/>
      <w:bookmarkEnd w:id="743"/>
      <w:bookmarkEnd w:id="744"/>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843"/>
        <w:gridCol w:w="346"/>
        <w:gridCol w:w="4417"/>
        <w:gridCol w:w="576"/>
        <w:gridCol w:w="766"/>
        <w:gridCol w:w="734"/>
        <w:gridCol w:w="1328"/>
        <w:gridCol w:w="1195"/>
      </w:tblGrid>
      <w:tr>
        <w:trPr/>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35305" cy="29210"/>
                      <wp:effectExtent l="0" t="0" r="0" b="0"/>
                      <wp:wrapNone/>
                      <wp:docPr id="296" name="Frame296"/>
                      <a:graphic xmlns:a="http://schemas.openxmlformats.org/drawingml/2006/main">
                        <a:graphicData uri="http://schemas.microsoft.com/office/word/2010/wordprocessingShape">
                          <wps:wsp>
                            <wps:cNvSpPr txBox="1"/>
                            <wps:spPr>
                              <a:xfrm>
                                <a:off x="0" y="0"/>
                                <a:ext cx="5353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804795" cy="29210"/>
                      <wp:effectExtent l="0" t="0" r="0" b="0"/>
                      <wp:wrapNone/>
                      <wp:docPr id="297" name="Frame297"/>
                      <a:graphic xmlns:a="http://schemas.openxmlformats.org/drawingml/2006/main">
                        <a:graphicData uri="http://schemas.microsoft.com/office/word/2010/wordprocessingShape">
                          <wps:wsp>
                            <wps:cNvSpPr txBox="1"/>
                            <wps:spPr>
                              <a:xfrm>
                                <a:off x="0" y="0"/>
                                <a:ext cx="28047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65760" cy="29210"/>
                      <wp:effectExtent l="0" t="0" r="0" b="0"/>
                      <wp:wrapNone/>
                      <wp:docPr id="298" name="Frame298"/>
                      <a:graphic xmlns:a="http://schemas.openxmlformats.org/drawingml/2006/main">
                        <a:graphicData uri="http://schemas.microsoft.com/office/word/2010/wordprocessingShape">
                          <wps:wsp>
                            <wps:cNvSpPr txBox="1"/>
                            <wps:spPr>
                              <a:xfrm>
                                <a:off x="0" y="0"/>
                                <a:ext cx="365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86410" cy="29210"/>
                      <wp:effectExtent l="0" t="0" r="0" b="0"/>
                      <wp:wrapNone/>
                      <wp:docPr id="299" name="Frame299"/>
                      <a:graphic xmlns:a="http://schemas.openxmlformats.org/drawingml/2006/main">
                        <a:graphicData uri="http://schemas.microsoft.com/office/word/2010/wordprocessingShape">
                          <wps:wsp>
                            <wps:cNvSpPr txBox="1"/>
                            <wps:spPr>
                              <a:xfrm>
                                <a:off x="0" y="0"/>
                                <a:ext cx="486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66090" cy="29210"/>
                      <wp:effectExtent l="0" t="0" r="0" b="0"/>
                      <wp:wrapNone/>
                      <wp:docPr id="300" name="Frame300"/>
                      <a:graphic xmlns:a="http://schemas.openxmlformats.org/drawingml/2006/main">
                        <a:graphicData uri="http://schemas.microsoft.com/office/word/2010/wordprocessingShape">
                          <wps:wsp>
                            <wps:cNvSpPr txBox="1"/>
                            <wps:spPr>
                              <a:xfrm>
                                <a:off x="0" y="0"/>
                                <a:ext cx="4660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843280" cy="29210"/>
                      <wp:effectExtent l="0" t="0" r="0" b="0"/>
                      <wp:wrapNone/>
                      <wp:docPr id="301" name="Frame301"/>
                      <a:graphic xmlns:a="http://schemas.openxmlformats.org/drawingml/2006/main">
                        <a:graphicData uri="http://schemas.microsoft.com/office/word/2010/wordprocessingShape">
                          <wps:wsp>
                            <wps:cNvSpPr txBox="1"/>
                            <wps:spPr>
                              <a:xfrm>
                                <a:off x="0" y="0"/>
                                <a:ext cx="843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758825" cy="29210"/>
                      <wp:effectExtent l="0" t="0" r="0" b="0"/>
                      <wp:wrapNone/>
                      <wp:docPr id="302" name="Frame302"/>
                      <a:graphic xmlns:a="http://schemas.openxmlformats.org/drawingml/2006/main">
                        <a:graphicData uri="http://schemas.microsoft.com/office/word/2010/wordprocessingShape">
                          <wps:wsp>
                            <wps:cNvSpPr txBox="1"/>
                            <wps:spPr>
                              <a:xfrm>
                                <a:off x="0" y="0"/>
                                <a:ext cx="7588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35305" cy="175260"/>
                      <wp:effectExtent l="0" t="0" r="0" b="0"/>
                      <wp:wrapNone/>
                      <wp:docPr id="303" name="Frame303"/>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804795" cy="175260"/>
                      <wp:effectExtent l="0" t="0" r="0" b="0"/>
                      <wp:wrapNone/>
                      <wp:docPr id="304" name="Frame304"/>
                      <a:graphic xmlns:a="http://schemas.openxmlformats.org/drawingml/2006/main">
                        <a:graphicData uri="http://schemas.microsoft.com/office/word/2010/wordprocessingShape">
                          <wps:wsp>
                            <wps:cNvSpPr txBox="1"/>
                            <wps:spPr>
                              <a:xfrm>
                                <a:off x="0" y="0"/>
                                <a:ext cx="2804795" cy="175260"/>
                              </a:xfrm>
                              <a:prstGeom prst="rect"/>
                              <a:solidFill>
                                <a:srgbClr val="FFFFFF"/>
                              </a:solidFill>
                            </wps:spPr>
                            <wps:txbx>
                              <w:txbxContent>
                                <w:p>
                                  <w:pPr>
                                    <w:pStyle w:val="TableContents"/>
                                    <w:bidi w:val="0"/>
                                    <w:spacing w:before="0" w:after="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60"/>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65760" cy="175260"/>
                      <wp:effectExtent l="0" t="0" r="0" b="0"/>
                      <wp:wrapNone/>
                      <wp:docPr id="305" name="Frame305"/>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6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86410" cy="175260"/>
                      <wp:effectExtent l="0" t="0" r="0" b="0"/>
                      <wp:wrapNone/>
                      <wp:docPr id="306" name="Frame30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60"/>
                              <w:ind w:left="0" w:right="0" w:hanging="0"/>
                              <w:jc w:val="left"/>
                              <w:rPr/>
                            </w:pPr>
                            <w:r>
                              <w:rPr/>
                              <w:t>​</w:t>
                            </w:r>
                          </w:p>
                        </w:txbxContent>
                      </v:textbox>
                      <w10:wrap type="none"/>
                    </v:rect>
                  </w:pict>
                </mc:Fallback>
              </mc:AlternateConten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66090" cy="175260"/>
                      <wp:effectExtent l="0" t="0" r="0" b="0"/>
                      <wp:wrapNone/>
                      <wp:docPr id="307" name="Frame307"/>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60"/>
                              <w:ind w:left="0" w:right="0" w:hanging="0"/>
                              <w:jc w:val="left"/>
                              <w:rPr/>
                            </w:pPr>
                            <w:r>
                              <w:rPr/>
                              <w:t>​</w:t>
                            </w:r>
                          </w:p>
                        </w:txbxContent>
                      </v:textbox>
                      <w10:wrap type="none"/>
                    </v:rect>
                  </w:pict>
                </mc:Fallback>
              </mc:AlternateContent>
            </w:r>
          </w:p>
        </w:tc>
        <w:tc>
          <w:tcPr>
            <w:tcW w:w="1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843280" cy="175260"/>
                      <wp:effectExtent l="0" t="0" r="0" b="0"/>
                      <wp:wrapNone/>
                      <wp:docPr id="308" name="Frame308"/>
                      <a:graphic xmlns:a="http://schemas.openxmlformats.org/drawingml/2006/main">
                        <a:graphicData uri="http://schemas.microsoft.com/office/word/2010/wordprocessingShape">
                          <wps:wsp>
                            <wps:cNvSpPr txBox="1"/>
                            <wps:spPr>
                              <a:xfrm>
                                <a:off x="0" y="0"/>
                                <a:ext cx="843280" cy="175260"/>
                              </a:xfrm>
                              <a:prstGeom prst="rect"/>
                              <a:solidFill>
                                <a:srgbClr val="FFFFFF"/>
                              </a:solidFill>
                            </wps:spPr>
                            <wps:txbx>
                              <w:txbxContent>
                                <w:p>
                                  <w:pPr>
                                    <w:pStyle w:val="TableContents"/>
                                    <w:bidi w:val="0"/>
                                    <w:spacing w:before="0" w:after="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60"/>
                              <w:ind w:left="0" w:right="0" w:hanging="0"/>
                              <w:jc w:val="left"/>
                              <w:rPr/>
                            </w:pPr>
                            <w:r>
                              <w:rPr/>
                              <w:t>​</w:t>
                            </w:r>
                          </w:p>
                        </w:txbxContent>
                      </v:textbox>
                      <w10:wrap type="none"/>
                    </v:rect>
                  </w:pict>
                </mc:Fallback>
              </mc:AlternateContent>
            </w:r>
          </w:p>
        </w:tc>
        <w:tc>
          <w:tcPr>
            <w:tcW w:w="1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758825" cy="175260"/>
                      <wp:effectExtent l="0" t="0" r="0" b="0"/>
                      <wp:wrapNone/>
                      <wp:docPr id="309" name="Frame309"/>
                      <a:graphic xmlns:a="http://schemas.openxmlformats.org/drawingml/2006/main">
                        <a:graphicData uri="http://schemas.microsoft.com/office/word/2010/wordprocessingShape">
                          <wps:wsp>
                            <wps:cNvSpPr txBox="1"/>
                            <wps:spPr>
                              <a:xfrm>
                                <a:off x="0" y="0"/>
                                <a:ext cx="758825" cy="175260"/>
                              </a:xfrm>
                              <a:prstGeom prst="rect"/>
                              <a:solidFill>
                                <a:srgbClr val="FFFFFF"/>
                              </a:solidFill>
                            </wps:spPr>
                            <wps:txbx>
                              <w:txbxContent>
                                <w:p>
                                  <w:pPr>
                                    <w:pStyle w:val="TableContents"/>
                                    <w:bidi w:val="0"/>
                                    <w:spacing w:before="0" w:after="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60"/>
                              <w:ind w:left="0" w:right="0" w:hanging="0"/>
                              <w:jc w:val="left"/>
                              <w:rPr/>
                            </w:pPr>
                            <w:r>
                              <w:rPr/>
                              <w:t>​</w:t>
                            </w:r>
                          </w:p>
                        </w:txbxContent>
                      </v:textbox>
                      <w10:wrap type="none"/>
                    </v:rect>
                  </w:pict>
                </mc:Fallback>
              </mc:AlternateContent>
            </w:r>
          </w:p>
        </w:tc>
      </w:tr>
      <w:tr>
        <w:trPr/>
        <w:tc>
          <w:tcPr>
            <w:tcW w:w="843" w:type="dxa"/>
            <w:tcBorders/>
            <w:vAlign w:val="center"/>
          </w:tcPr>
          <w:p>
            <w:pPr>
              <w:pStyle w:val="TableContents"/>
              <w:bidi w:val="0"/>
              <w:spacing w:before="0" w:after="60"/>
              <w:ind w:left="0" w:right="0" w:hanging="0"/>
              <w:jc w:val="center"/>
              <w:rPr/>
            </w:pPr>
            <w:r>
              <w:rPr/>
              <w:t>​</w:t>
            </w:r>
          </w:p>
        </w:tc>
        <w:tc>
          <w:tcPr>
            <w:tcW w:w="346" w:type="dxa"/>
            <w:tcBorders/>
            <w:vAlign w:val="center"/>
          </w:tcPr>
          <w:p>
            <w:pPr>
              <w:pStyle w:val="TableContents"/>
              <w:bidi w:val="0"/>
              <w:spacing w:before="0" w:after="60"/>
              <w:ind w:left="0" w:right="0" w:hanging="0"/>
              <w:jc w:val="center"/>
              <w:rPr/>
            </w:pPr>
            <w:r>
              <w:rPr/>
              <w:t>​</w:t>
            </w:r>
          </w:p>
        </w:tc>
        <w:tc>
          <w:tcPr>
            <w:tcW w:w="4417" w:type="dxa"/>
            <w:tcBorders/>
            <w:vAlign w:val="center"/>
          </w:tcPr>
          <w:p>
            <w:pPr>
              <w:pStyle w:val="TableContents"/>
              <w:bidi w:val="0"/>
              <w:spacing w:before="0" w:after="60"/>
              <w:ind w:left="0" w:right="0" w:hanging="0"/>
              <w:jc w:val="center"/>
              <w:rPr/>
            </w:pPr>
            <w:r>
              <w:rPr/>
              <w:t>​</w:t>
            </w:r>
          </w:p>
        </w:tc>
        <w:tc>
          <w:tcPr>
            <w:tcW w:w="3404" w:type="dxa"/>
            <w:gridSpan w:val="4"/>
            <w:tcBorders/>
            <w:vAlign w:val="center"/>
          </w:tcPr>
          <w:p>
            <w:pPr>
              <w:pStyle w:val="TableContents"/>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1195" w:type="dxa"/>
            <w:tcBorders/>
            <w:vAlign w:val="center"/>
          </w:tcPr>
          <w:p>
            <w:pPr>
              <w:pStyle w:val="TableContents"/>
              <w:bidi w:val="0"/>
              <w:spacing w:before="0" w:after="60"/>
              <w:ind w:left="0" w:right="0" w:hanging="0"/>
              <w:jc w:val="center"/>
              <w:rPr/>
            </w:pPr>
            <w:r>
              <w:rPr/>
              <w:t>​</w:t>
            </w:r>
          </w:p>
        </w:tc>
      </w:tr>
      <w:tr>
        <w:trPr/>
        <w:tc>
          <w:tcPr>
            <w:tcW w:w="843" w:type="dxa"/>
            <w:tcBorders/>
            <w:vAlign w:val="center"/>
          </w:tcPr>
          <w:p>
            <w:pPr>
              <w:pStyle w:val="TableContents"/>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Exhibit Number</w:t>
            </w:r>
          </w:p>
        </w:tc>
        <w:tc>
          <w:tcPr>
            <w:tcW w:w="346" w:type="dxa"/>
            <w:tcBorders/>
            <w:vAlign w:val="center"/>
          </w:tcPr>
          <w:p>
            <w:pPr>
              <w:pStyle w:val="TableContents"/>
              <w:bidi w:val="0"/>
              <w:spacing w:before="0" w:after="60"/>
              <w:ind w:left="0" w:right="0" w:hanging="0"/>
              <w:jc w:val="center"/>
              <w:rPr/>
            </w:pPr>
            <w:r>
              <w:rPr/>
              <w:t>  ​ ​ ​</w:t>
            </w:r>
          </w:p>
        </w:tc>
        <w:tc>
          <w:tcPr>
            <w:tcW w:w="4417" w:type="dxa"/>
            <w:tcBorders/>
            <w:vAlign w:val="center"/>
          </w:tcPr>
          <w:p>
            <w:pPr>
              <w:pStyle w:val="TableContents"/>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576" w:type="dxa"/>
            <w:tcBorders/>
            <w:vAlign w:val="center"/>
          </w:tcPr>
          <w:p>
            <w:pPr>
              <w:pStyle w:val="TableContents"/>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766" w:type="dxa"/>
            <w:tcBorders/>
            <w:vAlign w:val="center"/>
          </w:tcPr>
          <w:p>
            <w:pPr>
              <w:pStyle w:val="TableContents"/>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734" w:type="dxa"/>
            <w:tcBorders/>
            <w:vAlign w:val="center"/>
          </w:tcPr>
          <w:p>
            <w:pPr>
              <w:pStyle w:val="TableContents"/>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1328" w:type="dxa"/>
            <w:tcBorders/>
            <w:vAlign w:val="center"/>
          </w:tcPr>
          <w:p>
            <w:pPr>
              <w:pStyle w:val="TableContents"/>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1195" w:type="dxa"/>
            <w:tcBorders/>
            <w:vAlign w:val="center"/>
          </w:tcPr>
          <w:p>
            <w:pPr>
              <w:pStyle w:val="TableContents"/>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Filed or Furnished Herewith</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pPr>
            <w:hyperlink r:id="rId2">
              <w:r>
                <w:rPr>
                  <w:rStyle w:val="InternetLink"/>
                  <w:rFonts w:ascii="Times New Roman;Times;serif" w:hAnsi="Times New Roman;Times;serif"/>
                  <w:b w:val="false"/>
                  <w:i w:val="false"/>
                  <w:caps w:val="false"/>
                  <w:smallCaps w:val="false"/>
                  <w:sz w:val="20"/>
                </w:rPr>
                <w:t>Certificate of Incorporation of the Company</w:t>
              </w:r>
            </w:hyperlink>
          </w:p>
        </w:tc>
        <w:tc>
          <w:tcPr>
            <w:tcW w:w="57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8-K</w:t>
            </w:r>
          </w:p>
        </w:tc>
        <w:tc>
          <w:tcPr>
            <w:tcW w:w="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001-33357</w:t>
            </w:r>
          </w:p>
        </w:tc>
        <w:tc>
          <w:tcPr>
            <w:tcW w:w="734"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3.1</w:t>
            </w:r>
          </w:p>
        </w:tc>
        <w:tc>
          <w:tcPr>
            <w:tcW w:w="1328"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April 1, 2016</w:t>
            </w:r>
          </w:p>
        </w:tc>
        <w:tc>
          <w:tcPr>
            <w:tcW w:w="1195" w:type="dxa"/>
            <w:tcBorders/>
            <w:vAlign w:val="center"/>
          </w:tcPr>
          <w:p>
            <w:pPr>
              <w:pStyle w:val="TableContents"/>
              <w:bidi w:val="0"/>
              <w:spacing w:before="0" w:after="60"/>
              <w:ind w:left="0" w:right="0" w:hanging="0"/>
              <w:jc w:val="center"/>
              <w:rPr/>
            </w:pPr>
            <w:r>
              <w:rPr/>
              <w:t>​</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pPr>
            <w:hyperlink r:id="rId3">
              <w:r>
                <w:rPr>
                  <w:rStyle w:val="InternetLink"/>
                  <w:rFonts w:ascii="Times New Roman;Times;serif" w:hAnsi="Times New Roman;Times;serif"/>
                  <w:b w:val="false"/>
                  <w:i w:val="false"/>
                  <w:caps w:val="false"/>
                  <w:smallCaps w:val="false"/>
                  <w:sz w:val="20"/>
                </w:rPr>
                <w:t>Amendment to Certificate of Incorporation of the Company</w:t>
              </w:r>
            </w:hyperlink>
          </w:p>
        </w:tc>
        <w:tc>
          <w:tcPr>
            <w:tcW w:w="57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Def 14A</w:t>
            </w:r>
          </w:p>
        </w:tc>
        <w:tc>
          <w:tcPr>
            <w:tcW w:w="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001-33357</w:t>
            </w:r>
          </w:p>
        </w:tc>
        <w:tc>
          <w:tcPr>
            <w:tcW w:w="734"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Appen. A</w:t>
            </w:r>
          </w:p>
        </w:tc>
        <w:tc>
          <w:tcPr>
            <w:tcW w:w="1328"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July 1, 2016</w:t>
            </w:r>
          </w:p>
        </w:tc>
        <w:tc>
          <w:tcPr>
            <w:tcW w:w="1195" w:type="dxa"/>
            <w:tcBorders/>
            <w:vAlign w:val="center"/>
          </w:tcPr>
          <w:p>
            <w:pPr>
              <w:pStyle w:val="TableContents"/>
              <w:bidi w:val="0"/>
              <w:spacing w:before="0" w:after="60"/>
              <w:ind w:left="0" w:right="0" w:hanging="0"/>
              <w:jc w:val="center"/>
              <w:rPr/>
            </w:pPr>
            <w:r>
              <w:rPr/>
              <w:t>​</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pPr>
            <w:hyperlink r:id="rId4">
              <w:r>
                <w:rPr>
                  <w:rStyle w:val="InternetLink"/>
                  <w:rFonts w:ascii="Times New Roman;Times;serif" w:hAnsi="Times New Roman;Times;serif"/>
                  <w:b w:val="false"/>
                  <w:i w:val="false"/>
                  <w:caps w:val="false"/>
                  <w:smallCaps w:val="false"/>
                  <w:sz w:val="20"/>
                </w:rPr>
                <w:t>Second Amendment to Certificate of Incorporation of the Company</w:t>
              </w:r>
            </w:hyperlink>
          </w:p>
        </w:tc>
        <w:tc>
          <w:tcPr>
            <w:tcW w:w="57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Def 14A</w:t>
            </w:r>
          </w:p>
        </w:tc>
        <w:tc>
          <w:tcPr>
            <w:tcW w:w="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001-33357</w:t>
            </w:r>
          </w:p>
        </w:tc>
        <w:tc>
          <w:tcPr>
            <w:tcW w:w="734"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Appen. A</w:t>
            </w:r>
          </w:p>
        </w:tc>
        <w:tc>
          <w:tcPr>
            <w:tcW w:w="1328"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October 17, 2018</w:t>
            </w:r>
          </w:p>
        </w:tc>
        <w:tc>
          <w:tcPr>
            <w:tcW w:w="1195" w:type="dxa"/>
            <w:tcBorders/>
            <w:vAlign w:val="center"/>
          </w:tcPr>
          <w:p>
            <w:pPr>
              <w:pStyle w:val="TableContents"/>
              <w:bidi w:val="0"/>
              <w:spacing w:before="0" w:after="60"/>
              <w:ind w:left="0" w:right="0" w:hanging="0"/>
              <w:jc w:val="center"/>
              <w:rPr/>
            </w:pPr>
            <w:r>
              <w:rPr/>
              <w:t>​</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pPr>
            <w:hyperlink r:id="rId5">
              <w:r>
                <w:rPr>
                  <w:rStyle w:val="InternetLink"/>
                  <w:rFonts w:ascii="Times New Roman;Times;serif" w:hAnsi="Times New Roman;Times;serif"/>
                  <w:b w:val="false"/>
                  <w:i w:val="false"/>
                  <w:caps w:val="false"/>
                  <w:smallCaps w:val="false"/>
                  <w:sz w:val="20"/>
                </w:rPr>
                <w:t>Third Amendment to Certificate of Incorporation of the Company</w:t>
              </w:r>
            </w:hyperlink>
          </w:p>
        </w:tc>
        <w:tc>
          <w:tcPr>
            <w:tcW w:w="57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8-K</w:t>
            </w:r>
          </w:p>
        </w:tc>
        <w:tc>
          <w:tcPr>
            <w:tcW w:w="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001-33357</w:t>
            </w:r>
          </w:p>
        </w:tc>
        <w:tc>
          <w:tcPr>
            <w:tcW w:w="734"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3.1</w:t>
            </w:r>
          </w:p>
        </w:tc>
        <w:tc>
          <w:tcPr>
            <w:tcW w:w="1328"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December 19, 2019</w:t>
            </w:r>
          </w:p>
        </w:tc>
        <w:tc>
          <w:tcPr>
            <w:tcW w:w="1195" w:type="dxa"/>
            <w:tcBorders/>
            <w:vAlign w:val="center"/>
          </w:tcPr>
          <w:p>
            <w:pPr>
              <w:pStyle w:val="TableContents"/>
              <w:bidi w:val="0"/>
              <w:spacing w:before="0" w:after="60"/>
              <w:ind w:left="0" w:right="0" w:hanging="0"/>
              <w:jc w:val="center"/>
              <w:rPr/>
            </w:pPr>
            <w:r>
              <w:rPr/>
              <w:t>​</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pPr>
            <w:hyperlink r:id="rId6">
              <w:r>
                <w:rPr>
                  <w:rStyle w:val="InternetLink"/>
                  <w:rFonts w:ascii="Times New Roman;Times;serif" w:hAnsi="Times New Roman;Times;serif"/>
                  <w:b w:val="false"/>
                  <w:i w:val="false"/>
                  <w:caps w:val="false"/>
                  <w:smallCaps w:val="false"/>
                  <w:sz w:val="20"/>
                </w:rPr>
                <w:t>Fourth Amendment to Certificate of Incorporation of the Company</w:t>
              </w:r>
            </w:hyperlink>
          </w:p>
        </w:tc>
        <w:tc>
          <w:tcPr>
            <w:tcW w:w="57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10-Q</w:t>
            </w:r>
          </w:p>
        </w:tc>
        <w:tc>
          <w:tcPr>
            <w:tcW w:w="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001-33357</w:t>
            </w:r>
          </w:p>
        </w:tc>
        <w:tc>
          <w:tcPr>
            <w:tcW w:w="734"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3.5</w:t>
            </w:r>
          </w:p>
        </w:tc>
        <w:tc>
          <w:tcPr>
            <w:tcW w:w="1328"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August 15, 2022</w:t>
            </w:r>
          </w:p>
        </w:tc>
        <w:tc>
          <w:tcPr>
            <w:tcW w:w="1195" w:type="dxa"/>
            <w:tcBorders/>
            <w:vAlign w:val="center"/>
          </w:tcPr>
          <w:p>
            <w:pPr>
              <w:pStyle w:val="TableContents"/>
              <w:bidi w:val="0"/>
              <w:spacing w:before="0" w:after="60"/>
              <w:ind w:left="0" w:right="0" w:hanging="0"/>
              <w:jc w:val="center"/>
              <w:rPr/>
            </w:pPr>
            <w:r>
              <w:rPr/>
              <w:t>​</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pPr>
            <w:hyperlink r:id="rId7">
              <w:r>
                <w:rPr>
                  <w:rStyle w:val="InternetLink"/>
                  <w:rFonts w:ascii="Times New Roman;Times;serif" w:hAnsi="Times New Roman;Times;serif"/>
                  <w:b w:val="false"/>
                  <w:i w:val="false"/>
                  <w:caps w:val="false"/>
                  <w:smallCaps w:val="false"/>
                  <w:sz w:val="20"/>
                </w:rPr>
                <w:t>Fifth Amendment to Certificate of Incorporation of the Company</w:t>
              </w:r>
            </w:hyperlink>
          </w:p>
        </w:tc>
        <w:tc>
          <w:tcPr>
            <w:tcW w:w="57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10-Q</w:t>
            </w:r>
          </w:p>
        </w:tc>
        <w:tc>
          <w:tcPr>
            <w:tcW w:w="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001-33357</w:t>
            </w:r>
          </w:p>
        </w:tc>
        <w:tc>
          <w:tcPr>
            <w:tcW w:w="734"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3.6</w:t>
            </w:r>
          </w:p>
        </w:tc>
        <w:tc>
          <w:tcPr>
            <w:tcW w:w="1328"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August 7, 2023</w:t>
            </w:r>
          </w:p>
        </w:tc>
        <w:tc>
          <w:tcPr>
            <w:tcW w:w="1195" w:type="dxa"/>
            <w:tcBorders/>
            <w:vAlign w:val="center"/>
          </w:tcPr>
          <w:p>
            <w:pPr>
              <w:pStyle w:val="TableContents"/>
              <w:bidi w:val="0"/>
              <w:spacing w:before="0" w:after="60"/>
              <w:ind w:left="0" w:right="0" w:hanging="0"/>
              <w:jc w:val="center"/>
              <w:rPr/>
            </w:pPr>
            <w:r>
              <w:rPr/>
              <w:t>​</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pPr>
            <w:hyperlink r:id="rId8">
              <w:r>
                <w:rPr>
                  <w:rStyle w:val="InternetLink"/>
                  <w:rFonts w:ascii="Times New Roman;Times;serif" w:hAnsi="Times New Roman;Times;serif"/>
                  <w:b w:val="false"/>
                  <w:i w:val="false"/>
                  <w:caps w:val="false"/>
                  <w:smallCaps w:val="false"/>
                  <w:sz w:val="20"/>
                </w:rPr>
                <w:t>Second Amended and Restated Bylaws of the Company</w:t>
              </w:r>
            </w:hyperlink>
          </w:p>
        </w:tc>
        <w:tc>
          <w:tcPr>
            <w:tcW w:w="57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10-Q</w:t>
            </w:r>
          </w:p>
        </w:tc>
        <w:tc>
          <w:tcPr>
            <w:tcW w:w="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001-33357</w:t>
            </w:r>
          </w:p>
        </w:tc>
        <w:tc>
          <w:tcPr>
            <w:tcW w:w="734"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3.7</w:t>
            </w:r>
          </w:p>
        </w:tc>
        <w:tc>
          <w:tcPr>
            <w:tcW w:w="1328"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May 9, 2025</w:t>
            </w:r>
          </w:p>
        </w:tc>
        <w:tc>
          <w:tcPr>
            <w:tcW w:w="1195" w:type="dxa"/>
            <w:tcBorders/>
            <w:vAlign w:val="center"/>
          </w:tcPr>
          <w:p>
            <w:pPr>
              <w:pStyle w:val="TableContents"/>
              <w:bidi w:val="0"/>
              <w:spacing w:before="0" w:after="60"/>
              <w:ind w:left="0" w:right="0" w:hanging="0"/>
              <w:jc w:val="center"/>
              <w:rPr/>
            </w:pPr>
            <w:r>
              <w:rPr/>
              <w:t>​</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pPr>
            <w:hyperlink r:id="rId9">
              <w:r>
                <w:rPr>
                  <w:rStyle w:val="InternetLink"/>
                  <w:rFonts w:ascii="Times New Roman;Times;serif" w:hAnsi="Times New Roman;Times;serif"/>
                  <w:b w:val="false"/>
                  <w:i w:val="false"/>
                  <w:caps w:val="false"/>
                  <w:smallCaps w:val="false"/>
                  <w:sz w:val="20"/>
                </w:rPr>
                <w:t>Form of Restricted Stock Agreement/Notice</w:t>
              </w:r>
            </w:hyperlink>
          </w:p>
        </w:tc>
        <w:tc>
          <w:tcPr>
            <w:tcW w:w="57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8-K</w:t>
            </w:r>
          </w:p>
        </w:tc>
        <w:tc>
          <w:tcPr>
            <w:tcW w:w="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001-33357</w:t>
            </w:r>
          </w:p>
        </w:tc>
        <w:tc>
          <w:tcPr>
            <w:tcW w:w="734"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4.1</w:t>
            </w:r>
          </w:p>
        </w:tc>
        <w:tc>
          <w:tcPr>
            <w:tcW w:w="1328"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July 18, 2012</w:t>
            </w:r>
          </w:p>
        </w:tc>
        <w:tc>
          <w:tcPr>
            <w:tcW w:w="1195" w:type="dxa"/>
            <w:tcBorders/>
            <w:vAlign w:val="center"/>
          </w:tcPr>
          <w:p>
            <w:pPr>
              <w:pStyle w:val="TableContents"/>
              <w:bidi w:val="0"/>
              <w:spacing w:before="0" w:after="60"/>
              <w:ind w:left="0" w:right="0" w:hanging="0"/>
              <w:jc w:val="center"/>
              <w:rPr/>
            </w:pPr>
            <w:r>
              <w:rPr/>
              <w:t>​</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pPr>
            <w:hyperlink r:id="rId10">
              <w:r>
                <w:rPr>
                  <w:rStyle w:val="InternetLink"/>
                  <w:rFonts w:ascii="Times New Roman;Times;serif" w:hAnsi="Times New Roman;Times;serif"/>
                  <w:b w:val="false"/>
                  <w:i w:val="false"/>
                  <w:caps w:val="false"/>
                  <w:smallCaps w:val="false"/>
                  <w:sz w:val="20"/>
                </w:rPr>
                <w:t>Description of Capital Stock</w:t>
              </w:r>
            </w:hyperlink>
          </w:p>
        </w:tc>
        <w:tc>
          <w:tcPr>
            <w:tcW w:w="57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10-K</w:t>
            </w:r>
          </w:p>
        </w:tc>
        <w:tc>
          <w:tcPr>
            <w:tcW w:w="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001-33357</w:t>
            </w:r>
          </w:p>
        </w:tc>
        <w:tc>
          <w:tcPr>
            <w:tcW w:w="734"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4.4</w:t>
            </w:r>
          </w:p>
        </w:tc>
        <w:tc>
          <w:tcPr>
            <w:tcW w:w="1328"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March 18, 2026</w:t>
            </w:r>
          </w:p>
        </w:tc>
        <w:tc>
          <w:tcPr>
            <w:tcW w:w="1195" w:type="dxa"/>
            <w:tcBorders/>
            <w:vAlign w:val="center"/>
          </w:tcPr>
          <w:p>
            <w:pPr>
              <w:pStyle w:val="TableContents"/>
              <w:bidi w:val="0"/>
              <w:spacing w:before="0" w:after="60"/>
              <w:ind w:left="0" w:right="0" w:hanging="0"/>
              <w:jc w:val="center"/>
              <w:rPr/>
            </w:pPr>
            <w:r>
              <w:rPr/>
              <w:t>​</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pPr>
            <w:hyperlink r:id="rId11">
              <w:r>
                <w:rPr>
                  <w:rStyle w:val="InternetLink"/>
                  <w:rFonts w:ascii="Times New Roman;Times;serif" w:hAnsi="Times New Roman;Times;serif"/>
                  <w:b w:val="false"/>
                  <w:i w:val="false"/>
                  <w:caps w:val="false"/>
                  <w:smallCaps w:val="false"/>
                  <w:sz w:val="20"/>
                </w:rPr>
                <w:t>Form of Stock Option Agreement (Executives)</w:t>
              </w:r>
            </w:hyperlink>
          </w:p>
        </w:tc>
        <w:tc>
          <w:tcPr>
            <w:tcW w:w="57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10-Q</w:t>
            </w:r>
          </w:p>
        </w:tc>
        <w:tc>
          <w:tcPr>
            <w:tcW w:w="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001-33357</w:t>
            </w:r>
          </w:p>
        </w:tc>
        <w:tc>
          <w:tcPr>
            <w:tcW w:w="734"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4.8</w:t>
            </w:r>
          </w:p>
        </w:tc>
        <w:tc>
          <w:tcPr>
            <w:tcW w:w="1328"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August 10, 2020</w:t>
            </w:r>
          </w:p>
        </w:tc>
        <w:tc>
          <w:tcPr>
            <w:tcW w:w="1195" w:type="dxa"/>
            <w:tcBorders/>
            <w:vAlign w:val="center"/>
          </w:tcPr>
          <w:p>
            <w:pPr>
              <w:pStyle w:val="TableContents"/>
              <w:bidi w:val="0"/>
              <w:spacing w:before="0" w:after="283"/>
              <w:ind w:left="0" w:right="0" w:hanging="0"/>
              <w:jc w:val="left"/>
              <w:rPr>
                <w:sz w:val="4"/>
                <w:szCs w:val="4"/>
              </w:rPr>
            </w:pPr>
            <w:r>
              <w:rPr>
                <w:sz w:val="4"/>
                <w:szCs w:val="4"/>
              </w:rPr>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pPr>
            <w:hyperlink r:id="rId12">
              <w:r>
                <w:rPr>
                  <w:rStyle w:val="InternetLink"/>
                  <w:rFonts w:ascii="Times New Roman;Times;serif" w:hAnsi="Times New Roman;Times;serif"/>
                  <w:b w:val="false"/>
                  <w:i w:val="false"/>
                  <w:caps w:val="false"/>
                  <w:smallCaps w:val="false"/>
                  <w:sz w:val="20"/>
                </w:rPr>
                <w:t>Form of Stock Option Agreement (Standard)</w:t>
              </w:r>
            </w:hyperlink>
          </w:p>
        </w:tc>
        <w:tc>
          <w:tcPr>
            <w:tcW w:w="57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10-Q</w:t>
            </w:r>
          </w:p>
        </w:tc>
        <w:tc>
          <w:tcPr>
            <w:tcW w:w="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001-33357</w:t>
            </w:r>
          </w:p>
        </w:tc>
        <w:tc>
          <w:tcPr>
            <w:tcW w:w="734"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4.9</w:t>
            </w:r>
          </w:p>
        </w:tc>
        <w:tc>
          <w:tcPr>
            <w:tcW w:w="1328"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August 10, 2020</w:t>
            </w:r>
          </w:p>
        </w:tc>
        <w:tc>
          <w:tcPr>
            <w:tcW w:w="1195" w:type="dxa"/>
            <w:tcBorders/>
            <w:vAlign w:val="center"/>
          </w:tcPr>
          <w:p>
            <w:pPr>
              <w:pStyle w:val="TableContents"/>
              <w:bidi w:val="0"/>
              <w:spacing w:before="0" w:after="283"/>
              <w:ind w:left="0" w:right="0" w:hanging="0"/>
              <w:jc w:val="left"/>
              <w:rPr>
                <w:sz w:val="4"/>
                <w:szCs w:val="4"/>
              </w:rPr>
            </w:pPr>
            <w:r>
              <w:rPr>
                <w:sz w:val="4"/>
                <w:szCs w:val="4"/>
              </w:rPr>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pPr>
            <w:hyperlink r:id="rId13">
              <w:r>
                <w:rPr>
                  <w:rStyle w:val="InternetLink"/>
                  <w:rFonts w:ascii="Times New Roman;Times;serif" w:hAnsi="Times New Roman;Times;serif"/>
                  <w:b w:val="false"/>
                  <w:i w:val="false"/>
                  <w:caps w:val="false"/>
                  <w:smallCaps w:val="false"/>
                  <w:sz w:val="20"/>
                </w:rPr>
                <w:t>Amended and Restated Pro BioTherapeutics, Inc. 2006 Stock Incentive Plan</w:t>
              </w:r>
            </w:hyperlink>
          </w:p>
        </w:tc>
        <w:tc>
          <w:tcPr>
            <w:tcW w:w="57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8-K</w:t>
            </w:r>
          </w:p>
        </w:tc>
        <w:tc>
          <w:tcPr>
            <w:tcW w:w="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001-33357</w:t>
            </w:r>
          </w:p>
        </w:tc>
        <w:tc>
          <w:tcPr>
            <w:tcW w:w="734"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10.1</w:t>
            </w:r>
          </w:p>
        </w:tc>
        <w:tc>
          <w:tcPr>
            <w:tcW w:w="1328"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June 25, 2026</w:t>
            </w:r>
          </w:p>
        </w:tc>
        <w:tc>
          <w:tcPr>
            <w:tcW w:w="1195" w:type="dxa"/>
            <w:tcBorders/>
            <w:vAlign w:val="center"/>
          </w:tcPr>
          <w:p>
            <w:pPr>
              <w:pStyle w:val="TableContents"/>
              <w:bidi w:val="0"/>
              <w:spacing w:before="0" w:after="60"/>
              <w:ind w:left="0" w:right="0" w:hanging="0"/>
              <w:jc w:val="center"/>
              <w:rPr/>
            </w:pPr>
            <w:r>
              <w:rPr/>
              <w:t>​</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pPr>
            <w:hyperlink w:anchor="plx-20260630xex31d1.htm">
              <w:r>
                <w:rPr>
                  <w:rStyle w:val="InternetLink"/>
                  <w:rFonts w:ascii="Times New Roman;Times;serif" w:hAnsi="Times New Roman;Times;serif"/>
                  <w:b w:val="false"/>
                  <w:i w:val="false"/>
                  <w:caps w:val="false"/>
                  <w:smallCaps w:val="false"/>
                  <w:sz w:val="20"/>
                </w:rPr>
                <w:t>Certification of Chief Executive Officer pursuant to Rules 13a-14(a) and 15d-14(a) as adopted pursuant to Section 302 of the Sarbanes-Oxley Act of 2002</w:t>
              </w:r>
            </w:hyperlink>
          </w:p>
        </w:tc>
        <w:tc>
          <w:tcPr>
            <w:tcW w:w="576" w:type="dxa"/>
            <w:tcBorders/>
            <w:vAlign w:val="center"/>
          </w:tcPr>
          <w:p>
            <w:pPr>
              <w:pStyle w:val="TableContents"/>
              <w:bidi w:val="0"/>
              <w:spacing w:before="0" w:after="60"/>
              <w:ind w:left="0" w:right="0" w:hanging="0"/>
              <w:jc w:val="center"/>
              <w:rPr/>
            </w:pPr>
            <w:r>
              <w:rPr/>
              <w:t>​</w:t>
            </w:r>
          </w:p>
        </w:tc>
        <w:tc>
          <w:tcPr>
            <w:tcW w:w="766" w:type="dxa"/>
            <w:tcBorders/>
            <w:vAlign w:val="center"/>
          </w:tcPr>
          <w:p>
            <w:pPr>
              <w:pStyle w:val="TableContents"/>
              <w:bidi w:val="0"/>
              <w:spacing w:before="0" w:after="60"/>
              <w:ind w:left="0" w:right="0" w:hanging="0"/>
              <w:jc w:val="center"/>
              <w:rPr/>
            </w:pPr>
            <w:r>
              <w:rPr/>
              <w:t>​</w:t>
            </w:r>
          </w:p>
        </w:tc>
        <w:tc>
          <w:tcPr>
            <w:tcW w:w="734" w:type="dxa"/>
            <w:tcBorders/>
            <w:vAlign w:val="center"/>
          </w:tcPr>
          <w:p>
            <w:pPr>
              <w:pStyle w:val="TableContents"/>
              <w:bidi w:val="0"/>
              <w:spacing w:before="0" w:after="60"/>
              <w:ind w:left="0" w:right="0" w:hanging="0"/>
              <w:jc w:val="center"/>
              <w:rPr/>
            </w:pPr>
            <w:r>
              <w:rPr/>
              <w:t>​</w:t>
            </w:r>
          </w:p>
        </w:tc>
        <w:tc>
          <w:tcPr>
            <w:tcW w:w="1328" w:type="dxa"/>
            <w:tcBorders/>
            <w:vAlign w:val="center"/>
          </w:tcPr>
          <w:p>
            <w:pPr>
              <w:pStyle w:val="TableContents"/>
              <w:bidi w:val="0"/>
              <w:spacing w:before="0" w:after="60"/>
              <w:ind w:left="0" w:right="0" w:hanging="0"/>
              <w:jc w:val="center"/>
              <w:rPr/>
            </w:pPr>
            <w:r>
              <w:rPr/>
              <w:t>​</w:t>
            </w:r>
          </w:p>
        </w:tc>
        <w:tc>
          <w:tcPr>
            <w:tcW w:w="1195"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pPr>
            <w:hyperlink w:anchor="plx-20260630xex31d2.htm">
              <w:r>
                <w:rPr>
                  <w:rStyle w:val="InternetLink"/>
                  <w:rFonts w:ascii="Times New Roman;Times;serif" w:hAnsi="Times New Roman;Times;serif"/>
                  <w:b w:val="false"/>
                  <w:i w:val="false"/>
                  <w:caps w:val="false"/>
                  <w:smallCaps w:val="false"/>
                  <w:sz w:val="20"/>
                </w:rPr>
                <w:t>Certification of Chief Financial Officer pursuant to Rules 13a-14(a) and 15d-14(a) as adopted pursuant to Section 302 of the Sarbanes-Oxley Act of 2002</w:t>
              </w:r>
            </w:hyperlink>
          </w:p>
        </w:tc>
        <w:tc>
          <w:tcPr>
            <w:tcW w:w="576" w:type="dxa"/>
            <w:tcBorders/>
            <w:vAlign w:val="center"/>
          </w:tcPr>
          <w:p>
            <w:pPr>
              <w:pStyle w:val="TableContents"/>
              <w:bidi w:val="0"/>
              <w:spacing w:before="0" w:after="60"/>
              <w:ind w:left="0" w:right="0" w:hanging="0"/>
              <w:jc w:val="center"/>
              <w:rPr/>
            </w:pPr>
            <w:r>
              <w:rPr/>
              <w:t>​</w:t>
            </w:r>
          </w:p>
        </w:tc>
        <w:tc>
          <w:tcPr>
            <w:tcW w:w="766" w:type="dxa"/>
            <w:tcBorders/>
            <w:vAlign w:val="center"/>
          </w:tcPr>
          <w:p>
            <w:pPr>
              <w:pStyle w:val="TableContents"/>
              <w:bidi w:val="0"/>
              <w:spacing w:before="0" w:after="60"/>
              <w:ind w:left="0" w:right="0" w:hanging="0"/>
              <w:jc w:val="center"/>
              <w:rPr/>
            </w:pPr>
            <w:r>
              <w:rPr/>
              <w:t>​</w:t>
            </w:r>
          </w:p>
        </w:tc>
        <w:tc>
          <w:tcPr>
            <w:tcW w:w="734" w:type="dxa"/>
            <w:tcBorders/>
            <w:vAlign w:val="center"/>
          </w:tcPr>
          <w:p>
            <w:pPr>
              <w:pStyle w:val="TableContents"/>
              <w:bidi w:val="0"/>
              <w:spacing w:before="0" w:after="60"/>
              <w:ind w:left="0" w:right="0" w:hanging="0"/>
              <w:jc w:val="center"/>
              <w:rPr/>
            </w:pPr>
            <w:r>
              <w:rPr/>
              <w:t>​</w:t>
            </w:r>
          </w:p>
        </w:tc>
        <w:tc>
          <w:tcPr>
            <w:tcW w:w="1328" w:type="dxa"/>
            <w:tcBorders/>
            <w:vAlign w:val="center"/>
          </w:tcPr>
          <w:p>
            <w:pPr>
              <w:pStyle w:val="TableContents"/>
              <w:bidi w:val="0"/>
              <w:spacing w:before="0" w:after="60"/>
              <w:ind w:left="0" w:right="0" w:hanging="0"/>
              <w:jc w:val="center"/>
              <w:rPr/>
            </w:pPr>
            <w:r>
              <w:rPr/>
              <w:t>​</w:t>
            </w:r>
          </w:p>
        </w:tc>
        <w:tc>
          <w:tcPr>
            <w:tcW w:w="1195"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pPr>
            <w:hyperlink w:anchor="plx-20260630xex32d1.htm">
              <w:r>
                <w:rPr>
                  <w:rStyle w:val="InternetLink"/>
                  <w:rFonts w:ascii="Times New Roman;Times;serif" w:hAnsi="Times New Roman;Times;serif"/>
                  <w:b w:val="false"/>
                  <w:i w:val="false"/>
                  <w:caps w:val="false"/>
                  <w:smallCaps w:val="false"/>
                  <w:sz w:val="20"/>
                </w:rPr>
                <w:t>18 U.S.C. Section 1350, as adopted pursuant to Section 906 of the Sarbanes-Oxley Act of 2002, Certification of Chief Executive Officer</w:t>
              </w:r>
            </w:hyperlink>
          </w:p>
        </w:tc>
        <w:tc>
          <w:tcPr>
            <w:tcW w:w="576" w:type="dxa"/>
            <w:tcBorders/>
            <w:vAlign w:val="center"/>
          </w:tcPr>
          <w:p>
            <w:pPr>
              <w:pStyle w:val="TableContents"/>
              <w:bidi w:val="0"/>
              <w:spacing w:before="0" w:after="60"/>
              <w:ind w:left="0" w:right="0" w:hanging="0"/>
              <w:jc w:val="center"/>
              <w:rPr/>
            </w:pPr>
            <w:r>
              <w:rPr/>
              <w:t>​</w:t>
            </w:r>
          </w:p>
        </w:tc>
        <w:tc>
          <w:tcPr>
            <w:tcW w:w="766" w:type="dxa"/>
            <w:tcBorders/>
            <w:vAlign w:val="center"/>
          </w:tcPr>
          <w:p>
            <w:pPr>
              <w:pStyle w:val="TableContents"/>
              <w:bidi w:val="0"/>
              <w:spacing w:before="0" w:after="60"/>
              <w:ind w:left="0" w:right="0" w:hanging="0"/>
              <w:jc w:val="center"/>
              <w:rPr/>
            </w:pPr>
            <w:r>
              <w:rPr/>
              <w:t>​</w:t>
            </w:r>
          </w:p>
        </w:tc>
        <w:tc>
          <w:tcPr>
            <w:tcW w:w="734" w:type="dxa"/>
            <w:tcBorders/>
            <w:vAlign w:val="center"/>
          </w:tcPr>
          <w:p>
            <w:pPr>
              <w:pStyle w:val="TableContents"/>
              <w:bidi w:val="0"/>
              <w:spacing w:before="0" w:after="60"/>
              <w:ind w:left="0" w:right="0" w:hanging="0"/>
              <w:jc w:val="center"/>
              <w:rPr/>
            </w:pPr>
            <w:r>
              <w:rPr/>
              <w:t>​</w:t>
            </w:r>
          </w:p>
        </w:tc>
        <w:tc>
          <w:tcPr>
            <w:tcW w:w="1328" w:type="dxa"/>
            <w:tcBorders/>
            <w:vAlign w:val="center"/>
          </w:tcPr>
          <w:p>
            <w:pPr>
              <w:pStyle w:val="TableContents"/>
              <w:bidi w:val="0"/>
              <w:spacing w:before="0" w:after="60"/>
              <w:ind w:left="0" w:right="0" w:hanging="0"/>
              <w:jc w:val="center"/>
              <w:rPr/>
            </w:pPr>
            <w:r>
              <w:rPr/>
              <w:t>​</w:t>
            </w:r>
          </w:p>
        </w:tc>
        <w:tc>
          <w:tcPr>
            <w:tcW w:w="1195"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pPr>
            <w:hyperlink w:anchor="plx-20260630xex32d2.htm">
              <w:r>
                <w:rPr>
                  <w:rStyle w:val="InternetLink"/>
                  <w:rFonts w:ascii="Times New Roman;Times;serif" w:hAnsi="Times New Roman;Times;serif"/>
                  <w:b w:val="false"/>
                  <w:i w:val="false"/>
                  <w:caps w:val="false"/>
                  <w:smallCaps w:val="false"/>
                  <w:sz w:val="20"/>
                </w:rPr>
                <w:t>18 U.S.C. Section 1350, as adopted pursuant to Section 906 of the Sarbanes-Oxley Act of 2002, Certification of Chief Financial Officer</w:t>
              </w:r>
            </w:hyperlink>
            <w:r>
              <w:rPr>
                <w:rFonts w:ascii="Times New Roman;Times;serif" w:hAnsi="Times New Roman;Times;serif"/>
                <w:sz w:val="20"/>
              </w:rPr>
              <w:t xml:space="preserve"> </w:t>
            </w:r>
          </w:p>
        </w:tc>
        <w:tc>
          <w:tcPr>
            <w:tcW w:w="576" w:type="dxa"/>
            <w:tcBorders/>
            <w:vAlign w:val="center"/>
          </w:tcPr>
          <w:p>
            <w:pPr>
              <w:pStyle w:val="TableContents"/>
              <w:bidi w:val="0"/>
              <w:spacing w:before="0" w:after="60"/>
              <w:ind w:left="0" w:right="0" w:hanging="0"/>
              <w:jc w:val="center"/>
              <w:rPr/>
            </w:pPr>
            <w:r>
              <w:rPr/>
              <w:t>​</w:t>
            </w:r>
          </w:p>
        </w:tc>
        <w:tc>
          <w:tcPr>
            <w:tcW w:w="766" w:type="dxa"/>
            <w:tcBorders/>
            <w:vAlign w:val="center"/>
          </w:tcPr>
          <w:p>
            <w:pPr>
              <w:pStyle w:val="TableContents"/>
              <w:bidi w:val="0"/>
              <w:spacing w:before="0" w:after="60"/>
              <w:ind w:left="0" w:right="0" w:hanging="0"/>
              <w:jc w:val="center"/>
              <w:rPr/>
            </w:pPr>
            <w:r>
              <w:rPr/>
              <w:t>​</w:t>
            </w:r>
          </w:p>
        </w:tc>
        <w:tc>
          <w:tcPr>
            <w:tcW w:w="734" w:type="dxa"/>
            <w:tcBorders/>
            <w:vAlign w:val="center"/>
          </w:tcPr>
          <w:p>
            <w:pPr>
              <w:pStyle w:val="TableContents"/>
              <w:bidi w:val="0"/>
              <w:spacing w:before="0" w:after="60"/>
              <w:ind w:left="0" w:right="0" w:hanging="0"/>
              <w:jc w:val="center"/>
              <w:rPr/>
            </w:pPr>
            <w:r>
              <w:rPr/>
              <w:t>​</w:t>
            </w:r>
          </w:p>
        </w:tc>
        <w:tc>
          <w:tcPr>
            <w:tcW w:w="1328" w:type="dxa"/>
            <w:tcBorders/>
            <w:vAlign w:val="center"/>
          </w:tcPr>
          <w:p>
            <w:pPr>
              <w:pStyle w:val="TableContents"/>
              <w:bidi w:val="0"/>
              <w:spacing w:before="0" w:after="60"/>
              <w:ind w:left="0" w:right="0" w:hanging="0"/>
              <w:jc w:val="center"/>
              <w:rPr/>
            </w:pPr>
            <w:r>
              <w:rPr/>
              <w:t>​</w:t>
            </w:r>
          </w:p>
        </w:tc>
        <w:tc>
          <w:tcPr>
            <w:tcW w:w="1195"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 xml:space="preserve">XBRL Instance Document - </w:t>
            </w:r>
            <w:r>
              <w:rPr>
                <w:rFonts w:ascii="Times New Roman;Times;serif" w:hAnsi="Times New Roman;Times;serif"/>
                <w:color w:val="333333"/>
                <w:sz w:val="20"/>
                <w:shd w:fill="FFFFFF" w:val="clear"/>
              </w:rPr>
              <w:t>the instance document does not appear in the Interactive Data File because its XBRL tags are embedded within the Inline XBRL document</w:t>
            </w:r>
          </w:p>
        </w:tc>
        <w:tc>
          <w:tcPr>
            <w:tcW w:w="576" w:type="dxa"/>
            <w:tcBorders/>
            <w:vAlign w:val="center"/>
          </w:tcPr>
          <w:p>
            <w:pPr>
              <w:pStyle w:val="TableContents"/>
              <w:bidi w:val="0"/>
              <w:spacing w:before="0" w:after="60"/>
              <w:ind w:left="0" w:right="0" w:hanging="0"/>
              <w:jc w:val="center"/>
              <w:rPr/>
            </w:pPr>
            <w:r>
              <w:rPr/>
              <w:t>​</w:t>
            </w:r>
          </w:p>
        </w:tc>
        <w:tc>
          <w:tcPr>
            <w:tcW w:w="766" w:type="dxa"/>
            <w:tcBorders/>
            <w:vAlign w:val="center"/>
          </w:tcPr>
          <w:p>
            <w:pPr>
              <w:pStyle w:val="TableContents"/>
              <w:bidi w:val="0"/>
              <w:spacing w:before="0" w:after="60"/>
              <w:ind w:left="0" w:right="0" w:hanging="0"/>
              <w:jc w:val="center"/>
              <w:rPr/>
            </w:pPr>
            <w:r>
              <w:rPr/>
              <w:t>​</w:t>
            </w:r>
          </w:p>
        </w:tc>
        <w:tc>
          <w:tcPr>
            <w:tcW w:w="734" w:type="dxa"/>
            <w:tcBorders/>
            <w:vAlign w:val="center"/>
          </w:tcPr>
          <w:p>
            <w:pPr>
              <w:pStyle w:val="TableContents"/>
              <w:bidi w:val="0"/>
              <w:spacing w:before="0" w:after="60"/>
              <w:ind w:left="0" w:right="0" w:hanging="0"/>
              <w:jc w:val="center"/>
              <w:rPr/>
            </w:pPr>
            <w:r>
              <w:rPr/>
              <w:t>​</w:t>
            </w:r>
          </w:p>
        </w:tc>
        <w:tc>
          <w:tcPr>
            <w:tcW w:w="1328" w:type="dxa"/>
            <w:tcBorders/>
            <w:vAlign w:val="center"/>
          </w:tcPr>
          <w:p>
            <w:pPr>
              <w:pStyle w:val="TableContents"/>
              <w:bidi w:val="0"/>
              <w:spacing w:before="0" w:after="60"/>
              <w:ind w:left="0" w:right="0" w:hanging="0"/>
              <w:jc w:val="center"/>
              <w:rPr/>
            </w:pPr>
            <w:r>
              <w:rPr/>
              <w:t>​</w:t>
            </w:r>
          </w:p>
        </w:tc>
        <w:tc>
          <w:tcPr>
            <w:tcW w:w="1195"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Schema Document</w:t>
            </w:r>
          </w:p>
        </w:tc>
        <w:tc>
          <w:tcPr>
            <w:tcW w:w="576" w:type="dxa"/>
            <w:tcBorders/>
            <w:vAlign w:val="center"/>
          </w:tcPr>
          <w:p>
            <w:pPr>
              <w:pStyle w:val="TableContents"/>
              <w:bidi w:val="0"/>
              <w:spacing w:before="0" w:after="60"/>
              <w:ind w:left="0" w:right="0" w:hanging="0"/>
              <w:jc w:val="center"/>
              <w:rPr/>
            </w:pPr>
            <w:r>
              <w:rPr/>
              <w:t>​</w:t>
            </w:r>
          </w:p>
        </w:tc>
        <w:tc>
          <w:tcPr>
            <w:tcW w:w="766" w:type="dxa"/>
            <w:tcBorders/>
            <w:vAlign w:val="center"/>
          </w:tcPr>
          <w:p>
            <w:pPr>
              <w:pStyle w:val="TableContents"/>
              <w:bidi w:val="0"/>
              <w:spacing w:before="0" w:after="60"/>
              <w:ind w:left="0" w:right="0" w:hanging="0"/>
              <w:jc w:val="center"/>
              <w:rPr/>
            </w:pPr>
            <w:r>
              <w:rPr/>
              <w:t>​</w:t>
            </w:r>
          </w:p>
        </w:tc>
        <w:tc>
          <w:tcPr>
            <w:tcW w:w="734" w:type="dxa"/>
            <w:tcBorders/>
            <w:vAlign w:val="center"/>
          </w:tcPr>
          <w:p>
            <w:pPr>
              <w:pStyle w:val="TableContents"/>
              <w:bidi w:val="0"/>
              <w:spacing w:before="0" w:after="60"/>
              <w:ind w:left="0" w:right="0" w:hanging="0"/>
              <w:jc w:val="center"/>
              <w:rPr/>
            </w:pPr>
            <w:r>
              <w:rPr/>
              <w:t>​</w:t>
            </w:r>
          </w:p>
        </w:tc>
        <w:tc>
          <w:tcPr>
            <w:tcW w:w="1328" w:type="dxa"/>
            <w:tcBorders/>
            <w:vAlign w:val="center"/>
          </w:tcPr>
          <w:p>
            <w:pPr>
              <w:pStyle w:val="TableContents"/>
              <w:bidi w:val="0"/>
              <w:spacing w:before="0" w:after="60"/>
              <w:ind w:left="0" w:right="0" w:hanging="0"/>
              <w:jc w:val="center"/>
              <w:rPr/>
            </w:pPr>
            <w:r>
              <w:rPr/>
              <w:t>​</w:t>
            </w:r>
          </w:p>
        </w:tc>
        <w:tc>
          <w:tcPr>
            <w:tcW w:w="1195"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Calculation Linkbase Document</w:t>
            </w:r>
          </w:p>
        </w:tc>
        <w:tc>
          <w:tcPr>
            <w:tcW w:w="576" w:type="dxa"/>
            <w:tcBorders/>
            <w:vAlign w:val="center"/>
          </w:tcPr>
          <w:p>
            <w:pPr>
              <w:pStyle w:val="TableContents"/>
              <w:bidi w:val="0"/>
              <w:spacing w:before="0" w:after="60"/>
              <w:ind w:left="0" w:right="0" w:hanging="0"/>
              <w:jc w:val="center"/>
              <w:rPr/>
            </w:pPr>
            <w:r>
              <w:rPr/>
              <w:t>​</w:t>
            </w:r>
          </w:p>
        </w:tc>
        <w:tc>
          <w:tcPr>
            <w:tcW w:w="766" w:type="dxa"/>
            <w:tcBorders/>
            <w:vAlign w:val="center"/>
          </w:tcPr>
          <w:p>
            <w:pPr>
              <w:pStyle w:val="TableContents"/>
              <w:bidi w:val="0"/>
              <w:spacing w:before="0" w:after="60"/>
              <w:ind w:left="0" w:right="0" w:hanging="0"/>
              <w:jc w:val="center"/>
              <w:rPr/>
            </w:pPr>
            <w:r>
              <w:rPr/>
              <w:t>​</w:t>
            </w:r>
          </w:p>
        </w:tc>
        <w:tc>
          <w:tcPr>
            <w:tcW w:w="734" w:type="dxa"/>
            <w:tcBorders/>
            <w:vAlign w:val="center"/>
          </w:tcPr>
          <w:p>
            <w:pPr>
              <w:pStyle w:val="TableContents"/>
              <w:bidi w:val="0"/>
              <w:spacing w:before="0" w:after="60"/>
              <w:ind w:left="0" w:right="0" w:hanging="0"/>
              <w:jc w:val="center"/>
              <w:rPr/>
            </w:pPr>
            <w:r>
              <w:rPr/>
              <w:t>​</w:t>
            </w:r>
          </w:p>
        </w:tc>
        <w:tc>
          <w:tcPr>
            <w:tcW w:w="1328" w:type="dxa"/>
            <w:tcBorders/>
            <w:vAlign w:val="center"/>
          </w:tcPr>
          <w:p>
            <w:pPr>
              <w:pStyle w:val="TableContents"/>
              <w:bidi w:val="0"/>
              <w:spacing w:before="0" w:after="60"/>
              <w:ind w:left="0" w:right="0" w:hanging="0"/>
              <w:jc w:val="center"/>
              <w:rPr/>
            </w:pPr>
            <w:r>
              <w:rPr/>
              <w:t>​</w:t>
            </w:r>
          </w:p>
        </w:tc>
        <w:tc>
          <w:tcPr>
            <w:tcW w:w="1195"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Definition Linkbase Document</w:t>
            </w:r>
          </w:p>
        </w:tc>
        <w:tc>
          <w:tcPr>
            <w:tcW w:w="576" w:type="dxa"/>
            <w:tcBorders/>
            <w:vAlign w:val="center"/>
          </w:tcPr>
          <w:p>
            <w:pPr>
              <w:pStyle w:val="TableContents"/>
              <w:bidi w:val="0"/>
              <w:spacing w:before="0" w:after="60"/>
              <w:ind w:left="0" w:right="0" w:hanging="0"/>
              <w:jc w:val="center"/>
              <w:rPr/>
            </w:pPr>
            <w:r>
              <w:rPr/>
              <w:t>​</w:t>
            </w:r>
          </w:p>
        </w:tc>
        <w:tc>
          <w:tcPr>
            <w:tcW w:w="766" w:type="dxa"/>
            <w:tcBorders/>
            <w:vAlign w:val="center"/>
          </w:tcPr>
          <w:p>
            <w:pPr>
              <w:pStyle w:val="TableContents"/>
              <w:bidi w:val="0"/>
              <w:spacing w:before="0" w:after="60"/>
              <w:ind w:left="0" w:right="0" w:hanging="0"/>
              <w:jc w:val="center"/>
              <w:rPr/>
            </w:pPr>
            <w:r>
              <w:rPr/>
              <w:t>​</w:t>
            </w:r>
          </w:p>
        </w:tc>
        <w:tc>
          <w:tcPr>
            <w:tcW w:w="734" w:type="dxa"/>
            <w:tcBorders/>
            <w:vAlign w:val="center"/>
          </w:tcPr>
          <w:p>
            <w:pPr>
              <w:pStyle w:val="TableContents"/>
              <w:bidi w:val="0"/>
              <w:spacing w:before="0" w:after="60"/>
              <w:ind w:left="0" w:right="0" w:hanging="0"/>
              <w:jc w:val="center"/>
              <w:rPr/>
            </w:pPr>
            <w:r>
              <w:rPr/>
              <w:t>​</w:t>
            </w:r>
          </w:p>
        </w:tc>
        <w:tc>
          <w:tcPr>
            <w:tcW w:w="1328" w:type="dxa"/>
            <w:tcBorders/>
            <w:vAlign w:val="center"/>
          </w:tcPr>
          <w:p>
            <w:pPr>
              <w:pStyle w:val="TableContents"/>
              <w:bidi w:val="0"/>
              <w:spacing w:before="0" w:after="60"/>
              <w:ind w:left="0" w:right="0" w:hanging="0"/>
              <w:jc w:val="center"/>
              <w:rPr/>
            </w:pPr>
            <w:r>
              <w:rPr/>
              <w:t>​</w:t>
            </w:r>
          </w:p>
        </w:tc>
        <w:tc>
          <w:tcPr>
            <w:tcW w:w="1195"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Labels Linkbase Document</w:t>
            </w:r>
          </w:p>
        </w:tc>
        <w:tc>
          <w:tcPr>
            <w:tcW w:w="576" w:type="dxa"/>
            <w:tcBorders/>
            <w:vAlign w:val="center"/>
          </w:tcPr>
          <w:p>
            <w:pPr>
              <w:pStyle w:val="TableContents"/>
              <w:bidi w:val="0"/>
              <w:spacing w:before="0" w:after="60"/>
              <w:ind w:left="0" w:right="0" w:hanging="0"/>
              <w:jc w:val="center"/>
              <w:rPr/>
            </w:pPr>
            <w:r>
              <w:rPr/>
              <w:t>​</w:t>
            </w:r>
          </w:p>
        </w:tc>
        <w:tc>
          <w:tcPr>
            <w:tcW w:w="766" w:type="dxa"/>
            <w:tcBorders/>
            <w:vAlign w:val="center"/>
          </w:tcPr>
          <w:p>
            <w:pPr>
              <w:pStyle w:val="TableContents"/>
              <w:bidi w:val="0"/>
              <w:spacing w:before="0" w:after="60"/>
              <w:ind w:left="0" w:right="0" w:hanging="0"/>
              <w:jc w:val="center"/>
              <w:rPr/>
            </w:pPr>
            <w:r>
              <w:rPr/>
              <w:t>​</w:t>
            </w:r>
          </w:p>
        </w:tc>
        <w:tc>
          <w:tcPr>
            <w:tcW w:w="734" w:type="dxa"/>
            <w:tcBorders/>
            <w:vAlign w:val="center"/>
          </w:tcPr>
          <w:p>
            <w:pPr>
              <w:pStyle w:val="TableContents"/>
              <w:bidi w:val="0"/>
              <w:spacing w:before="0" w:after="60"/>
              <w:ind w:left="0" w:right="0" w:hanging="0"/>
              <w:jc w:val="center"/>
              <w:rPr/>
            </w:pPr>
            <w:r>
              <w:rPr/>
              <w:t>​</w:t>
            </w:r>
          </w:p>
        </w:tc>
        <w:tc>
          <w:tcPr>
            <w:tcW w:w="1328" w:type="dxa"/>
            <w:tcBorders/>
            <w:vAlign w:val="center"/>
          </w:tcPr>
          <w:p>
            <w:pPr>
              <w:pStyle w:val="TableContents"/>
              <w:bidi w:val="0"/>
              <w:spacing w:before="0" w:after="60"/>
              <w:ind w:left="0" w:right="0" w:hanging="0"/>
              <w:jc w:val="center"/>
              <w:rPr/>
            </w:pPr>
            <w:r>
              <w:rPr/>
              <w:t>​</w:t>
            </w:r>
          </w:p>
        </w:tc>
        <w:tc>
          <w:tcPr>
            <w:tcW w:w="1195"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843"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60"/>
              <w:ind w:left="0" w:right="0" w:hanging="0"/>
              <w:jc w:val="left"/>
              <w:rPr/>
            </w:pPr>
            <w:r>
              <w:rPr/>
              <w:t>​</w:t>
            </w:r>
          </w:p>
        </w:tc>
        <w:tc>
          <w:tcPr>
            <w:tcW w:w="4417" w:type="dxa"/>
            <w:tcBorders/>
            <w:vAlign w:val="center"/>
          </w:tcPr>
          <w:p>
            <w:pPr>
              <w:pStyle w:val="TableContents"/>
              <w:bidi w:val="0"/>
              <w:spacing w:before="0" w:after="6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Presentation Linkbase Document</w:t>
            </w:r>
          </w:p>
        </w:tc>
        <w:tc>
          <w:tcPr>
            <w:tcW w:w="576" w:type="dxa"/>
            <w:tcBorders/>
            <w:vAlign w:val="center"/>
          </w:tcPr>
          <w:p>
            <w:pPr>
              <w:pStyle w:val="TableContents"/>
              <w:bidi w:val="0"/>
              <w:spacing w:before="0" w:after="60"/>
              <w:ind w:left="0" w:right="0" w:hanging="0"/>
              <w:jc w:val="center"/>
              <w:rPr/>
            </w:pPr>
            <w:r>
              <w:rPr/>
              <w:t>​</w:t>
            </w:r>
          </w:p>
        </w:tc>
        <w:tc>
          <w:tcPr>
            <w:tcW w:w="766" w:type="dxa"/>
            <w:tcBorders/>
            <w:vAlign w:val="center"/>
          </w:tcPr>
          <w:p>
            <w:pPr>
              <w:pStyle w:val="TableContents"/>
              <w:bidi w:val="0"/>
              <w:spacing w:before="0" w:after="60"/>
              <w:ind w:left="0" w:right="0" w:hanging="0"/>
              <w:jc w:val="center"/>
              <w:rPr/>
            </w:pPr>
            <w:r>
              <w:rPr/>
              <w:t>​</w:t>
            </w:r>
          </w:p>
        </w:tc>
        <w:tc>
          <w:tcPr>
            <w:tcW w:w="734" w:type="dxa"/>
            <w:tcBorders/>
            <w:vAlign w:val="center"/>
          </w:tcPr>
          <w:p>
            <w:pPr>
              <w:pStyle w:val="TableContents"/>
              <w:bidi w:val="0"/>
              <w:spacing w:before="0" w:after="60"/>
              <w:ind w:left="0" w:right="0" w:hanging="0"/>
              <w:jc w:val="center"/>
              <w:rPr/>
            </w:pPr>
            <w:r>
              <w:rPr/>
              <w:t>​</w:t>
            </w:r>
          </w:p>
        </w:tc>
        <w:tc>
          <w:tcPr>
            <w:tcW w:w="1328" w:type="dxa"/>
            <w:tcBorders/>
            <w:vAlign w:val="center"/>
          </w:tcPr>
          <w:p>
            <w:pPr>
              <w:pStyle w:val="TableContents"/>
              <w:bidi w:val="0"/>
              <w:spacing w:before="0" w:after="60"/>
              <w:ind w:left="0" w:right="0" w:hanging="0"/>
              <w:jc w:val="center"/>
              <w:rPr/>
            </w:pPr>
            <w:r>
              <w:rPr/>
              <w:t>​</w:t>
            </w:r>
          </w:p>
        </w:tc>
        <w:tc>
          <w:tcPr>
            <w:tcW w:w="1195"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X</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96"/>
        <w:gridCol w:w="123"/>
        <w:gridCol w:w="8916"/>
        <w:gridCol w:w="123"/>
        <w:gridCol w:w="123"/>
        <w:gridCol w:w="123"/>
        <w:gridCol w:w="123"/>
        <w:gridCol w:w="178"/>
      </w:tblGrid>
      <w:tr>
        <w:trPr/>
        <w:tc>
          <w:tcPr>
            <w:tcW w:w="4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104</w:t>
            </w:r>
          </w:p>
        </w:tc>
        <w:tc>
          <w:tcPr>
            <w:tcW w:w="123" w:type="dxa"/>
            <w:tcBorders/>
            <w:vAlign w:val="center"/>
          </w:tcPr>
          <w:p>
            <w:pPr>
              <w:pStyle w:val="TableContents"/>
              <w:bidi w:val="0"/>
              <w:spacing w:before="0" w:after="60"/>
              <w:ind w:left="0" w:right="0" w:hanging="0"/>
              <w:jc w:val="left"/>
              <w:rPr/>
            </w:pPr>
            <w:r>
              <w:rPr/>
              <w:t>​</w:t>
            </w:r>
          </w:p>
        </w:tc>
        <w:tc>
          <w:tcPr>
            <w:tcW w:w="891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23" w:type="dxa"/>
            <w:tcBorders/>
            <w:vAlign w:val="center"/>
          </w:tcPr>
          <w:p>
            <w:pPr>
              <w:pStyle w:val="TableContents"/>
              <w:bidi w:val="0"/>
              <w:spacing w:before="0" w:after="60"/>
              <w:ind w:left="0" w:right="0" w:hanging="0"/>
              <w:jc w:val="center"/>
              <w:rPr/>
            </w:pPr>
            <w:r>
              <w:rPr/>
              <w:t>​</w:t>
            </w:r>
          </w:p>
        </w:tc>
        <w:tc>
          <w:tcPr>
            <w:tcW w:w="123" w:type="dxa"/>
            <w:tcBorders/>
            <w:vAlign w:val="center"/>
          </w:tcPr>
          <w:p>
            <w:pPr>
              <w:pStyle w:val="TableContents"/>
              <w:bidi w:val="0"/>
              <w:spacing w:before="0" w:after="60"/>
              <w:ind w:left="0" w:right="0" w:hanging="0"/>
              <w:jc w:val="center"/>
              <w:rPr/>
            </w:pPr>
            <w:r>
              <w:rPr/>
              <w:t>​</w:t>
            </w:r>
          </w:p>
        </w:tc>
        <w:tc>
          <w:tcPr>
            <w:tcW w:w="123" w:type="dxa"/>
            <w:tcBorders/>
            <w:vAlign w:val="center"/>
          </w:tcPr>
          <w:p>
            <w:pPr>
              <w:pStyle w:val="TableContents"/>
              <w:bidi w:val="0"/>
              <w:spacing w:before="0" w:after="60"/>
              <w:ind w:left="0" w:right="0" w:hanging="0"/>
              <w:jc w:val="center"/>
              <w:rPr/>
            </w:pPr>
            <w:r>
              <w:rPr/>
              <w:t>​</w:t>
            </w:r>
          </w:p>
        </w:tc>
        <w:tc>
          <w:tcPr>
            <w:tcW w:w="123" w:type="dxa"/>
            <w:tcBorders/>
            <w:vAlign w:val="center"/>
          </w:tcPr>
          <w:p>
            <w:pPr>
              <w:pStyle w:val="TableContents"/>
              <w:bidi w:val="0"/>
              <w:spacing w:before="0" w:after="60"/>
              <w:ind w:left="0" w:right="0" w:hanging="0"/>
              <w:jc w:val="center"/>
              <w:rPr/>
            </w:pPr>
            <w:r>
              <w:rPr/>
              <w:t>​</w:t>
            </w:r>
          </w:p>
        </w:tc>
        <w:tc>
          <w:tcPr>
            <w:tcW w:w="178" w:type="dxa"/>
            <w:tcBorders/>
            <w:vAlign w:val="center"/>
          </w:tcPr>
          <w:p>
            <w:pPr>
              <w:pStyle w:val="TableContents"/>
              <w:bidi w:val="0"/>
              <w:spacing w:before="0" w:after="60"/>
              <w:ind w:left="0" w:right="0" w:hanging="0"/>
              <w:jc w:val="center"/>
              <w:rPr/>
            </w:pPr>
            <w:r>
              <w:rPr/>
              <w:t>​</w:t>
            </w:r>
          </w:p>
        </w:tc>
      </w:tr>
      <w:tr>
        <w:trPr/>
        <w:tc>
          <w:tcPr>
            <w:tcW w:w="10205" w:type="dxa"/>
            <w:gridSpan w:val="8"/>
            <w:tcBorders/>
            <w:vAlign w:val="center"/>
          </w:tcPr>
          <w:p>
            <w:pPr>
              <w:pStyle w:val="TableContents"/>
              <w:pBdr/>
              <w:bidi w:val="0"/>
              <w:spacing w:before="0" w:after="240"/>
              <w:ind w:left="0" w:right="0" w:hanging="0"/>
              <w:jc w:val="left"/>
              <w:rPr/>
            </w:pPr>
            <w:r>
              <w:rPr/>
              <w:t>​</w:t>
            </w:r>
          </w:p>
        </w:tc>
      </w:tr>
      <w:tr>
        <w:trPr/>
        <w:tc>
          <w:tcPr>
            <w:tcW w:w="10205" w:type="dxa"/>
            <w:gridSpan w:val="8"/>
            <w:tcBorders/>
            <w:vAlign w:val="center"/>
          </w:tcPr>
          <w:p>
            <w:pPr>
              <w:pStyle w:val="TableContents"/>
              <w:pBdr/>
              <w:bidi w:val="0"/>
              <w:spacing w:before="0" w:after="0"/>
              <w:ind w:left="0" w:right="0" w:hanging="360"/>
              <w:jc w:val="left"/>
              <w:rPr/>
            </w:pPr>
            <w:r>
              <w:rPr/>
              <w:t>†     </w:t>
            </w:r>
            <w:r>
              <w:rPr>
                <w:rFonts w:ascii="Times New Roman;Times;serif" w:hAnsi="Times New Roman;Times;serif"/>
                <w:sz w:val="20"/>
              </w:rPr>
              <w:t>Management contracts or compensation plans or arrangements in which directors or executive officers are eligible to participate.</w:t>
            </w:r>
          </w:p>
        </w:tc>
      </w:tr>
    </w:tbl>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745" w:name="SIGNATURES_574709"/>
      <w:bookmarkStart w:id="746" w:name="_214a4044_2b74_4ada_98de_dc8d1e1dd361"/>
      <w:bookmarkEnd w:id="745"/>
      <w:bookmarkEnd w:id="746"/>
      <w:r>
        <w:rPr>
          <w:rFonts w:ascii="Times New Roman;Times;serif" w:hAnsi="Times New Roman;Times;serif"/>
          <w:b/>
          <w:sz w:val="20"/>
        </w:rPr>
        <w:t>SIGNATURES</w:t>
      </w:r>
    </w:p>
    <w:p>
      <w:pPr>
        <w:pStyle w:val="TextBody"/>
        <w:bidi w:val="0"/>
        <w:spacing w:before="0" w:after="0"/>
        <w:ind w:left="0" w:right="0" w:firstLine="518"/>
        <w:jc w:val="left"/>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8478" w:type="dxa"/>
        <w:jc w:val="left"/>
        <w:tblInd w:w="0" w:type="dxa"/>
        <w:tblLayout w:type="fixed"/>
        <w:tblCellMar>
          <w:top w:w="0" w:type="dxa"/>
          <w:left w:w="0" w:type="dxa"/>
          <w:bottom w:w="0" w:type="dxa"/>
          <w:right w:w="0" w:type="dxa"/>
        </w:tblCellMar>
      </w:tblPr>
      <w:tblGrid>
        <w:gridCol w:w="1951"/>
        <w:gridCol w:w="406"/>
        <w:gridCol w:w="6121"/>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12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PROTALIX BIOTHERAPEUTICS, INC.</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1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12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1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Dror Bashan</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1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Dror Bashan</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12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1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Gilad Mamlok</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1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Gilad Mamlok</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 Treasurer and Secretary</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1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00"/>
        <w:ind w:left="0" w:right="0" w:hanging="0"/>
        <w:jc w:val="right"/>
        <w:rPr>
          <w:rFonts w:ascii="Times New Roman;Times;serif" w:hAnsi="Times New Roman;Times;serif"/>
          <w:b/>
          <w:sz w:val="20"/>
        </w:rPr>
      </w:pPr>
      <w:bookmarkStart w:id="747" w:name="plx-20260630xex31d1.htm"/>
      <w:bookmarkStart w:id="748" w:name="ksplx20260630xex31d1"/>
      <w:bookmarkEnd w:id="747"/>
      <w:bookmarkEnd w:id="748"/>
      <w:r>
        <w:rPr>
          <w:rFonts w:ascii="Times New Roman;Times;serif" w:hAnsi="Times New Roman;Times;serif"/>
          <w:b/>
          <w:sz w:val="20"/>
        </w:rPr>
        <w:t>EXHIBIT 31.1</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Dror Bashan, certify that:</w:t>
      </w:r>
    </w:p>
    <w:tbl>
      <w:tblPr>
        <w:tblW w:w="7030" w:type="dxa"/>
        <w:jc w:val="left"/>
        <w:tblInd w:w="0" w:type="dxa"/>
        <w:tblLayout w:type="fixed"/>
        <w:tblCellMar>
          <w:top w:w="0" w:type="dxa"/>
          <w:left w:w="0" w:type="dxa"/>
          <w:bottom w:w="0" w:type="dxa"/>
          <w:right w:w="0" w:type="dxa"/>
        </w:tblCellMar>
      </w:tblPr>
      <w:tblGrid>
        <w:gridCol w:w="170"/>
        <w:gridCol w:w="6860"/>
      </w:tblGrid>
      <w:tr>
        <w:trPr/>
        <w:tc>
          <w:tcPr>
            <w:tcW w:w="17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686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 have reviewed this quarterly report on Form 10-Q of Protalix BioTherapeutics,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490" w:right="0" w:hanging="490"/>
        <w:jc w:val="left"/>
        <w:rPr/>
      </w:pPr>
      <w:r>
        <w:rPr/>
        <w:t>​</w:t>
      </w:r>
    </w:p>
    <w:tbl>
      <w:tblPr>
        <w:tblW w:w="3335" w:type="dxa"/>
        <w:jc w:val="left"/>
        <w:tblInd w:w="0" w:type="dxa"/>
        <w:tblLayout w:type="fixed"/>
        <w:tblCellMar>
          <w:top w:w="0" w:type="dxa"/>
          <w:left w:w="0" w:type="dxa"/>
          <w:bottom w:w="0" w:type="dxa"/>
          <w:right w:w="0" w:type="dxa"/>
        </w:tblCellMar>
      </w:tblPr>
      <w:tblGrid>
        <w:gridCol w:w="3181"/>
        <w:gridCol w:w="154"/>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19935" cy="175260"/>
                      <wp:effectExtent l="0" t="0" r="0" b="0"/>
                      <wp:wrapNone/>
                      <wp:docPr id="310" name="Frame310"/>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97790" cy="175260"/>
                      <wp:effectExtent l="0" t="0" r="0" b="0"/>
                      <wp:wrapNone/>
                      <wp:docPr id="311" name="Frame31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Dror Bashan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Dror Bashan</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749" w:name="plx-20260630xex31d2.htm"/>
      <w:bookmarkStart w:id="750" w:name="ksplx20260630xex31d2"/>
      <w:bookmarkEnd w:id="749"/>
      <w:bookmarkEnd w:id="750"/>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firstLine="490"/>
        <w:jc w:val="left"/>
        <w:rPr>
          <w:rFonts w:ascii="Times New Roman;Times;serif" w:hAnsi="Times New Roman;Times;serif"/>
          <w:sz w:val="20"/>
        </w:rPr>
      </w:pPr>
      <w:r>
        <w:rPr>
          <w:rFonts w:ascii="Times New Roman;Times;serif" w:hAnsi="Times New Roman;Times;serif"/>
          <w:sz w:val="20"/>
        </w:rPr>
        <w:t>I, Gilad Mamlok, certify that:</w:t>
      </w:r>
    </w:p>
    <w:tbl>
      <w:tblPr>
        <w:tblW w:w="7030" w:type="dxa"/>
        <w:jc w:val="left"/>
        <w:tblInd w:w="0" w:type="dxa"/>
        <w:tblLayout w:type="fixed"/>
        <w:tblCellMar>
          <w:top w:w="0" w:type="dxa"/>
          <w:left w:w="0" w:type="dxa"/>
          <w:bottom w:w="0" w:type="dxa"/>
          <w:right w:w="0" w:type="dxa"/>
        </w:tblCellMar>
      </w:tblPr>
      <w:tblGrid>
        <w:gridCol w:w="170"/>
        <w:gridCol w:w="6860"/>
      </w:tblGrid>
      <w:tr>
        <w:trPr/>
        <w:tc>
          <w:tcPr>
            <w:tcW w:w="17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686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 have reviewed this quarterly report on Form 10-Q of Protalix BioTherapeutics,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3845" w:type="dxa"/>
        <w:jc w:val="center"/>
        <w:tblInd w:w="0" w:type="dxa"/>
        <w:tblLayout w:type="fixed"/>
        <w:tblCellMar>
          <w:top w:w="0" w:type="dxa"/>
          <w:left w:w="0" w:type="dxa"/>
          <w:bottom w:w="0" w:type="dxa"/>
          <w:right w:w="0" w:type="dxa"/>
        </w:tblCellMar>
      </w:tblPr>
      <w:tblGrid>
        <w:gridCol w:w="3691"/>
        <w:gridCol w:w="154"/>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343785" cy="175260"/>
                      <wp:effectExtent l="0" t="0" r="0" b="0"/>
                      <wp:wrapNone/>
                      <wp:docPr id="312" name="Frame312"/>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97790" cy="175260"/>
                      <wp:effectExtent l="0" t="0" r="0" b="0"/>
                      <wp:wrapNone/>
                      <wp:docPr id="313" name="Frame31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154" w:type="dxa"/>
            <w:tcBorders/>
            <w:vAlign w:val="center"/>
          </w:tcPr>
          <w:p>
            <w:pPr>
              <w:pStyle w:val="TableContents"/>
              <w:bidi w:val="0"/>
              <w:spacing w:before="0" w:after="0"/>
              <w:ind w:left="0" w:right="0" w:hanging="0"/>
              <w:jc w:val="left"/>
              <w:rPr/>
            </w:pPr>
            <w:r>
              <w:rPr/>
              <w:t>​</w:t>
            </w:r>
          </w:p>
        </w:tc>
      </w:tr>
      <w:tr>
        <w:trPr/>
        <w:tc>
          <w:tcPr>
            <w:tcW w:w="369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Gilad Mamlok</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Gilad Mamlok</w:t>
            </w:r>
          </w:p>
        </w:tc>
        <w:tc>
          <w:tcPr>
            <w:tcW w:w="154" w:type="dxa"/>
            <w:tcBorders/>
            <w:vAlign w:val="center"/>
          </w:tcPr>
          <w:p>
            <w:pPr>
              <w:pStyle w:val="TableContents"/>
              <w:bidi w:val="0"/>
              <w:spacing w:before="0" w:after="0"/>
              <w:ind w:left="0" w:right="0" w:hanging="0"/>
              <w:jc w:val="lef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Sr. Vice President &amp;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751" w:name="plx-20260630xex32d1.htm"/>
      <w:bookmarkStart w:id="752" w:name="ksplx20260630xex32d1"/>
      <w:bookmarkEnd w:id="751"/>
      <w:bookmarkEnd w:id="752"/>
      <w:r>
        <w:rPr>
          <w:rFonts w:ascii="Times New Roman;Times;serif" w:hAnsi="Times New Roman;Times;serif"/>
          <w:b/>
          <w:sz w:val="20"/>
        </w:rPr>
        <w:t>EXHIBIT 32.1</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PROTALIX BIOTHERAPEUTICS, INC.</w:t>
      </w:r>
    </w:p>
    <w:p>
      <w:pPr>
        <w:pStyle w:val="TextBody"/>
        <w:bidi w:val="0"/>
        <w:spacing w:before="0" w:after="200"/>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Protalix BioTherapeutics, Inc. (the “Company”) on Form 10-Q for the period ended June 30, 2026 as filed with the Securities and Exchange Commission (the “Report”), I, Dror Bashan, President and Chief Executive Officer of the Company, hereby certify as of the date hereof, solely for the purposes of Title 18, Chapter 63, Section 1350 of the United States Code, that to the best of my knowledge:</w:t>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1000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as applicable,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1001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 at the dates and for the periods indicated.</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has not been, and shall not be deemed, “filed” with the Securities and Exchange Commission.</w:t>
      </w:r>
    </w:p>
    <w:p>
      <w:pPr>
        <w:pStyle w:val="TextBody"/>
        <w:bidi w:val="0"/>
        <w:spacing w:before="0" w:after="0"/>
        <w:ind w:left="0" w:right="0" w:hanging="0"/>
        <w:jc w:val="left"/>
        <w:rPr/>
      </w:pPr>
      <w:r>
        <w:rPr/>
        <w:t>​</w:t>
      </w:r>
    </w:p>
    <w:tbl>
      <w:tblPr>
        <w:tblW w:w="3335" w:type="dxa"/>
        <w:jc w:val="center"/>
        <w:tblInd w:w="0" w:type="dxa"/>
        <w:tblLayout w:type="fixed"/>
        <w:tblCellMar>
          <w:top w:w="0" w:type="dxa"/>
          <w:left w:w="0" w:type="dxa"/>
          <w:bottom w:w="0" w:type="dxa"/>
          <w:right w:w="0" w:type="dxa"/>
        </w:tblCellMar>
      </w:tblPr>
      <w:tblGrid>
        <w:gridCol w:w="3181"/>
        <w:gridCol w:w="154"/>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19935" cy="175260"/>
                      <wp:effectExtent l="0" t="0" r="0" b="0"/>
                      <wp:wrapNone/>
                      <wp:docPr id="314" name="Frame314"/>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97790" cy="175260"/>
                      <wp:effectExtent l="0" t="0" r="0" b="0"/>
                      <wp:wrapNone/>
                      <wp:docPr id="315" name="Frame31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Dror Bashan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Dror Bashan</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753" w:name="plx-20260630xex32d2.htm"/>
      <w:bookmarkStart w:id="754" w:name="ksplx20260630xex32d2"/>
      <w:bookmarkEnd w:id="753"/>
      <w:bookmarkEnd w:id="754"/>
      <w:r>
        <w:rPr>
          <w:rFonts w:ascii="Times New Roman;Times;serif" w:hAnsi="Times New Roman;Times;serif"/>
          <w:b/>
          <w:sz w:val="20"/>
        </w:rPr>
        <w:t>EXHIBIT 32.2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PROTALIX BIOTHERAPEUTICS, INC.</w:t>
      </w:r>
    </w:p>
    <w:p>
      <w:pPr>
        <w:pStyle w:val="TextBody"/>
        <w:bidi w:val="0"/>
        <w:spacing w:before="0" w:after="200"/>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Protalix BioTherapeutics, Inc. (the “Company”) on Form 10-Q for the period ended June 30, 2026 as filed with the Securities and Exchange Commission (the “Report”), I, Gilad Mamlok, Senior Vice President and Chief Financial Officer of the Company, hereby certify as of the date hereof, solely for the purposes of Title 18, Chapter 63, Section 1350 of the United States Code, that to the best of my knowledge:</w:t>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1000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as applicable,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 xml:space="preserve">2) </w:t>
            </w:r>
          </w:p>
        </w:tc>
        <w:tc>
          <w:tcPr>
            <w:tcW w:w="999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 at the dates and for the periods indicated.</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has not been, and shall not be deemed, “filed” with the Securities and Exchange Commission.</w:t>
      </w:r>
    </w:p>
    <w:p>
      <w:pPr>
        <w:pStyle w:val="TextBody"/>
        <w:bidi w:val="0"/>
        <w:spacing w:before="0" w:after="0"/>
        <w:ind w:left="0" w:right="0" w:hanging="0"/>
        <w:jc w:val="left"/>
        <w:rPr/>
      </w:pPr>
      <w:r>
        <w:rPr/>
        <w:t>​</w:t>
      </w:r>
    </w:p>
    <w:tbl>
      <w:tblPr>
        <w:tblW w:w="4265" w:type="dxa"/>
        <w:jc w:val="center"/>
        <w:tblInd w:w="0" w:type="dxa"/>
        <w:tblLayout w:type="fixed"/>
        <w:tblCellMar>
          <w:top w:w="0" w:type="dxa"/>
          <w:left w:w="0" w:type="dxa"/>
          <w:bottom w:w="0" w:type="dxa"/>
          <w:right w:w="0" w:type="dxa"/>
        </w:tblCellMar>
      </w:tblPr>
      <w:tblGrid>
        <w:gridCol w:w="4111"/>
        <w:gridCol w:w="154"/>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610485" cy="175260"/>
                      <wp:effectExtent l="0" t="0" r="0" b="0"/>
                      <wp:wrapNone/>
                      <wp:docPr id="316" name="Frame316"/>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97790" cy="175260"/>
                      <wp:effectExtent l="0" t="0" r="0" b="0"/>
                      <wp:wrapNone/>
                      <wp:docPr id="317" name="Frame31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154"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1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Gilad Mamlok</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1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Gilad Mamlok</w:t>
            </w:r>
          </w:p>
        </w:tc>
        <w:tc>
          <w:tcPr>
            <w:tcW w:w="154"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Palatino Linotype">
    <w:charset w:val="01"/>
    <w:family w:val="auto"/>
    <w:pitch w:val="default"/>
  </w:font>
  <w:font w:name="Helvetica">
    <w:altName w:val="Arial"/>
    <w:charset w:val="01"/>
    <w:family w:val="auto"/>
    <w:pitch w:val="default"/>
  </w:font>
  <w:font w:name="28mugxoulnobhnx">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6281/000114420416092335/v435826_ex3-1.htm" TargetMode="External"/><Relationship Id="rId3" Type="http://schemas.openxmlformats.org/officeDocument/2006/relationships/hyperlink" Target="https://www.sec.gov/Archives/edgar/data/1006281/000114420416111273/v443094_def14a.htm" TargetMode="External"/><Relationship Id="rId4" Type="http://schemas.openxmlformats.org/officeDocument/2006/relationships/hyperlink" Target="https://www.sec.gov/Archives/edgar/data/1006281/000114420418054229/tv504383-def14a.htm" TargetMode="External"/><Relationship Id="rId5" Type="http://schemas.openxmlformats.org/officeDocument/2006/relationships/hyperlink" Target="https://www.sec.gov/Archives/edgar/data/1006281/000110465919074602/tm1926620d1_ex3-1.htm" TargetMode="External"/><Relationship Id="rId6" Type="http://schemas.openxmlformats.org/officeDocument/2006/relationships/hyperlink" Target="https://www.sec.gov/Archives/edgar/data/1006281/000155837022013560/plx-20220630xex3d5.htm" TargetMode="External"/><Relationship Id="rId7" Type="http://schemas.openxmlformats.org/officeDocument/2006/relationships/hyperlink" Target="https://www.sec.gov/Archives/edgar/data/1006281/000155837023013483/plx-20230630xex3d6.htm" TargetMode="External"/><Relationship Id="rId8" Type="http://schemas.openxmlformats.org/officeDocument/2006/relationships/hyperlink" Target="https://www.sec.gov/Archives/edgar/data/1006281/000155837025007063/plx-20250331xex3d7.htm" TargetMode="External"/><Relationship Id="rId9" Type="http://schemas.openxmlformats.org/officeDocument/2006/relationships/hyperlink" Target="https://www.sec.gov/Archives/edgar/data/1006281/000114420412040015/v318898_ex4-1.htm" TargetMode="External"/><Relationship Id="rId10" Type="http://schemas.openxmlformats.org/officeDocument/2006/relationships/hyperlink" Target="https://www.sec.gov/Archives/edgar/data/1006281/000110465926029858/plx-20251231xex4d4.htm" TargetMode="External"/><Relationship Id="rId11" Type="http://schemas.openxmlformats.org/officeDocument/2006/relationships/hyperlink" Target="https://www.sec.gov/Archives/edgar/data/1006281/000110465920092375/plx-20200630xex4d8.htm" TargetMode="External"/><Relationship Id="rId12" Type="http://schemas.openxmlformats.org/officeDocument/2006/relationships/hyperlink" Target="https://www.sec.gov/Archives/edgar/data/1006281/000110465920092375/plx-20200630xex4d9.htm" TargetMode="External"/><Relationship Id="rId13" Type="http://schemas.openxmlformats.org/officeDocument/2006/relationships/hyperlink" Target="https://www.sec.gov/Archives/edgar/data/1006281/000110465926077790/plx-20260625xex10d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14146</Words>
  <Characters>77691</Characters>
  <CharactersWithSpaces>92848</CharactersWithSpaces>
  <Paragraphs>3934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